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scriptives"/>
      <w:bookmarkEnd w:id="21"/>
      <w:r>
        <w:t xml:space="preserve">Descriptives</w:t>
      </w:r>
    </w:p>
    <w:tbl>
      <w:tblPr>
        <w:tblStyle w:val="TableNormal"/>
        <w:tblW w:type="pct" w:w="5000.0"/>
        <w:tblLook w:firstRow="1"/>
      </w:tblPr>
      <w:tblGrid>
        <w:gridCol w:w="1024"/>
        <w:gridCol w:w="751"/>
        <w:gridCol w:w="751"/>
        <w:gridCol w:w="614"/>
        <w:gridCol w:w="614"/>
        <w:gridCol w:w="819"/>
        <w:gridCol w:w="614"/>
        <w:gridCol w:w="614"/>
        <w:gridCol w:w="546"/>
        <w:gridCol w:w="614"/>
        <w:gridCol w:w="614"/>
        <w:gridCol w:w="3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Congruence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Accuracy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Errors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Correct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</w:t>
            </w:r>
            <w:r>
              <w:br w:type="textWrapping"/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RM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CM ESR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br w:type="textWrapping"/>
            </w:r>
            <w:r>
              <w:t xml:space="preserve">All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377.8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424.5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421.7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Neutral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389.2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461.6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456.2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Incompatible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412.2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463.5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453.4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All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400.8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449.1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443.8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12000</w:t>
            </w:r>
          </w:p>
        </w:tc>
      </w:tr>
    </w:tbl>
    <w:p>
      <w:pPr>
        <w:pStyle w:val="Heading3"/>
      </w:pPr>
      <w:bookmarkStart w:id="22" w:name="energies"/>
      <w:bookmarkEnd w:id="22"/>
      <w:r>
        <w:t xml:space="preserve">Energies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s_6000_trials_per_cond_balanced_by_congruence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s_6000_trials_per_cond_balanced_by_congruence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s_6000_trials_per_cond_balanced_by_congruence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586332" cy="36690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utputs/figures/4resp_flankers_6000_trials_per_cond_balanced_by_congruence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32" cy="366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ca1c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