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" w:hAnsi="Times"/>
          <w:b/>
          <w:i w:val="0"/>
          <w:sz w:val="20"/>
          <w:u w:val="none"/>
        </w:rPr>
        <w:t xml:space="preserve">COMPANY NUMBER SC12628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JOHN </w:t>
      </w:r>
      <w:r>
        <w:rPr>
          <w:rFonts w:ascii="Times" w:hAnsi="Times"/>
          <w:b/>
          <w:i w:val="0"/>
          <w:sz w:val="24"/>
          <w:u w:val="none"/>
        </w:rPr>
        <w:t xml:space="preserve">THOMPSON </w:t>
      </w:r>
      <w:r>
        <w:rPr>
          <w:rFonts w:ascii="Times" w:hAnsi="Times"/>
          <w:b/>
          <w:i w:val="0"/>
          <w:sz w:val="26"/>
          <w:u w:val="none"/>
        </w:rPr>
        <w:t xml:space="preserve">COCHRAN </w:t>
      </w:r>
      <w:r>
        <w:rPr>
          <w:rFonts w:ascii="Times" w:hAnsi="Times"/>
          <w:b/>
          <w:i w:val="0"/>
          <w:sz w:val="24"/>
          <w:u w:val="none"/>
        </w:rPr>
        <w:t xml:space="preserve">LIMITED </w:t>
      </w:r>
    </w:p>
    <w:p>
      <w:pPr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PROFIT </w:t>
      </w:r>
      <w:r>
        <w:rPr>
          <w:rFonts w:ascii="Times" w:hAnsi="Times"/>
          <w:b w:val="0"/>
          <w:i w:val="0"/>
          <w:sz w:val="22"/>
          <w:u w:val="none"/>
        </w:rPr>
        <w:t xml:space="preserve">AND </w:t>
      </w:r>
      <w:r>
        <w:rPr>
          <w:rFonts w:ascii="Times" w:hAnsi="Times"/>
          <w:b w:val="0"/>
          <w:i w:val="0"/>
          <w:sz w:val="22"/>
          <w:u w:val="none"/>
        </w:rPr>
        <w:t xml:space="preserve">LOSS ACCOUNT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FOR </w:t>
      </w: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YEAR ENDED 31 December 2017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Company </w:t>
      </w:r>
      <w:r>
        <w:rPr>
          <w:rFonts w:ascii="Times" w:hAnsi="Times"/>
          <w:b w:val="0"/>
          <w:i w:val="0"/>
          <w:sz w:val="22"/>
          <w:u w:val="none"/>
        </w:rPr>
        <w:t xml:space="preserve">did not trade during </w:t>
      </w: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year, or during </w:t>
      </w:r>
      <w:r>
        <w:rPr>
          <w:rFonts w:ascii="Times" w:hAnsi="Times"/>
          <w:b w:val="0"/>
          <w:i w:val="0"/>
          <w:sz w:val="22"/>
          <w:u w:val="none"/>
        </w:rPr>
        <w:t xml:space="preserve">the preceding year, and all expenses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have </w:t>
      </w:r>
      <w:r>
        <w:rPr>
          <w:rFonts w:ascii="Times" w:hAnsi="Times"/>
          <w:b w:val="0"/>
          <w:i w:val="0"/>
          <w:sz w:val="22"/>
          <w:u w:val="none"/>
        </w:rPr>
        <w:t xml:space="preserve">been borne by the parent Company. The Company did not receive any income or incur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any </w:t>
      </w:r>
      <w:r>
        <w:rPr>
          <w:rFonts w:ascii="Times" w:hAnsi="Times"/>
          <w:b w:val="0"/>
          <w:i w:val="0"/>
          <w:sz w:val="22"/>
          <w:u w:val="none"/>
        </w:rPr>
        <w:t xml:space="preserve">expenditure and </w:t>
      </w:r>
      <w:r>
        <w:rPr>
          <w:rFonts w:ascii="Times" w:hAnsi="Times"/>
          <w:b w:val="0"/>
          <w:i w:val="0"/>
          <w:sz w:val="22"/>
          <w:u w:val="none"/>
        </w:rPr>
        <w:t xml:space="preserve">consequently has </w:t>
      </w:r>
      <w:r>
        <w:rPr>
          <w:rFonts w:ascii="Times" w:hAnsi="Times"/>
          <w:b w:val="0"/>
          <w:i w:val="0"/>
          <w:sz w:val="22"/>
          <w:u w:val="none"/>
        </w:rPr>
        <w:t xml:space="preserve">made neither profit nor loss.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BALANCE </w:t>
      </w:r>
      <w:r>
        <w:rPr>
          <w:rFonts w:ascii="Times" w:hAnsi="Times"/>
          <w:b w:val="0"/>
          <w:i w:val="0"/>
          <w:sz w:val="22"/>
          <w:u w:val="none"/>
        </w:rPr>
        <w:t xml:space="preserve">SHEET AS AT 31 </w:t>
      </w:r>
      <w:r>
        <w:rPr>
          <w:rFonts w:ascii="Times" w:hAnsi="Times"/>
          <w:b w:val="0"/>
          <w:i w:val="0"/>
          <w:sz w:val="22"/>
          <w:u w:val="none"/>
        </w:rPr>
        <w:t xml:space="preserve">December 2017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note </w:t>
      </w:r>
      <w:r>
        <w:rPr>
          <w:rFonts w:ascii="Times" w:hAnsi="Times"/>
          <w:b w:val="0"/>
          <w:i w:val="0"/>
          <w:sz w:val="22"/>
          <w:u w:val="none"/>
        </w:rPr>
        <w:tab/>
        <w:tab/>
        <w:t xml:space="preserve">2017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2016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&lt;E)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&lt;£)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CURRENT </w:t>
      </w:r>
      <w:r>
        <w:rPr>
          <w:rFonts w:ascii="Times" w:hAnsi="Times"/>
          <w:b w:val="0"/>
          <w:i w:val="0"/>
          <w:sz w:val="22"/>
          <w:u w:val="none"/>
        </w:rPr>
        <w:t xml:space="preserve">ASSETS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Debtors </w:t>
      </w:r>
      <w:r>
        <w:rPr>
          <w:rFonts w:ascii="Times" w:hAnsi="Times"/>
          <w:b w:val="0"/>
          <w:i w:val="0"/>
          <w:sz w:val="22"/>
          <w:u w:val="none"/>
        </w:rPr>
        <w:t xml:space="preserve">-- </w:t>
      </w:r>
      <w:r>
        <w:rPr>
          <w:rFonts w:ascii="Times" w:hAnsi="Times"/>
          <w:b w:val="0"/>
          <w:i w:val="0"/>
          <w:sz w:val="22"/>
          <w:u w:val="none"/>
        </w:rPr>
        <w:t xml:space="preserve">Amounts </w:t>
      </w:r>
      <w:r>
        <w:rPr>
          <w:rFonts w:ascii="Times" w:hAnsi="Times"/>
          <w:b w:val="0"/>
          <w:i w:val="0"/>
          <w:sz w:val="22"/>
          <w:u w:val="none"/>
        </w:rPr>
        <w:t xml:space="preserve">falling </w:t>
      </w:r>
      <w:r>
        <w:rPr>
          <w:rFonts w:ascii="Times" w:hAnsi="Times"/>
          <w:b w:val="0"/>
          <w:i w:val="0"/>
          <w:sz w:val="22"/>
          <w:u w:val="none"/>
        </w:rPr>
        <w:t xml:space="preserve">due </w:t>
      </w:r>
      <w:r>
        <w:rPr>
          <w:rFonts w:ascii="Times" w:hAnsi="Times"/>
          <w:b w:val="0"/>
          <w:i w:val="0"/>
          <w:sz w:val="22"/>
          <w:u w:val="none"/>
        </w:rPr>
        <w:tab/>
        <w:tab/>
        <w:t xml:space="preserve">2 </w:t>
      </w:r>
      <w:r>
        <w:rPr>
          <w:rFonts w:ascii="Times" w:hAnsi="Times"/>
          <w:b w:val="0"/>
          <w:i w:val="0"/>
          <w:sz w:val="22"/>
          <w:u w:val="none"/>
        </w:rPr>
        <w:tab/>
        <w:tab/>
        <w:t xml:space="preserve">453,397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453,397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within </w:t>
      </w:r>
      <w:r>
        <w:rPr>
          <w:rFonts w:ascii="Times" w:hAnsi="Times"/>
          <w:b w:val="0"/>
          <w:i w:val="0"/>
          <w:sz w:val="22"/>
          <w:u w:val="none"/>
        </w:rPr>
        <w:t xml:space="preserve">one year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TOTAL ASSETS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 xml:space="preserve">453,397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453,397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CAPITAL </w:t>
      </w:r>
      <w:r>
        <w:rPr>
          <w:rFonts w:ascii="Times" w:hAnsi="Times"/>
          <w:b w:val="0"/>
          <w:i w:val="0"/>
          <w:sz w:val="22"/>
          <w:u w:val="none"/>
        </w:rPr>
        <w:t xml:space="preserve">AND </w:t>
      </w:r>
      <w:r>
        <w:rPr>
          <w:rFonts w:ascii="Times" w:hAnsi="Times"/>
          <w:b w:val="0"/>
          <w:i w:val="0"/>
          <w:sz w:val="22"/>
          <w:u w:val="none"/>
        </w:rPr>
        <w:t xml:space="preserve">RESERVES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Shareholders </w:t>
      </w:r>
      <w:r>
        <w:rPr>
          <w:rFonts w:ascii="Times" w:hAnsi="Times"/>
          <w:b w:val="0"/>
          <w:i w:val="0"/>
          <w:sz w:val="22"/>
          <w:u w:val="none"/>
        </w:rPr>
        <w:t xml:space="preserve">Funds </w:t>
      </w:r>
      <w:r>
        <w:rPr>
          <w:rFonts w:ascii="Times" w:hAnsi="Times"/>
          <w:b w:val="0"/>
          <w:i w:val="0"/>
          <w:sz w:val="22"/>
          <w:u w:val="none"/>
        </w:rPr>
        <w:t xml:space="preserve">Equity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Called </w:t>
      </w:r>
      <w:r>
        <w:rPr>
          <w:rFonts w:ascii="Times" w:hAnsi="Times"/>
          <w:b w:val="0"/>
          <w:i w:val="0"/>
          <w:sz w:val="22"/>
          <w:u w:val="none"/>
        </w:rPr>
        <w:t xml:space="preserve">up share capital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 xml:space="preserve">3 </w:t>
      </w:r>
      <w:r>
        <w:rPr>
          <w:rFonts w:ascii="Times" w:hAnsi="Times"/>
          <w:b w:val="0"/>
          <w:i w:val="0"/>
          <w:sz w:val="22"/>
          <w:u w:val="none"/>
        </w:rPr>
        <w:tab/>
        <w:tab/>
        <w:t xml:space="preserve">27,750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27,750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Profit </w:t>
      </w:r>
      <w:r>
        <w:rPr>
          <w:rFonts w:ascii="Times" w:hAnsi="Times"/>
          <w:b w:val="0"/>
          <w:i w:val="0"/>
          <w:sz w:val="22"/>
          <w:u w:val="none"/>
        </w:rPr>
        <w:t xml:space="preserve">and loss account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 xml:space="preserve">415,647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415,647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Non-Equity </w:t>
      </w:r>
      <w:r>
        <w:rPr>
          <w:rFonts w:ascii="Times" w:hAnsi="Times"/>
          <w:b w:val="0"/>
          <w:i w:val="0"/>
          <w:sz w:val="22"/>
          <w:u w:val="none"/>
        </w:rPr>
        <w:t xml:space="preserve">Shareholders </w:t>
      </w:r>
      <w:r>
        <w:rPr>
          <w:rFonts w:ascii="Times" w:hAnsi="Times"/>
          <w:b w:val="0"/>
          <w:i w:val="0"/>
          <w:sz w:val="22"/>
          <w:u w:val="none"/>
        </w:rPr>
        <w:t xml:space="preserve">Funds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 xml:space="preserve">10,000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10,000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EQUITY </w:t>
      </w:r>
      <w:r>
        <w:rPr>
          <w:rFonts w:ascii="Times" w:hAnsi="Times"/>
          <w:b w:val="0"/>
          <w:i w:val="0"/>
          <w:sz w:val="22"/>
          <w:u w:val="none"/>
        </w:rPr>
        <w:t xml:space="preserve">SHAREHOLDERS </w:t>
      </w:r>
      <w:r>
        <w:rPr>
          <w:rFonts w:ascii="Times" w:hAnsi="Times"/>
          <w:b w:val="0"/>
          <w:i w:val="0"/>
          <w:sz w:val="22"/>
          <w:u w:val="none"/>
        </w:rPr>
        <w:t xml:space="preserve">’ FUNDS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 xml:space="preserve">453,397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453,397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For the </w:t>
      </w:r>
      <w:r>
        <w:rPr>
          <w:rFonts w:ascii="Times" w:hAnsi="Times"/>
          <w:b w:val="0"/>
          <w:i w:val="0"/>
          <w:sz w:val="22"/>
          <w:u w:val="none"/>
        </w:rPr>
        <w:t xml:space="preserve">year ending </w:t>
      </w:r>
      <w:r>
        <w:rPr>
          <w:rFonts w:ascii="Times" w:hAnsi="Times"/>
          <w:b w:val="0"/>
          <w:i w:val="0"/>
          <w:sz w:val="22"/>
          <w:u w:val="none"/>
        </w:rPr>
        <w:t xml:space="preserve">31 December 2017 the Company was entitled to exemption from audit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under </w:t>
      </w:r>
      <w:r>
        <w:rPr>
          <w:rFonts w:ascii="Times" w:hAnsi="Times"/>
          <w:b w:val="0"/>
          <w:i w:val="0"/>
          <w:sz w:val="22"/>
          <w:u w:val="none"/>
        </w:rPr>
        <w:t xml:space="preserve">section 480 of the Companies Act 2006 (the Act) </w:t>
      </w:r>
      <w:r>
        <w:rPr>
          <w:rFonts w:ascii="Times" w:hAnsi="Times"/>
          <w:b w:val="0"/>
          <w:i w:val="0"/>
          <w:sz w:val="22"/>
          <w:u w:val="none"/>
        </w:rPr>
        <w:t xml:space="preserve">relating </w:t>
      </w:r>
      <w:r>
        <w:rPr>
          <w:rFonts w:ascii="Times" w:hAnsi="Times"/>
          <w:b w:val="0"/>
          <w:i w:val="0"/>
          <w:sz w:val="22"/>
          <w:u w:val="none"/>
        </w:rPr>
        <w:t xml:space="preserve">to dormant companies.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members </w:t>
      </w:r>
      <w:r>
        <w:rPr>
          <w:rFonts w:ascii="Times" w:hAnsi="Times"/>
          <w:b w:val="0"/>
          <w:i w:val="0"/>
          <w:sz w:val="22"/>
          <w:u w:val="none"/>
        </w:rPr>
        <w:t xml:space="preserve">have not </w:t>
      </w:r>
      <w:r>
        <w:rPr>
          <w:rFonts w:ascii="Times" w:hAnsi="Times"/>
          <w:b w:val="0"/>
          <w:i w:val="0"/>
          <w:sz w:val="22"/>
          <w:u w:val="none"/>
        </w:rPr>
        <w:t xml:space="preserve">required the Company to obtain an audit in accordance with section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476 </w:t>
      </w:r>
      <w:r>
        <w:rPr>
          <w:rFonts w:ascii="Times" w:hAnsi="Times"/>
          <w:b w:val="0"/>
          <w:i w:val="0"/>
          <w:sz w:val="22"/>
          <w:u w:val="none"/>
        </w:rPr>
        <w:t xml:space="preserve">of the Act.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directors </w:t>
      </w:r>
      <w:r>
        <w:rPr>
          <w:rFonts w:ascii="Times" w:hAnsi="Times"/>
          <w:b w:val="0"/>
          <w:i w:val="0"/>
          <w:sz w:val="22"/>
          <w:u w:val="none"/>
        </w:rPr>
        <w:t xml:space="preserve">acknowledge their responsibility for complying with the requirements of </w:t>
      </w:r>
      <w:r>
        <w:rPr>
          <w:rFonts w:ascii="Times" w:hAnsi="Times"/>
          <w:b w:val="0"/>
          <w:i w:val="0"/>
          <w:sz w:val="22"/>
          <w:u w:val="none"/>
        </w:rPr>
        <w:t xml:space="preserve">the Act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with </w:t>
      </w:r>
      <w:r>
        <w:rPr>
          <w:rFonts w:ascii="Times" w:hAnsi="Times"/>
          <w:b w:val="0"/>
          <w:i w:val="0"/>
          <w:sz w:val="22"/>
          <w:u w:val="none"/>
        </w:rPr>
        <w:t xml:space="preserve">respect to accounting </w:t>
      </w:r>
      <w:r>
        <w:rPr>
          <w:rFonts w:ascii="Times" w:hAnsi="Times"/>
          <w:b w:val="0"/>
          <w:i w:val="0"/>
          <w:sz w:val="22"/>
          <w:u w:val="none"/>
        </w:rPr>
        <w:t xml:space="preserve">records and the preparation of accounts.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These </w:t>
      </w:r>
      <w:r>
        <w:rPr>
          <w:rFonts w:ascii="Times" w:hAnsi="Times"/>
          <w:b w:val="0"/>
          <w:i w:val="0"/>
          <w:sz w:val="22"/>
          <w:u w:val="none"/>
        </w:rPr>
        <w:t xml:space="preserve">accounts </w:t>
      </w:r>
      <w:r>
        <w:rPr>
          <w:rFonts w:ascii="Times" w:hAnsi="Times"/>
          <w:b w:val="0"/>
          <w:i w:val="0"/>
          <w:sz w:val="22"/>
          <w:u w:val="none"/>
        </w:rPr>
        <w:t xml:space="preserve">have been prepared in accordance with the provisions applicable to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companies subject to the </w:t>
      </w:r>
      <w:r>
        <w:rPr>
          <w:rFonts w:ascii="Times" w:hAnsi="Times"/>
          <w:b w:val="0"/>
          <w:i w:val="0"/>
          <w:sz w:val="22"/>
          <w:u w:val="none"/>
        </w:rPr>
        <w:t xml:space="preserve">small companies regime.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These </w:t>
      </w:r>
      <w:r>
        <w:rPr>
          <w:rFonts w:ascii="Times" w:hAnsi="Times"/>
          <w:b w:val="0"/>
          <w:i w:val="0"/>
          <w:sz w:val="22"/>
          <w:u w:val="none"/>
        </w:rPr>
        <w:t xml:space="preserve">financial statements were approved by the </w:t>
      </w:r>
      <w:r>
        <w:rPr>
          <w:rFonts w:ascii="Times" w:hAnsi="Times"/>
          <w:b w:val="0"/>
          <w:i w:val="0"/>
          <w:sz w:val="22"/>
          <w:u w:val="none"/>
        </w:rPr>
        <w:t xml:space="preserve">Board of Directors on 31 January 2018,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and </w:t>
      </w:r>
      <w:r>
        <w:rPr>
          <w:rFonts w:ascii="Times" w:hAnsi="Times"/>
          <w:b w:val="0"/>
          <w:i w:val="0"/>
          <w:sz w:val="22"/>
          <w:u w:val="none"/>
        </w:rPr>
        <w:t xml:space="preserve">signed on its behalf </w:t>
      </w:r>
      <w:r>
        <w:rPr>
          <w:rFonts w:ascii="Times" w:hAnsi="Times"/>
          <w:b w:val="0"/>
          <w:i w:val="0"/>
          <w:sz w:val="22"/>
          <w:u w:val="none"/>
        </w:rPr>
        <w:t xml:space="preserve">by: </w:t>
      </w:r>
    </w:p>
    <w:p>
      <w:pPr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A </w:t>
      </w:r>
      <w:r>
        <w:rPr>
          <w:rFonts w:ascii="Times" w:hAnsi="Times"/>
          <w:b w:val="0"/>
          <w:i w:val="0"/>
          <w:sz w:val="22"/>
          <w:u w:val="none"/>
        </w:rPr>
        <w:t xml:space="preserve">Harve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Director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notes on page 2 form </w:t>
      </w:r>
      <w:r>
        <w:rPr>
          <w:rFonts w:ascii="Times" w:hAnsi="Times"/>
          <w:b w:val="0"/>
          <w:i w:val="0"/>
          <w:sz w:val="22"/>
          <w:u w:val="none"/>
        </w:rPr>
        <w:t xml:space="preserve">part of these financial statements. </w:t>
      </w:r>
    </w:p>
    <w:p>
      <w:pPr>
        <w:jc w:val="right"/>
      </w:pPr>
      <w:r>
        <w:rPr>
          <w:rFonts w:ascii="Times" w:hAnsi="Times"/>
          <w:b w:val="0"/>
          <w:i w:val="0"/>
          <w:sz w:val="18"/>
          <w:u w:val="none"/>
        </w:rPr>
        <w:t xml:space="preserve">COMPANIES HOUSE </w:t>
      </w:r>
    </w:p>
    <w:p>
      <w:r>
        <w:br w:type="page"/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COMPANY </w:t>
      </w:r>
      <w:r>
        <w:rPr>
          <w:rFonts w:ascii="Times" w:hAnsi="Times"/>
          <w:b/>
          <w:i w:val="0"/>
          <w:sz w:val="24"/>
          <w:u w:val="none"/>
        </w:rPr>
        <w:t xml:space="preserve">NUMBER </w:t>
      </w:r>
      <w:r>
        <w:rPr>
          <w:rFonts w:ascii="Times" w:hAnsi="Times"/>
          <w:b/>
          <w:i w:val="0"/>
          <w:sz w:val="24"/>
          <w:u w:val="none"/>
        </w:rPr>
        <w:t xml:space="preserve">SC12628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JOHN </w:t>
      </w:r>
      <w:r>
        <w:rPr>
          <w:rFonts w:ascii="Times" w:hAnsi="Times"/>
          <w:b/>
          <w:i w:val="0"/>
          <w:sz w:val="24"/>
          <w:u w:val="none"/>
        </w:rPr>
        <w:t xml:space="preserve">THOMPSON COCHRAN </w:t>
      </w:r>
      <w:r>
        <w:rPr>
          <w:rFonts w:ascii="Times" w:hAnsi="Times"/>
          <w:b/>
          <w:i w:val="0"/>
          <w:sz w:val="24"/>
          <w:u w:val="none"/>
        </w:rPr>
        <w:t xml:space="preserve">LIMITED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x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1. </w:t>
      </w:r>
      <w:r>
        <w:rPr>
          <w:rFonts w:ascii="Times" w:hAnsi="Times"/>
          <w:b/>
          <w:i w:val="0"/>
          <w:sz w:val="24"/>
          <w:u w:val="none"/>
        </w:rPr>
        <w:t xml:space="preserve">Principal </w:t>
      </w:r>
      <w:r>
        <w:rPr>
          <w:rFonts w:ascii="Times" w:hAnsi="Times"/>
          <w:b/>
          <w:i w:val="0"/>
          <w:sz w:val="24"/>
          <w:u w:val="none"/>
        </w:rPr>
        <w:t xml:space="preserve">Accounting </w:t>
      </w:r>
      <w:r>
        <w:rPr>
          <w:rFonts w:ascii="Times" w:hAnsi="Times"/>
          <w:b/>
          <w:i w:val="0"/>
          <w:sz w:val="24"/>
          <w:u w:val="none"/>
        </w:rPr>
        <w:t xml:space="preserve">Policies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Basis </w:t>
      </w:r>
      <w:r>
        <w:rPr>
          <w:rFonts w:ascii="Times" w:hAnsi="Times"/>
          <w:b w:val="0"/>
          <w:i w:val="0"/>
          <w:sz w:val="22"/>
          <w:u w:val="none"/>
        </w:rPr>
        <w:t xml:space="preserve">of Accounting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These </w:t>
      </w:r>
      <w:r>
        <w:rPr>
          <w:rFonts w:ascii="Times" w:hAnsi="Times"/>
          <w:b w:val="0"/>
          <w:i w:val="0"/>
          <w:sz w:val="22"/>
          <w:u w:val="none"/>
        </w:rPr>
        <w:t xml:space="preserve">financial statements have </w:t>
      </w:r>
      <w:r>
        <w:rPr>
          <w:rFonts w:ascii="Times" w:hAnsi="Times"/>
          <w:b w:val="0"/>
          <w:i w:val="0"/>
          <w:sz w:val="22"/>
          <w:u w:val="none"/>
        </w:rPr>
        <w:t xml:space="preserve">been </w:t>
      </w:r>
      <w:r>
        <w:rPr>
          <w:rFonts w:ascii="Times" w:hAnsi="Times"/>
          <w:b w:val="0"/>
          <w:i w:val="0"/>
          <w:sz w:val="22"/>
          <w:u w:val="none"/>
        </w:rPr>
        <w:t xml:space="preserve">prepared on the historical cost basis and in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accordance with </w:t>
      </w:r>
      <w:r>
        <w:rPr>
          <w:rFonts w:ascii="Times" w:hAnsi="Times"/>
          <w:b w:val="0"/>
          <w:i w:val="0"/>
          <w:sz w:val="22"/>
          <w:u w:val="none"/>
        </w:rPr>
        <w:t xml:space="preserve">applicable accounting standards. </w:t>
      </w:r>
    </w:p>
    <w:p>
      <w:pPr>
        <w:spacing w:after="0"/>
      </w:pPr>
      <w:r>
        <w:rPr>
          <w:rFonts w:ascii="Times" w:hAnsi="Times"/>
          <w:b/>
          <w:i w:val="0"/>
          <w:sz w:val="24"/>
          <w:u w:val="none"/>
        </w:rPr>
        <w:t xml:space="preserve">2. </w:t>
      </w:r>
      <w:r>
        <w:rPr>
          <w:rFonts w:ascii="Times" w:hAnsi="Times"/>
          <w:b/>
          <w:i w:val="0"/>
          <w:sz w:val="24"/>
          <w:u w:val="none"/>
        </w:rPr>
        <w:t xml:space="preserve">Debtors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amount stated </w:t>
      </w:r>
      <w:r>
        <w:rPr>
          <w:rFonts w:ascii="Times" w:hAnsi="Times"/>
          <w:b w:val="0"/>
          <w:i w:val="0"/>
          <w:sz w:val="22"/>
          <w:u w:val="none"/>
        </w:rPr>
        <w:t xml:space="preserve">represents a loan to the Company's parent undertaking </w:t>
      </w:r>
      <w:r>
        <w:rPr>
          <w:rFonts w:ascii="Times" w:hAnsi="Times"/>
          <w:b w:val="0"/>
          <w:i w:val="0"/>
          <w:sz w:val="22"/>
          <w:u w:val="none"/>
        </w:rPr>
        <w:t xml:space="preserve">and is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repayable upon </w:t>
      </w:r>
      <w:r>
        <w:rPr>
          <w:rFonts w:ascii="Times" w:hAnsi="Times"/>
          <w:b w:val="0"/>
          <w:i w:val="0"/>
          <w:sz w:val="22"/>
          <w:u w:val="none"/>
        </w:rPr>
        <w:t xml:space="preserve">demand.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3. </w:t>
      </w:r>
      <w:r>
        <w:rPr>
          <w:rFonts w:ascii="Times" w:hAnsi="Times"/>
          <w:b/>
          <w:i w:val="0"/>
          <w:sz w:val="24"/>
          <w:u w:val="none"/>
        </w:rPr>
        <w:t xml:space="preserve">Share Capital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2017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2016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(£)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(£)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Authorised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30,000 </w:t>
      </w:r>
      <w:r>
        <w:rPr>
          <w:rFonts w:ascii="Times" w:hAnsi="Times"/>
          <w:b w:val="0"/>
          <w:i w:val="0"/>
          <w:sz w:val="22"/>
          <w:u w:val="none"/>
        </w:rPr>
        <w:t xml:space="preserve">Ordinary Shares of £1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 xml:space="preserve">30,000 </w:t>
      </w:r>
      <w:r>
        <w:rPr>
          <w:rFonts w:ascii="Times" w:hAnsi="Times"/>
          <w:b w:val="0"/>
          <w:i w:val="0"/>
          <w:sz w:val="22"/>
          <w:u w:val="none"/>
        </w:rPr>
        <w:t xml:space="preserve">30,000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10,000 </w:t>
      </w:r>
      <w:r>
        <w:rPr>
          <w:rFonts w:ascii="Times" w:hAnsi="Times"/>
          <w:b w:val="0"/>
          <w:i w:val="0"/>
          <w:sz w:val="22"/>
          <w:u w:val="none"/>
        </w:rPr>
        <w:t xml:space="preserve">6% Cumulative Preference </w:t>
      </w:r>
      <w:r>
        <w:rPr>
          <w:rFonts w:ascii="Times" w:hAnsi="Times"/>
          <w:b w:val="0"/>
          <w:i w:val="0"/>
          <w:sz w:val="22"/>
          <w:u w:val="none"/>
        </w:rPr>
        <w:t xml:space="preserve">Shares of £1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 xml:space="preserve">10,000 </w:t>
      </w:r>
      <w:r>
        <w:rPr>
          <w:rFonts w:ascii="Times" w:hAnsi="Times"/>
          <w:b w:val="0"/>
          <w:i w:val="0"/>
          <w:sz w:val="22"/>
          <w:u w:val="none"/>
        </w:rPr>
        <w:t xml:space="preserve">10,000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40,000 </w:t>
      </w:r>
      <w:r>
        <w:rPr>
          <w:rFonts w:ascii="Times" w:hAnsi="Times"/>
          <w:b w:val="0"/>
          <w:i w:val="0"/>
          <w:sz w:val="22"/>
          <w:u w:val="none"/>
        </w:rPr>
        <w:t xml:space="preserve">40,000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Issued and Fully Paid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27,750 </w:t>
      </w:r>
      <w:r>
        <w:rPr>
          <w:rFonts w:ascii="Times" w:hAnsi="Times"/>
          <w:b w:val="0"/>
          <w:i w:val="0"/>
          <w:sz w:val="22"/>
          <w:u w:val="none"/>
        </w:rPr>
        <w:t xml:space="preserve">Ordinary Shares of </w:t>
      </w:r>
      <w:r>
        <w:rPr>
          <w:rFonts w:ascii="Times" w:hAnsi="Times"/>
          <w:b w:val="0"/>
          <w:i w:val="0"/>
          <w:sz w:val="22"/>
          <w:u w:val="none"/>
        </w:rPr>
        <w:t xml:space="preserve">£1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 xml:space="preserve">27,750 </w:t>
      </w:r>
      <w:r>
        <w:rPr>
          <w:rFonts w:ascii="Times" w:hAnsi="Times"/>
          <w:b w:val="0"/>
          <w:i w:val="0"/>
          <w:sz w:val="22"/>
          <w:u w:val="none"/>
        </w:rPr>
        <w:t xml:space="preserve">27,720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10,000 </w:t>
      </w:r>
      <w:r>
        <w:rPr>
          <w:rFonts w:ascii="Times" w:hAnsi="Times"/>
          <w:b w:val="0"/>
          <w:i w:val="0"/>
          <w:sz w:val="22"/>
          <w:u w:val="none"/>
        </w:rPr>
        <w:t xml:space="preserve">6% Cumulative Preference Shares of </w:t>
      </w:r>
      <w:r>
        <w:rPr>
          <w:rFonts w:ascii="Times" w:hAnsi="Times"/>
          <w:b w:val="0"/>
          <w:i w:val="0"/>
          <w:sz w:val="22"/>
          <w:u w:val="none"/>
        </w:rPr>
        <w:t xml:space="preserve">£1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 xml:space="preserve">10,000 </w:t>
      </w:r>
      <w:r>
        <w:rPr>
          <w:rFonts w:ascii="Times" w:hAnsi="Times"/>
          <w:b w:val="0"/>
          <w:i w:val="0"/>
          <w:sz w:val="22"/>
          <w:u w:val="none"/>
        </w:rPr>
        <w:t xml:space="preserve">10,000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37,750 </w:t>
      </w:r>
      <w:r>
        <w:rPr>
          <w:rFonts w:ascii="Times" w:hAnsi="Times"/>
          <w:b w:val="0"/>
          <w:i w:val="0"/>
          <w:sz w:val="22"/>
          <w:u w:val="none"/>
        </w:rPr>
        <w:t xml:space="preserve">37,750 </w:t>
      </w:r>
    </w:p>
    <w:p>
      <w:r>
        <w:rPr>
          <w:rFonts w:ascii="Times" w:hAnsi="Times"/>
          <w:b/>
          <w:i w:val="0"/>
          <w:sz w:val="24"/>
          <w:u w:val="none"/>
        </w:rPr>
        <w:t xml:space="preserve">4. Ultimate </w:t>
      </w:r>
      <w:r>
        <w:rPr>
          <w:rFonts w:ascii="Times" w:hAnsi="Times"/>
          <w:b/>
          <w:i w:val="0"/>
          <w:sz w:val="24"/>
          <w:u w:val="none"/>
        </w:rPr>
        <w:t xml:space="preserve">Parent Company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Company's </w:t>
      </w:r>
      <w:r>
        <w:rPr>
          <w:rFonts w:ascii="Times" w:hAnsi="Times"/>
          <w:b w:val="0"/>
          <w:i w:val="0"/>
          <w:sz w:val="22"/>
          <w:u w:val="none"/>
        </w:rPr>
        <w:t xml:space="preserve">ultimate parent company is Rolls-Royce Holdings pic which is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incorporated in </w:t>
      </w:r>
      <w:r>
        <w:rPr>
          <w:rFonts w:ascii="Times" w:hAnsi="Times"/>
          <w:b w:val="0"/>
          <w:i w:val="0"/>
          <w:sz w:val="22"/>
          <w:u w:val="none"/>
        </w:rPr>
        <w:t xml:space="preserve">Great Britain and registered in </w:t>
      </w:r>
      <w:r>
        <w:rPr>
          <w:rFonts w:ascii="Times" w:hAnsi="Times"/>
          <w:b w:val="0"/>
          <w:i w:val="0"/>
          <w:sz w:val="22"/>
          <w:u w:val="none"/>
        </w:rPr>
        <w:t xml:space="preserve">England </w:t>
      </w:r>
      <w:r>
        <w:rPr>
          <w:rFonts w:ascii="Times" w:hAnsi="Times"/>
          <w:b w:val="0"/>
          <w:i w:val="0"/>
          <w:sz w:val="22"/>
          <w:u w:val="none"/>
        </w:rPr>
        <w:t xml:space="preserve">and Wales. The Annual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Report of </w:t>
      </w:r>
      <w:r>
        <w:rPr>
          <w:rFonts w:ascii="Times" w:hAnsi="Times"/>
          <w:b w:val="0"/>
          <w:i w:val="0"/>
          <w:sz w:val="22"/>
          <w:u w:val="none"/>
        </w:rPr>
        <w:t xml:space="preserve">Rolls-Royce Holdings pic can be obtained from Moor Lane, Derby, </w:t>
      </w:r>
      <w:r>
        <w:rPr>
          <w:rFonts w:ascii="Times" w:hAnsi="Times"/>
          <w:b w:val="0"/>
          <w:i w:val="0"/>
          <w:sz w:val="22"/>
          <w:u w:val="none"/>
        </w:rPr>
        <w:t xml:space="preserve">DE24 </w:t>
      </w:r>
    </w:p>
    <w:p>
      <w:pPr>
        <w:spacing w:after="0"/>
      </w:pPr>
      <w:r>
        <w:rPr>
          <w:rFonts w:ascii="Times" w:hAnsi="Times"/>
          <w:b/>
          <w:i w:val="0"/>
          <w:sz w:val="24"/>
          <w:u w:val="none"/>
        </w:rPr>
        <w:t xml:space="preserve">8BJ. </w:t>
      </w:r>
    </w:p>
    <w:p>
      <w:pPr>
        <w:jc w:val="center"/>
      </w:pPr>
      <w:r>
        <w:rPr>
          <w:rFonts w:ascii="Times" w:hAnsi="Times"/>
          <w:b/>
          <w:i w:val="0"/>
          <w:sz w:val="22"/>
          <w:u w:val="none"/>
        </w:rPr>
        <w:t xml:space="preserve">•2*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