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Technische und Organisatorische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Maßnahmen (TOM)</w:t>
      </w:r>
    </w:p>
    <w:p>
      <w:pPr>
        <w:spacing w:after="200"/>
        <w:jc w:val="center"/>
      </w:pPr>
      <w:r>
        <w:rPr>
          <w:rFonts w:ascii="Arial" w:cs="Arial" w:eastAsia="Arial" w:hAnsi="Arial"/>
          <w:color w:val="1F4E79"/>
          <w:sz w:val="28"/>
          <w:szCs w:val="28"/>
        </w:rPr>
        <w:t xml:space="preserve">Generelle Vorlage für Recruiting-/HR-Unternehmen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gemäß Art. 32 DSGVO</w:t>
      </w:r>
    </w:p>
    <w:p>
      <w:pPr>
        <w:spacing w:after="160"/>
      </w:pP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Stand: 17.2.2026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Zutrittskontrolle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Maßnahmen, die verhindern, dass Unbefugte Zutritt zu Datenverarbeitungsanlagen erhalten.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062"/>
        <w:gridCol w:w="1354"/>
        <w:gridCol w:w="1624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Beschreibung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Verschlossene Büroräume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Büro- und Serverräume bei Abwesenheit verschlossen, Schlüsselvergabe dokumentiert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Besucherregelungen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Besucher anmelden, begleiten, im Besucherbuch erfassen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Clean-Desk-Policy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Arbeitsplätze bei Verlassen aufräumen, vertrauliche Unterlagen verschließen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Aktenvernichtung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Vertrauliche Papierunterlagen per Schredder (DIN 66399, Stufe P-4) vernichten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Serverraum-Zugang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Zutritt zum Serverraum nur für autorisierte Personen (sofern vorhanden)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Zugangskontrolle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Maßnahmen, die verhindern, dass Datenverarbeitungssysteme unbefugt genutzt werden.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062"/>
        <w:gridCol w:w="1354"/>
        <w:gridCol w:w="1624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Beschreibung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Individuelle Benutzerkonten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Jeder Mitarbeiter erhält ein persönliches Benutzerkonto, keine geteilten Accounts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Starke Passwörter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Mindestlänge 12 Zeichen, Komplexitätsanforderungen (Groß-/Kleinbuchstaben, Zahlen, Sonderzeichen)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Zwei-Faktor-Authentifizierung (2FA)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2FA für alle Cloud-Dienste und Remote-Zugänge aktiviert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Automatische Bildschirmsperre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Automatische Sperre nach maximal 5 Minuten Inaktivität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Zentrale Benutzerverwaltung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Benutzerkonten werden zentral verwaltet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Account-Deaktivierung bei Ausscheiden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Benutzerkonten am letzten Arbeitstag deaktivieren, nach Frist löschen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Bei Bedarf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Regelmäßige Passwortänderung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Passwortänderung empfohlen (mind. alle 90 Tage) oder bei Kompromittierung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Quartalsweise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Mobile Device Management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Geschäftliche Mobilgeräte zentral verwalten und ggf. remote löschen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Zugriffskontrolle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Maßnahmen, die gewährleisten, dass Berechtigte nur auf zulässige Daten zugreifen.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062"/>
        <w:gridCol w:w="1354"/>
        <w:gridCol w:w="1624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Beschreibung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Rollen- und Berechtigungskonzept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Definierte Rollen mit abgestuften Zugriffsrechten je nach Aufgabenbereich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Quartalsweise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Need-to-know-Prinzip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Zugriff nur auf Daten, die für die jeweilige Aufgabe erforderlich sind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Protokollierung von Zugriffen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Zugriffe auf personenbezogene Daten werden protokolliert (Logfiles)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Regelmäßige Berechtigungsreviews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Quartalsweise Prüfung aller Berechtigungen auf Aktualität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Quartalsweise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Trennung Admin-/Benutzerrechte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Administratorrechte von normalen Benutzerrechten getrennt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Physischer Zugriffsschutz Datenträger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USB-Sticks, ext. Festplatten verschlüsselt und gesichert aufbewahrt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Weitergabekontrolle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 zur sicheren Übertragung personenbezogener Daten.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062"/>
        <w:gridCol w:w="1354"/>
        <w:gridCol w:w="1624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Beschreibung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TLS-Verschlüsselung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Datenübertragungen (E-Mail, Web, API) erfolgen TLS-verschlüsselt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Verschlüsselter Dateiaustausch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Sensible Dokumente nur über verschlüsselte Kanäle teilen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VPN für Remote-Zugriff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Zugriff auf interne Systeme von außen nur über VPN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E-Mail-Verschlüsselung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Sensible Inhalte per TLS/STARTTLS, ggf. Passwortschutz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Verbot unverschlüsselter Übermittlung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Sensible pbD nicht per unverschlüsselter E-Mail versenden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Transportverschlüsselung Mobilgeräte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Geschäftliche Daten auf Mobilgeräten verschlüsselt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Eingabekontrolle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 zur Nachvollziehbarkeit von Dateneingaben und -änderungen.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062"/>
        <w:gridCol w:w="1354"/>
        <w:gridCol w:w="1624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Beschreibung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Änderungsprotokollierung CRM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Änderungen im CRM mit Benutzer, Datum und Änderung protokolliert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Versionierung Dokumente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Dokumente versioniert gespeichert, ältere Versionen abrufbar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Individuelle Nachvollziehbarkeit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Durch persönliche Benutzerkonten nachvollziehbar, wer Daten erfasst hat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Änderungshistorie Kandidatenprofile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Änderungen an Profilen mit Zeitstempel und Benutzer gespeichert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Auftragskontrolle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 zur weisungsgemäßen Verarbeitung durch Auftragsverarbeiter.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062"/>
        <w:gridCol w:w="1354"/>
        <w:gridCol w:w="1624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Beschreibung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AVV-Verträge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Mit allen Auftragsverarbeitern Verträge gem. Art. 28 DSGVO abschließen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Prüfung Subunternehmer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Subunternehmerverzeichnisse regelmäßig prüfen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Weisungsdokumentation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Weisungsbefugnis gegenüber Auftragsverarbeitern dokumentiert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TOM-Prüfung Auftragsverarbeiter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TOM der Auftragsverarbeiter prüfen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Verfügbarkeitskontrolle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 zum Schutz vor zufälliger Zerstörung oder Verlust.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062"/>
        <w:gridCol w:w="1354"/>
        <w:gridCol w:w="1624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Beschreibung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Regelmäßige Datensicherung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Automatisierte Backups, regelmäßige Prüfung der Wiederherstellbarkeit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Täglich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Georedundante Speicherung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 in mind. zwei geografisch getrennten Rechenzentren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Notfallplan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Dokumentierter Notfallplan für IT-Ausfälle und Datenverluste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Wiederherstellungstests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Regelmäßige Tests der Backup-Wiederherstellung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Halbjährlich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USV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Unterbrechungsfreie Stromversorgung für lokale Infrastruktur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Virenschutz und Firewall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Aktuelle Virenschutzlösung und Firewall auf allen Endgeräten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Patch-Management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Betriebssysteme und Software zeitnah mit Sicherheitsupdates versorgen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Monatlich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Trennungsgebot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 zur getrennten Verarbeitung unterschiedlicher Zwecke.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062"/>
        <w:gridCol w:w="1354"/>
        <w:gridCol w:w="1624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Beschreibung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Mandantentrennung CRM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Verschiedene Kunden/Projekte im CRM logisch getrennt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Getrennte Projektdatenhaltung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 verschiedener Projekte getrennt verwaltet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Trennung Test-/Produktivdaten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Keine Echtdaten in Testsystemen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Trennung Bewerber-/Kundendaten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Bewerber- und Kundendatenbanken logisch getrennt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Organisatorische Maßnahmen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Ergänzende organisatorische Maßnahmen zur Sicherstellung des Datenschutzes.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062"/>
        <w:gridCol w:w="1354"/>
        <w:gridCol w:w="1624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Beschreibung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Datenschutzschulungen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Jährliche Schulung aller Mitarbeiter zu Datenschutzgrundlagen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Vertraulichkeitsverpflichtung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Schriftliche Verpflichtung aller MA auf Vertraulichkeit bei Eintritt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Bei Eintritt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DSB benannt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Externer oder interner DSB benannt und Aufsichtsbehörde gemeldet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Datenschutz-Richtlinien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Schriftliches Datenschutzhandbuch dokumentiert und zugänglich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KI-Richtlinie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Richtlinie für datenschutzkonformen Einsatz von KI-Systemen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Social-Media-Richtlinie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Regelungen für datenschutzkonforme Nutzung sozialer Netzwerke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Löschkonzept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Dokumentiertes Löschkonzept mit definierten Fristen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Incident-Response-Prozess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Dokumentierter Prozess für Datenschutzvorfälle inkl. 72h-Meldefrist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Betroffenenrechte-Prozess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Dokumentierter Prozess für Betroffenenanfragen (1 Monat Frist)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Regelmäßige Audits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Datenschutz-Audits zur Prüfung der Einhaltung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Seite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3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5"/>
        <w:szCs w:val="15"/>
      </w:rPr>
      <w:t xml:space="preserve">TOM Generell – Recruiting</w:t>
    </w:r>
    <w:r>
      <w:rPr>
        <w:rFonts w:ascii="Arial" w:cs="Arial" w:eastAsia="Arial" w:hAnsi="Arial"/>
        <w:color w:val="999999"/>
        <w:sz w:val="15"/>
        <w:szCs w:val="15"/>
      </w:rPr>
      <w:t xml:space="preserve">	Art. 32 DSGVO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2026-02-17T13:07:29.318Z</dcterms:created>
  <dcterms:modified xsi:type="dcterms:W3CDTF">2026-02-17T13:07:29.318Z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