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A8E" w:rsidRPr="00703E9C" w:rsidRDefault="00703E9C">
      <w:pPr>
        <w:rPr>
          <w:lang w:val="fr-FR"/>
        </w:rPr>
      </w:pP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Observation en ORL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lang w:val="fr-FR"/>
        </w:rPr>
        <w:br/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* Identité :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lang w:val="fr-FR"/>
        </w:rPr>
        <w:br/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nom et prénom</w:t>
      </w:r>
      <w:r w:rsidRPr="00703E9C">
        <w:rPr>
          <w:rFonts w:ascii="Helvetica" w:hAnsi="Helvetica" w:cs="Helvetica"/>
          <w:color w:val="1D2129"/>
          <w:sz w:val="19"/>
          <w:szCs w:val="19"/>
          <w:lang w:val="fr-FR"/>
        </w:rPr>
        <w:br/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âge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sexe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statut familial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parité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profession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mutualiste ou pas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* motif d’hospitalisation :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Exp : tuméfaction cervicale, épistaxis de grande abondance etc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* Antécédents :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Médicaux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- notion d'HTA ou pas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- notion de diabète ou pas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- notion de cardiopathie ou pas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- notion de néphropathie ou pas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- notion de tuberculose ou contage tuberculeux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- prise de médoc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- notion d’irradiation ext (accidentelle ou thérapeutique)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chirurgicaux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toxiques ++++++ : tabac ++++++, alcool etc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familiaux : cas similaire dans la famille, de NEM ou dystrophie thyroïdienne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* Histoire de la maladie :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Date et mode de début, symptomatologie (exp : sx fonctionnels de dysthyroïdie </w:t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E8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hyperthyroïdie : diarrhée, amaigrissement, anxiété etc vs hypothyroïdie : constipation, obésité, dépression etc), retentissement, évolution, traitement déjà reçus, signes négatifs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* Examen clinique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Examen général :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GCS (score de la conscience de Glascow)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TA (tension artérielle) +++++ (HTA : cause générale d’épistaxis)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FR (fréquence respiratoire)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Pouls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Température +++++ : thyroïdite aigue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coloration des conjonctives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0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retentissement +++++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+ Examen ORL :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Examen de la cavité buccale : de préférence par deux abaisse-langue pour bien apprécier cette cavité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• Etat bucco-dentaire : carries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• Gingivorragie, aphtose, Epulis, masse, fente palatine, jetage postérieure etc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Laryngoscopie indirecte : examen de la glotte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Examen des fosses nasales ou Rhinoscopie antérieure :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• Etat de la muqueuse nasale : congestive, pâle etc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• Rhinorrhée, Tâche vasculaire, polype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Examen otologique :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• Etat du conduit auditif externe : eczéma, furoncle, CE, otorrhée etc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• Aspect du tympan : normal ; translucide, la manche du marteau bien visible, triangle lumineux : antéro inf ; pathologique : grisâtre, congestif, présence d’une perforation ou d’une encoche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Examen de l’aire thyroïdienne : se placer derrière le patient, cou en légère flexion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• Inspection : cicatrice, tuméfaction cervicale médiane ou hypertrophie localisée ascensionnant à la déglutition, </w:t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lastRenderedPageBreak/>
        <w:t>CVC, flush (réaction vasomotrice)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• Palpation : goitre homogène ou nodule thyroïdien : nombre, siège, taille, contours, consistance, sensibilité (sx prédictifs cliniques de malignité), un trill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Examen ganglionnaire ++++++ : cervical : I : sous mentonnier, sous maxillaire / II : jugulaire sup / III : jugulaire moy / IV : jugulaire inf / V : correspond à la chaîne spinale dans le triangle post, / VI : cervical ant et le reste des aires gg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FC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Le reste de l’examen somatique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* conclusion clinique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Regroupement syndromique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D8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dg à évoquer avec les pour et les contres de chacun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D8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les bilans bio et imagerie</w:t>
      </w:r>
      <w:r w:rsidRPr="00703E9C">
        <w:rPr>
          <w:rStyle w:val="apple-converted-space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 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D8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conclusion paraclinique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</w:rPr>
        <w:sym w:font="Symbol" w:char="F0D8"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 xml:space="preserve"> conclusion clinico-paraclinique</w:t>
      </w:r>
      <w:r w:rsidRPr="00703E9C">
        <w:rPr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br/>
      </w:r>
      <w:r w:rsidRPr="00703E9C">
        <w:rPr>
          <w:rStyle w:val="textexposedshow"/>
          <w:rFonts w:ascii="Helvetica" w:hAnsi="Helvetica" w:cs="Helvetica"/>
          <w:color w:val="1D2129"/>
          <w:sz w:val="19"/>
          <w:szCs w:val="19"/>
          <w:shd w:val="clear" w:color="auto" w:fill="FFFFFF"/>
          <w:lang w:val="fr-FR"/>
        </w:rPr>
        <w:t>Finalement retenir notre diagnostic et démarrer la PEC thérapeutique</w:t>
      </w:r>
    </w:p>
    <w:sectPr w:rsidR="00094A8E" w:rsidRPr="00703E9C" w:rsidSect="00094A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703E9C"/>
    <w:rsid w:val="00094A8E"/>
    <w:rsid w:val="00703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A8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703E9C"/>
  </w:style>
  <w:style w:type="character" w:customStyle="1" w:styleId="textexposedshow">
    <w:name w:val="text_exposed_show"/>
    <w:basedOn w:val="Policepardfaut"/>
    <w:rsid w:val="00703E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2016-11-04T23:27:00Z</dcterms:created>
  <dcterms:modified xsi:type="dcterms:W3CDTF">2016-11-04T23:27:00Z</dcterms:modified>
</cp:coreProperties>
</file>