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4AA" w:rsidRDefault="001824AA" w:rsidP="001824AA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Observation en uro 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Identité :</w:t>
      </w:r>
    </w:p>
    <w:p w:rsidR="001824AA" w:rsidRDefault="001824AA" w:rsidP="001824AA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nom et prénom</w:t>
      </w:r>
      <w:r>
        <w:rPr>
          <w:rFonts w:ascii="Helvetica" w:hAnsi="Helvetica" w:cs="Helvetica"/>
          <w:color w:val="1D2129"/>
          <w:sz w:val="23"/>
          <w:szCs w:val="23"/>
        </w:rPr>
        <w:br/>
        <w:t>+ âge</w:t>
      </w:r>
      <w:r>
        <w:rPr>
          <w:rFonts w:ascii="Helvetica" w:hAnsi="Helvetica" w:cs="Helvetica"/>
          <w:color w:val="1D2129"/>
          <w:sz w:val="23"/>
          <w:szCs w:val="23"/>
        </w:rPr>
        <w:br/>
        <w:t>+ sexe</w:t>
      </w:r>
      <w:r>
        <w:rPr>
          <w:rFonts w:ascii="Helvetica" w:hAnsi="Helvetica" w:cs="Helvetica"/>
          <w:color w:val="1D2129"/>
          <w:sz w:val="23"/>
          <w:szCs w:val="23"/>
        </w:rPr>
        <w:br/>
        <w:t>+ statut familial</w:t>
      </w:r>
      <w:r>
        <w:rPr>
          <w:rFonts w:ascii="Helvetica" w:hAnsi="Helvetica" w:cs="Helvetica"/>
          <w:color w:val="1D2129"/>
          <w:sz w:val="23"/>
          <w:szCs w:val="23"/>
        </w:rPr>
        <w:br/>
        <w:t>+ parité</w:t>
      </w:r>
      <w:r>
        <w:rPr>
          <w:rFonts w:ascii="Helvetica" w:hAnsi="Helvetica" w:cs="Helvetica"/>
          <w:color w:val="1D2129"/>
          <w:sz w:val="23"/>
          <w:szCs w:val="23"/>
        </w:rPr>
        <w:br/>
        <w:t>+ profession</w:t>
      </w:r>
      <w:r>
        <w:rPr>
          <w:rFonts w:ascii="Helvetica" w:hAnsi="Helvetica" w:cs="Helvetica"/>
          <w:color w:val="1D2129"/>
          <w:sz w:val="23"/>
          <w:szCs w:val="23"/>
        </w:rPr>
        <w:br/>
        <w:t>+ niveau socio-économique ++++++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MH 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Hématurie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Troubles mictionnels à type de Pollakiurie srt nocturnes + brûlures mictionnelles etc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ATCD: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perso: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médicaux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Surtout diabète, tuberculose contage tuberculeux, toxique etc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chirurgicaux: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+familiaux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HDM 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Classique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examen clinique 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examen general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GCS, TA, FR, pouls, température, la coloration des conjonctives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Pour l’homme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Examen abdominal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svt pr chercher un contact lombaire ou bien un globe vesical,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examen des OGE 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le volume (chercher grosse bourse ou pas),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le scrotum: couleur, sx d'inflamm, necrose (gangrene de fournier)...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le gland: meat apicalement situé, chercher un durcissement de l'urethre,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les bourses: pas de nodule, taille normale, le sillon epididymo-testiculaire bien perçu, l'epididyme souple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TR: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prostate mesuré le volume, juste pr rappel le volume normal c 30g, au dela de ça c HBP, on fait le tour de la prostate par le doigt dont la surface de son extremité sup = 10g), indurée ou pas, nodules intra-prostatiques</w:t>
      </w:r>
    </w:p>
    <w:p w:rsidR="001824AA" w:rsidRP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  <w:lang w:val="fr-FR"/>
        </w:rPr>
      </w:pPr>
      <w:r w:rsidRPr="001824AA">
        <w:rPr>
          <w:rFonts w:ascii="Helvetica" w:hAnsi="Helvetica" w:cs="Helvetica"/>
          <w:color w:val="1D2129"/>
          <w:sz w:val="23"/>
          <w:szCs w:val="23"/>
          <w:lang w:val="fr-FR"/>
        </w:rPr>
        <w:t>la base vesicale souple ou infiltrée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NB : on peut mentionner au debut du TR la tonicité sphincterienne de l'anus mais c +/-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lastRenderedPageBreak/>
        <w:t>pour la femme,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c surtt chercher un contact lombaire, un globe vesical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ds le TR on pt faire un toucher bimanuel pr chercher une masse vesicale ou bien une infiltration ou blindage pelvien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le reste de l’examen somatique en fonction des signes d’appel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conclusion clinique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regroupement syndromique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dg à évoquer avec les pour et les contres de chacun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les bilans bio et imagerie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conclusion paraclinique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conclusion clinico-paraclinique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finalement retenir notre diagnostic</w:t>
      </w:r>
    </w:p>
    <w:p w:rsidR="001824AA" w:rsidRDefault="001824AA" w:rsidP="001824AA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et demarrer la PEC therapeutique</w:t>
      </w:r>
    </w:p>
    <w:p w:rsidR="00B16F68" w:rsidRDefault="00B16F68"/>
    <w:sectPr w:rsidR="00B16F68" w:rsidSect="00B16F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1824AA"/>
    <w:rsid w:val="001824AA"/>
    <w:rsid w:val="00B16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F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2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2016-10-09T20:22:00Z</dcterms:created>
  <dcterms:modified xsi:type="dcterms:W3CDTF">2016-10-09T20:22:00Z</dcterms:modified>
</cp:coreProperties>
</file>