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sz w:val="24"/>
        </w:rPr>
        <w:t>Royaume du Maroc</w:t>
      </w:r>
    </w:p>
    <w:p>
      <w:pPr>
        <w:spacing w:after="40"/>
        <w:jc w:val="center"/>
      </w:pPr>
      <w:r>
        <w:rPr>
          <w:b w:val="0"/>
          <w:i w:val="0"/>
          <w:sz w:val="21"/>
        </w:rPr>
        <w:t>Ministère de l’Enseignement Supérieur, de la Recherche Scientifique et de l’Innovation</w:t>
      </w:r>
    </w:p>
    <w:p>
      <w:pPr>
        <w:spacing w:before="1200"/>
        <w:jc w:val="center"/>
      </w:pPr>
      <w:r>
        <w:rPr>
          <w:b/>
          <w:color w:val="1F4E79"/>
          <w:sz w:val="28"/>
        </w:rPr>
        <w:t>FACULTÉ DE MÉDECINE ET DE PHARMACIE — MARRAKECH</w:t>
      </w:r>
    </w:p>
    <w:p>
      <w:pPr>
        <w:jc w:val="center"/>
      </w:pPr>
      <w:r>
        <w:rPr>
          <w:sz w:val="24"/>
        </w:rPr>
        <w:t>UNIVERSITÉ CADI AYYAD</w:t>
      </w:r>
    </w:p>
    <w:p>
      <w:pPr>
        <w:spacing w:before="2200" w:after="120"/>
        <w:jc w:val="center"/>
      </w:pPr>
      <w:r>
        <w:rPr>
          <w:b/>
          <w:color w:val="1F4E79"/>
          <w:sz w:val="76"/>
        </w:rPr>
        <w:t>Guide de stage</w:t>
      </w:r>
    </w:p>
    <w:p>
      <w:pPr>
        <w:spacing w:after="360"/>
        <w:jc w:val="center"/>
        <w:pBdr>
          <w:bottom w:val="single" w:sz="12" w:space="14" w:color="2E86C1"/>
        </w:pBdr>
      </w:pPr>
      <w:r>
        <w:rPr>
          <w:color w:val="2E86C1"/>
          <w:sz w:val="36"/>
        </w:rPr>
        <w:t>Guide de stage hospitalier de l’étudiant</w:t>
      </w:r>
    </w:p>
    <w:p>
      <w:pPr>
        <w:spacing w:before="320"/>
        <w:jc w:val="center"/>
      </w:pPr>
      <w:r>
        <w:rPr>
          <w:i/>
          <w:color w:val="555555"/>
          <w:sz w:val="24"/>
        </w:rPr>
        <w:t>Règlement, organisation, évaluation et objectifs des stages hospitaliers</w:t>
      </w:r>
    </w:p>
    <w:p>
      <w:r>
        <w:br w:type="page"/>
      </w:r>
    </w:p>
    <w:p>
      <w:pPr>
        <w:pStyle w:val="Heading1"/>
        <w:outlineLvl w:val="9"/>
      </w:pPr>
      <w:r>
        <w:t>Sommaire</w:t>
      </w:r>
    </w:p>
    <w:p>
      <w:pPr>
        <w:pStyle w:val="TOC1"/>
      </w:pPr>
      <w:r>
        <w:fldChar w:fldCharType="begin" w:dirty="true"/>
      </w:r>
      <w:r>
        <w:instrText xml:space="preserve"> TOC \o "1-3" \h \z \u </w:instrText>
      </w:r>
      <w:r>
        <w:fldChar w:fldCharType="separate"/>
      </w:r>
      <w:r>
        <w:t>Préambule</w:t>
      </w:r>
      <w:r>
        <w:tab/>
        <w:t>5</w:t>
      </w:r>
    </w:p>
    <w:p>
      <w:pPr>
        <w:pStyle w:val="TOC1"/>
      </w:pPr>
      <w:r>
        <w:t>I — Réglementation des stages hospitaliers</w:t>
      </w:r>
      <w:r>
        <w:tab/>
        <w:t>5</w:t>
      </w:r>
    </w:p>
    <w:p>
      <w:pPr>
        <w:pStyle w:val="TOC2"/>
      </w:pPr>
      <w:r>
        <w:t>A. Objectifs et organisation des stages</w:t>
      </w:r>
      <w:r>
        <w:tab/>
        <w:t>5</w:t>
      </w:r>
    </w:p>
    <w:p>
      <w:pPr>
        <w:pStyle w:val="TOC3"/>
      </w:pPr>
      <w:r>
        <w:t>a/ Revalidation de stage hospitalier au mois d’août</w:t>
      </w:r>
      <w:r>
        <w:tab/>
        <w:t>6</w:t>
      </w:r>
    </w:p>
    <w:p>
      <w:pPr>
        <w:pStyle w:val="TOC3"/>
      </w:pPr>
      <w:r>
        <w:t>b/ Validation de stage à l’étranger</w:t>
      </w:r>
      <w:r>
        <w:tab/>
        <w:t>6</w:t>
      </w:r>
    </w:p>
    <w:p>
      <w:pPr>
        <w:pStyle w:val="TOC2"/>
      </w:pPr>
      <w:r>
        <w:t>B. Nature des stages hospitaliers</w:t>
      </w:r>
      <w:r>
        <w:tab/>
        <w:t>6</w:t>
      </w:r>
    </w:p>
    <w:p>
      <w:pPr>
        <w:pStyle w:val="TOC2"/>
      </w:pPr>
      <w:r>
        <w:t>C. Déroulement des stages</w:t>
      </w:r>
      <w:r>
        <w:tab/>
        <w:t>7</w:t>
      </w:r>
    </w:p>
    <w:p>
      <w:pPr>
        <w:pStyle w:val="TOC1"/>
      </w:pPr>
      <w:r>
        <w:t>II — Services hospitalo-universitaires</w:t>
      </w:r>
      <w:r>
        <w:tab/>
        <w:t>7</w:t>
      </w:r>
    </w:p>
    <w:p>
      <w:pPr>
        <w:pStyle w:val="TOC2"/>
      </w:pPr>
      <w:r>
        <w:t>A. Les services du CHU Mohammed VI</w:t>
      </w:r>
      <w:r>
        <w:tab/>
        <w:t>8</w:t>
      </w:r>
    </w:p>
    <w:p>
      <w:pPr>
        <w:pStyle w:val="TOC3"/>
      </w:pPr>
      <w:r>
        <w:t>Services de médecine</w:t>
      </w:r>
      <w:r>
        <w:tab/>
        <w:t>8</w:t>
      </w:r>
    </w:p>
    <w:p>
      <w:pPr>
        <w:pStyle w:val="TOC3"/>
      </w:pPr>
      <w:r>
        <w:t>Services de chirurgie</w:t>
      </w:r>
      <w:r>
        <w:tab/>
        <w:t>9</w:t>
      </w:r>
    </w:p>
    <w:p>
      <w:pPr>
        <w:pStyle w:val="TOC3"/>
      </w:pPr>
      <w:r>
        <w:t>Services de pédiatrie</w:t>
      </w:r>
      <w:r>
        <w:tab/>
        <w:t>9</w:t>
      </w:r>
    </w:p>
    <w:p>
      <w:pPr>
        <w:pStyle w:val="TOC3"/>
      </w:pPr>
      <w:r>
        <w:t>Services de gynécologie-obstétrique</w:t>
      </w:r>
      <w:r>
        <w:tab/>
        <w:t>10</w:t>
      </w:r>
    </w:p>
    <w:p>
      <w:pPr>
        <w:pStyle w:val="TOC3"/>
      </w:pPr>
      <w:r>
        <w:t>Laboratoires</w:t>
      </w:r>
      <w:r>
        <w:tab/>
        <w:t>10</w:t>
      </w:r>
    </w:p>
    <w:p>
      <w:pPr>
        <w:pStyle w:val="TOC2"/>
      </w:pPr>
      <w:r>
        <w:t>B. Les services de l’hôpital militaire Avicenne</w:t>
      </w:r>
      <w:r>
        <w:tab/>
        <w:t>10</w:t>
      </w:r>
    </w:p>
    <w:p>
      <w:pPr>
        <w:pStyle w:val="TOC3"/>
      </w:pPr>
      <w:r>
        <w:t>Services médicaux</w:t>
      </w:r>
      <w:r>
        <w:tab/>
        <w:t>10</w:t>
      </w:r>
    </w:p>
    <w:p>
      <w:pPr>
        <w:pStyle w:val="TOC3"/>
      </w:pPr>
      <w:r>
        <w:t>Services chirurgicaux</w:t>
      </w:r>
      <w:r>
        <w:tab/>
        <w:t>11</w:t>
      </w:r>
    </w:p>
    <w:p>
      <w:pPr>
        <w:pStyle w:val="TOC3"/>
      </w:pPr>
      <w:r>
        <w:t>Laboratoires (chef de pôle : Pr Chakour Mohamed)</w:t>
      </w:r>
      <w:r>
        <w:tab/>
        <w:t>11</w:t>
      </w:r>
    </w:p>
    <w:p>
      <w:pPr>
        <w:pStyle w:val="TOC1"/>
      </w:pPr>
      <w:r>
        <w:t>III — Fonctions hospitalières de l’étudiant</w:t>
      </w:r>
      <w:r>
        <w:tab/>
        <w:t>11</w:t>
      </w:r>
    </w:p>
    <w:p>
      <w:pPr>
        <w:pStyle w:val="TOC2"/>
      </w:pPr>
      <w:r>
        <w:t>A. Les obligations de l’étudiant</w:t>
      </w:r>
      <w:r>
        <w:tab/>
        <w:t>12</w:t>
      </w:r>
    </w:p>
    <w:p>
      <w:pPr>
        <w:pStyle w:val="TOC2"/>
      </w:pPr>
      <w:r>
        <w:t>B. Les horaires du stage hospitalier</w:t>
      </w:r>
      <w:r>
        <w:tab/>
        <w:t>13</w:t>
      </w:r>
    </w:p>
    <w:p>
      <w:pPr>
        <w:pStyle w:val="TOC2"/>
      </w:pPr>
      <w:r>
        <w:t>C. Les gardes</w:t>
      </w:r>
      <w:r>
        <w:tab/>
        <w:t>13</w:t>
      </w:r>
    </w:p>
    <w:p>
      <w:pPr>
        <w:pStyle w:val="TOC2"/>
      </w:pPr>
      <w:r>
        <w:t>D. Le congé</w:t>
      </w:r>
      <w:r>
        <w:tab/>
        <w:t>13</w:t>
      </w:r>
    </w:p>
    <w:p>
      <w:pPr>
        <w:pStyle w:val="TOC2"/>
      </w:pPr>
      <w:r>
        <w:t>E. Les rémunérations</w:t>
      </w:r>
      <w:r>
        <w:tab/>
        <w:t>13</w:t>
      </w:r>
    </w:p>
    <w:p>
      <w:pPr>
        <w:pStyle w:val="TOC2"/>
      </w:pPr>
      <w:r>
        <w:t>F. Les sanctions</w:t>
      </w:r>
      <w:r>
        <w:tab/>
        <w:t>13</w:t>
      </w:r>
    </w:p>
    <w:p>
      <w:pPr>
        <w:pStyle w:val="TOC1"/>
      </w:pPr>
      <w:r>
        <w:t>IV — Déroulement des stages hospitaliers</w:t>
      </w:r>
      <w:r>
        <w:tab/>
        <w:t>13</w:t>
      </w:r>
    </w:p>
    <w:p>
      <w:pPr>
        <w:pStyle w:val="TOC1"/>
      </w:pPr>
      <w:r>
        <w:t>V — Nature des stages hospitaliers</w:t>
      </w:r>
      <w:r>
        <w:tab/>
        <w:t>14</w:t>
      </w:r>
    </w:p>
    <w:p>
      <w:pPr>
        <w:pStyle w:val="TOC2"/>
      </w:pPr>
      <w:r>
        <w:t>A. Le stage de sémiologie — soins infirmiers</w:t>
      </w:r>
      <w:r>
        <w:tab/>
        <w:t>14</w:t>
      </w:r>
    </w:p>
    <w:p>
      <w:pPr>
        <w:pStyle w:val="TOC2"/>
      </w:pPr>
      <w:r>
        <w:t>B. Le stage d’externat</w:t>
      </w:r>
      <w:r>
        <w:tab/>
        <w:t>14</w:t>
      </w:r>
    </w:p>
    <w:p>
      <w:pPr>
        <w:pStyle w:val="TOC2"/>
      </w:pPr>
      <w:r>
        <w:t>C. Le stage d’externat plein temps</w:t>
      </w:r>
      <w:r>
        <w:tab/>
        <w:t>15</w:t>
      </w:r>
    </w:p>
    <w:p>
      <w:pPr>
        <w:pStyle w:val="TOC2"/>
      </w:pPr>
      <w:r>
        <w:t>D. Le stage interné</w:t>
      </w:r>
      <w:r>
        <w:tab/>
        <w:t>15</w:t>
      </w:r>
    </w:p>
    <w:p>
      <w:pPr>
        <w:pStyle w:val="TOC1"/>
      </w:pPr>
      <w:r>
        <w:t>VI — L’évaluation des stages hospitaliers</w:t>
      </w:r>
      <w:r>
        <w:tab/>
        <w:t>16</w:t>
      </w:r>
    </w:p>
    <w:p>
      <w:pPr>
        <w:pStyle w:val="TOC2"/>
      </w:pPr>
      <w:r>
        <w:t>A. Rappel des dispositions réglementaires</w:t>
      </w:r>
      <w:r>
        <w:tab/>
        <w:t>16</w:t>
      </w:r>
    </w:p>
    <w:p>
      <w:pPr>
        <w:pStyle w:val="TOC2"/>
      </w:pPr>
      <w:r>
        <w:t>B. Critères et modalités de validation</w:t>
      </w:r>
      <w:r>
        <w:tab/>
        <w:t>16</w:t>
      </w:r>
    </w:p>
    <w:p>
      <w:pPr>
        <w:pStyle w:val="TOC3"/>
      </w:pPr>
      <w:r>
        <w:t>a — Règles générales</w:t>
      </w:r>
      <w:r>
        <w:tab/>
        <w:t>16</w:t>
      </w:r>
    </w:p>
    <w:p>
      <w:pPr>
        <w:pStyle w:val="TOC3"/>
      </w:pPr>
      <w:r>
        <w:t>b — L’évaluation du stage repose sur quatre volets</w:t>
      </w:r>
      <w:r>
        <w:tab/>
        <w:t>16</w:t>
      </w:r>
    </w:p>
    <w:p>
      <w:pPr>
        <w:pStyle w:val="TOC3"/>
      </w:pPr>
      <w:r>
        <w:t>c — L’évaluation de la fin du stage</w:t>
      </w:r>
      <w:r>
        <w:tab/>
        <w:t>17</w:t>
      </w:r>
    </w:p>
    <w:p>
      <w:pPr>
        <w:pStyle w:val="TOC2"/>
      </w:pPr>
      <w:r>
        <w:t>C. L’importance du stage hospitalier</w:t>
      </w:r>
      <w:r>
        <w:tab/>
        <w:t>17</w:t>
      </w:r>
    </w:p>
    <w:p>
      <w:pPr>
        <w:pStyle w:val="TOC1"/>
      </w:pPr>
      <w:r>
        <w:t>VII — Les objectifs des stages hospitaliers</w:t>
      </w:r>
      <w:r>
        <w:tab/>
        <w:t>18</w:t>
      </w:r>
    </w:p>
    <w:p>
      <w:pPr>
        <w:pStyle w:val="TOC2"/>
      </w:pPr>
      <w:r>
        <w:t>A. Les objectifs des stages hospitaliers de la fin de la 1ère et la 2ème année</w:t>
      </w:r>
      <w:r>
        <w:tab/>
        <w:t>18</w:t>
      </w:r>
    </w:p>
    <w:p>
      <w:pPr>
        <w:pStyle w:val="TOC3"/>
      </w:pPr>
      <w:r>
        <w:t>Stage D’immersion dans les structures de soin 1ère année</w:t>
      </w:r>
      <w:r>
        <w:tab/>
        <w:t>18</w:t>
      </w:r>
    </w:p>
    <w:p>
      <w:pPr>
        <w:pStyle w:val="TOC3"/>
      </w:pPr>
      <w:r>
        <w:t>Stage de médecine sociale — 2ème année</w:t>
      </w:r>
      <w:r>
        <w:tab/>
        <w:t>18</w:t>
      </w:r>
    </w:p>
    <w:p>
      <w:pPr>
        <w:pStyle w:val="TOC2"/>
      </w:pPr>
      <w:r>
        <w:t>B. Les objectifs de stage de sémiologie soins infirmiers</w:t>
      </w:r>
      <w:r>
        <w:tab/>
        <w:t>18</w:t>
      </w:r>
    </w:p>
    <w:p>
      <w:pPr>
        <w:pStyle w:val="TOC3"/>
      </w:pPr>
      <w:r>
        <w:t>Stage de sémiologie et des soins infirmiers</w:t>
      </w:r>
      <w:r>
        <w:tab/>
        <w:t>18</w:t>
      </w:r>
    </w:p>
    <w:p>
      <w:pPr>
        <w:pStyle w:val="TOC2"/>
      </w:pPr>
      <w:r>
        <w:t>C. Les objectifs de stage fondamental en Médecine et Chirurgie</w:t>
      </w:r>
      <w:r>
        <w:tab/>
        <w:t>19</w:t>
      </w:r>
    </w:p>
    <w:p>
      <w:pPr>
        <w:pStyle w:val="TOC3"/>
      </w:pPr>
      <w:r>
        <w:t>Stage fondamental de médecine</w:t>
      </w:r>
      <w:r>
        <w:tab/>
        <w:t>19</w:t>
      </w:r>
    </w:p>
    <w:p>
      <w:pPr>
        <w:pStyle w:val="TOC3"/>
      </w:pPr>
      <w:r>
        <w:t>Stage fondamental de chirurgie</w:t>
      </w:r>
      <w:r>
        <w:tab/>
        <w:t>20</w:t>
      </w:r>
    </w:p>
    <w:p>
      <w:pPr>
        <w:pStyle w:val="TOC2"/>
      </w:pPr>
      <w:r>
        <w:t>D. Les objectifs spécifiques dans les services de Médecine</w:t>
      </w:r>
      <w:r>
        <w:tab/>
        <w:t>21</w:t>
      </w:r>
    </w:p>
    <w:p>
      <w:pPr>
        <w:pStyle w:val="TOC3"/>
      </w:pPr>
      <w:r>
        <w:t>Service de rhumatologie</w:t>
      </w:r>
      <w:r>
        <w:tab/>
        <w:t>21</w:t>
      </w:r>
    </w:p>
    <w:p>
      <w:pPr>
        <w:pStyle w:val="TOC3"/>
      </w:pPr>
      <w:r>
        <w:t>Service de cardiologie : 3ème année</w:t>
      </w:r>
      <w:r>
        <w:tab/>
        <w:t>22</w:t>
      </w:r>
    </w:p>
    <w:p>
      <w:pPr>
        <w:pStyle w:val="TOC3"/>
      </w:pPr>
      <w:r>
        <w:t>Service de cardiologie : 6ème année</w:t>
      </w:r>
      <w:r>
        <w:tab/>
        <w:t>25</w:t>
      </w:r>
    </w:p>
    <w:p>
      <w:pPr>
        <w:pStyle w:val="TOC3"/>
      </w:pPr>
      <w:r>
        <w:t>Service de dermatologie</w:t>
      </w:r>
      <w:r>
        <w:tab/>
        <w:t>26</w:t>
      </w:r>
    </w:p>
    <w:p>
      <w:pPr>
        <w:pStyle w:val="TOC3"/>
      </w:pPr>
      <w:r>
        <w:t>Service d’endocrinologie et maladies métaboliques</w:t>
      </w:r>
      <w:r>
        <w:tab/>
        <w:t>27</w:t>
      </w:r>
    </w:p>
    <w:p>
      <w:pPr>
        <w:pStyle w:val="TOC3"/>
      </w:pPr>
      <w:r>
        <w:t>Service de gastro-enterologie</w:t>
      </w:r>
      <w:r>
        <w:tab/>
        <w:t>28</w:t>
      </w:r>
    </w:p>
    <w:p>
      <w:pPr>
        <w:pStyle w:val="TOC3"/>
      </w:pPr>
      <w:r>
        <w:t>Service d’hématologie clinique</w:t>
      </w:r>
      <w:r>
        <w:tab/>
        <w:t>29</w:t>
      </w:r>
    </w:p>
    <w:p>
      <w:pPr>
        <w:pStyle w:val="TOC3"/>
      </w:pPr>
      <w:r>
        <w:t>Service de médecine interne</w:t>
      </w:r>
      <w:r>
        <w:tab/>
        <w:t>30</w:t>
      </w:r>
    </w:p>
    <w:p>
      <w:pPr>
        <w:pStyle w:val="TOC3"/>
      </w:pPr>
      <w:r>
        <w:t>Service de maladies infectieuses</w:t>
      </w:r>
      <w:r>
        <w:tab/>
        <w:t>31</w:t>
      </w:r>
    </w:p>
    <w:p>
      <w:pPr>
        <w:pStyle w:val="TOC3"/>
      </w:pPr>
      <w:r>
        <w:t>Service de néphrologie</w:t>
      </w:r>
      <w:r>
        <w:tab/>
        <w:t>32</w:t>
      </w:r>
    </w:p>
    <w:p>
      <w:pPr>
        <w:pStyle w:val="TOC3"/>
      </w:pPr>
      <w:r>
        <w:t>Service de neurologie</w:t>
      </w:r>
      <w:r>
        <w:tab/>
        <w:t>33</w:t>
      </w:r>
    </w:p>
    <w:p>
      <w:pPr>
        <w:pStyle w:val="TOC3"/>
      </w:pPr>
      <w:r>
        <w:t>Service de pneumophtisiologie - Stage en 3ème année</w:t>
      </w:r>
      <w:r>
        <w:tab/>
        <w:t>34</w:t>
      </w:r>
    </w:p>
    <w:p>
      <w:pPr>
        <w:pStyle w:val="TOC3"/>
      </w:pPr>
      <w:r>
        <w:t>Service de psychiatrie</w:t>
      </w:r>
      <w:r>
        <w:tab/>
        <w:t>35</w:t>
      </w:r>
    </w:p>
    <w:p>
      <w:pPr>
        <w:pStyle w:val="TOC3"/>
      </w:pPr>
      <w:r>
        <w:t>Service de médecine physique et réadaptation fonctionnelle</w:t>
      </w:r>
      <w:r>
        <w:tab/>
        <w:t>36</w:t>
      </w:r>
    </w:p>
    <w:p>
      <w:pPr>
        <w:pStyle w:val="TOC3"/>
      </w:pPr>
      <w:r>
        <w:t>Service de radiothérapie-oncologie</w:t>
      </w:r>
      <w:r>
        <w:tab/>
        <w:t>37</w:t>
      </w:r>
    </w:p>
    <w:p>
      <w:pPr>
        <w:pStyle w:val="TOC3"/>
      </w:pPr>
      <w:r>
        <w:t>Service de radiologie</w:t>
      </w:r>
      <w:r>
        <w:tab/>
        <w:t>38</w:t>
      </w:r>
    </w:p>
    <w:p>
      <w:pPr>
        <w:pStyle w:val="TOC2"/>
      </w:pPr>
      <w:r>
        <w:t>E. Les objectifs spécifiques dans les services de chirurgie</w:t>
      </w:r>
      <w:r>
        <w:tab/>
        <w:t>42</w:t>
      </w:r>
    </w:p>
    <w:p>
      <w:pPr>
        <w:pStyle w:val="TOC3"/>
      </w:pPr>
      <w:r>
        <w:t>Service de chirurgie cardiovasculaire - Stage en 4ème Année</w:t>
      </w:r>
      <w:r>
        <w:tab/>
        <w:t>42</w:t>
      </w:r>
    </w:p>
    <w:p>
      <w:pPr>
        <w:pStyle w:val="TOC3"/>
      </w:pPr>
      <w:r>
        <w:t>Chirurgie vasculaire périphérique - Stage en 4ème année</w:t>
      </w:r>
      <w:r>
        <w:tab/>
        <w:t>45</w:t>
      </w:r>
    </w:p>
    <w:p>
      <w:pPr>
        <w:pStyle w:val="TOC3"/>
      </w:pPr>
      <w:r>
        <w:t>Service de chirurgie viscérale</w:t>
      </w:r>
      <w:r>
        <w:tab/>
        <w:t>45</w:t>
      </w:r>
    </w:p>
    <w:p>
      <w:pPr>
        <w:pStyle w:val="TOC3"/>
      </w:pPr>
      <w:r>
        <w:t>Service de traumatologie-orthopédie</w:t>
      </w:r>
      <w:r>
        <w:tab/>
        <w:t>46</w:t>
      </w:r>
    </w:p>
    <w:p>
      <w:pPr>
        <w:pStyle w:val="TOC3"/>
      </w:pPr>
      <w:r>
        <w:t>Service de neurochirurgie</w:t>
      </w:r>
      <w:r>
        <w:tab/>
        <w:t>47</w:t>
      </w:r>
    </w:p>
    <w:p>
      <w:pPr>
        <w:pStyle w:val="TOC3"/>
      </w:pPr>
      <w:r>
        <w:t>Service d’ORL</w:t>
      </w:r>
      <w:r>
        <w:tab/>
        <w:t>48</w:t>
      </w:r>
    </w:p>
    <w:p>
      <w:pPr>
        <w:pStyle w:val="TOC3"/>
      </w:pPr>
      <w:r>
        <w:t>Service d’ophtalmologie</w:t>
      </w:r>
      <w:r>
        <w:tab/>
        <w:t>49</w:t>
      </w:r>
    </w:p>
    <w:p>
      <w:pPr>
        <w:pStyle w:val="TOC3"/>
      </w:pPr>
      <w:r>
        <w:t>Service d’urologie</w:t>
      </w:r>
      <w:r>
        <w:tab/>
        <w:t>50</w:t>
      </w:r>
    </w:p>
    <w:p>
      <w:pPr>
        <w:pStyle w:val="TOC3"/>
      </w:pPr>
      <w:r>
        <w:t>Service de stomatologie et chirurgie maxillo-faciale</w:t>
      </w:r>
      <w:r>
        <w:tab/>
        <w:t>51</w:t>
      </w:r>
    </w:p>
    <w:p>
      <w:pPr>
        <w:pStyle w:val="TOC3"/>
      </w:pPr>
      <w:r>
        <w:t>Service de chirurgie plastique</w:t>
      </w:r>
      <w:r>
        <w:tab/>
        <w:t>52</w:t>
      </w:r>
    </w:p>
    <w:p>
      <w:pPr>
        <w:pStyle w:val="TOC3"/>
      </w:pPr>
      <w:r>
        <w:t>Service de gynécologie obstétrique - Stage en 5ème année</w:t>
      </w:r>
      <w:r>
        <w:tab/>
        <w:t>53</w:t>
      </w:r>
    </w:p>
    <w:p>
      <w:pPr>
        <w:pStyle w:val="TOC2"/>
      </w:pPr>
      <w:r>
        <w:t>F. Les objectifs des stages hospitaliers dans les services de l’enfant</w:t>
      </w:r>
      <w:r>
        <w:tab/>
        <w:t>54</w:t>
      </w:r>
    </w:p>
    <w:p>
      <w:pPr>
        <w:pStyle w:val="TOC3"/>
      </w:pPr>
      <w:r>
        <w:t>Services de L’enfant</w:t>
      </w:r>
      <w:r>
        <w:tab/>
        <w:t>54</w:t>
      </w:r>
    </w:p>
    <w:p>
      <w:pPr>
        <w:pStyle w:val="TOC3"/>
      </w:pPr>
      <w:r>
        <w:t>Pédiatrie</w:t>
      </w:r>
      <w:r>
        <w:tab/>
        <w:t>54</w:t>
      </w:r>
    </w:p>
    <w:p>
      <w:pPr>
        <w:pStyle w:val="TOC3"/>
      </w:pPr>
      <w:r>
        <w:t>Chirurgie pédiatrique</w:t>
      </w:r>
      <w:r>
        <w:tab/>
        <w:t>55</w:t>
      </w:r>
    </w:p>
    <w:p>
      <w:pPr>
        <w:pStyle w:val="TOC3"/>
      </w:pPr>
      <w:r>
        <w:t>Radiologie pédiatrique / Imagerie de l’enfant.</w:t>
      </w:r>
      <w:r>
        <w:tab/>
        <w:t>56</w:t>
      </w:r>
    </w:p>
    <w:p>
      <w:pPr>
        <w:pStyle w:val="TOC3"/>
      </w:pPr>
      <w:r>
        <w:t>Service de réanimation pédiatrique</w:t>
      </w:r>
      <w:r>
        <w:tab/>
        <w:t>57</w:t>
      </w:r>
    </w:p>
    <w:p>
      <w:pPr>
        <w:pStyle w:val="TOC2"/>
      </w:pPr>
      <w:r>
        <w:t>G. Les objectifs spécifiques des stages dans les services de réanimation</w:t>
      </w:r>
      <w:r>
        <w:tab/>
        <w:t>58</w:t>
      </w:r>
    </w:p>
    <w:p>
      <w:pPr>
        <w:pStyle w:val="TOC3"/>
      </w:pPr>
      <w:r>
        <w:t>Service de réanimation anesthésie</w:t>
      </w:r>
      <w:r>
        <w:tab/>
        <w:t>58</w:t>
      </w:r>
    </w:p>
    <w:p>
      <w:pPr>
        <w:pStyle w:val="TOC2"/>
      </w:pPr>
      <w:r>
        <w:t>H. Les objectifs spécifiques des stages dans les Laboratoires</w:t>
      </w:r>
      <w:r>
        <w:tab/>
        <w:t>59</w:t>
      </w:r>
    </w:p>
    <w:p>
      <w:pPr>
        <w:pStyle w:val="TOC3"/>
      </w:pPr>
      <w:r>
        <w:t>Service de parasitologie</w:t>
      </w:r>
      <w:r>
        <w:tab/>
        <w:t>59</w:t>
      </w:r>
    </w:p>
    <w:p>
      <w:pPr>
        <w:pStyle w:val="TOC3"/>
      </w:pPr>
      <w:r>
        <w:t>Service de microbiologie</w:t>
      </w:r>
      <w:r>
        <w:tab/>
        <w:t>60</w:t>
      </w:r>
    </w:p>
    <w:p>
      <w:pPr>
        <w:pStyle w:val="TOC3"/>
      </w:pPr>
      <w:r>
        <w:t>Service d’anatomo-pathologie</w:t>
      </w:r>
      <w:r>
        <w:tab/>
        <w:t>60</w:t>
      </w:r>
    </w:p>
    <w:p>
      <w:pPr>
        <w:pStyle w:val="TOC3"/>
      </w:pPr>
      <w:r>
        <w:t>Service d’immunologie</w:t>
      </w:r>
      <w:r>
        <w:tab/>
        <w:t>60</w:t>
      </w:r>
    </w:p>
    <w:p>
      <w:pPr>
        <w:pStyle w:val="TOC3"/>
      </w:pPr>
      <w:r>
        <w:t>Service de génétique</w:t>
      </w:r>
      <w:r>
        <w:tab/>
        <w:t>61</w:t>
      </w:r>
    </w:p>
    <w:p>
      <w:pPr>
        <w:pStyle w:val="TOC3"/>
      </w:pPr>
      <w:r>
        <w:t>Service d’hématologie</w:t>
      </w:r>
      <w:r>
        <w:tab/>
        <w:t>61</w:t>
      </w:r>
    </w:p>
    <w:p>
      <w:pPr>
        <w:pStyle w:val="TOC2"/>
      </w:pPr>
      <w:r>
        <w:t>I. Les objectifs spécifiques des stages dans les centres de santé</w:t>
      </w:r>
      <w:r>
        <w:tab/>
        <w:t>62</w:t>
      </w:r>
    </w:p>
    <w:p>
      <w:pPr>
        <w:pStyle w:val="TOC3"/>
      </w:pPr>
      <w:r>
        <w:t>Centre de santé</w:t>
      </w:r>
      <w:r>
        <w:tab/>
        <w:t>62</w:t>
      </w:r>
    </w:p>
    <w:p>
      <w:pPr>
        <w:pStyle w:val="TOC1"/>
      </w:pPr>
      <w:r>
        <w:t>Annexes</w:t>
      </w:r>
      <w:r>
        <w:tab/>
        <w:t>63</w:t>
      </w:r>
    </w:p>
    <w:p>
      <w:pPr>
        <w:pStyle w:val="TOC2"/>
      </w:pPr>
      <w:r>
        <w:t>Annexe 1 — Charte du stage hospitalier</w:t>
      </w:r>
      <w:r>
        <w:tab/>
        <w:t>63</w:t>
      </w:r>
    </w:p>
    <w:p>
      <w:pPr>
        <w:pStyle w:val="TOC3"/>
      </w:pPr>
      <w:r>
        <w:t>A. L’étudiant</w:t>
      </w:r>
      <w:r>
        <w:tab/>
        <w:t>63</w:t>
      </w:r>
    </w:p>
    <w:p>
      <w:pPr>
        <w:pStyle w:val="TOC3"/>
      </w:pPr>
      <w:r>
        <w:t>B. Le lieu du stage</w:t>
      </w:r>
      <w:r>
        <w:tab/>
        <w:t>63</w:t>
      </w:r>
    </w:p>
    <w:p>
      <w:pPr>
        <w:pStyle w:val="TOC3"/>
      </w:pPr>
      <w:r>
        <w:t>C. Les responsables de l’encadrement</w:t>
      </w:r>
      <w:r>
        <w:tab/>
        <w:t>63</w:t>
      </w:r>
    </w:p>
    <w:p>
      <w:pPr>
        <w:pStyle w:val="TOC3"/>
      </w:pPr>
      <w:r>
        <w:t>D. Le déroulement du stage</w:t>
      </w:r>
      <w:r>
        <w:tab/>
        <w:t>65</w:t>
      </w:r>
    </w:p>
    <w:p>
      <w:pPr>
        <w:pStyle w:val="TOC2"/>
      </w:pPr>
      <w:r>
        <w:t>Annexe 2 — Situations d’encadrement</w:t>
      </w:r>
      <w:r>
        <w:tab/>
        <w:t>68</w:t>
      </w:r>
    </w:p>
    <w:p>
      <w:pPr>
        <w:pStyle w:val="TOC2"/>
      </w:pPr>
      <w:r>
        <w:t>Annexe 3 — Référentiel du stage hospitalier</w:t>
      </w:r>
      <w:r>
        <w:tab/>
        <w:t>68</w:t>
      </w:r>
    </w:p>
    <w:p>
      <w:pPr>
        <w:pStyle w:val="TOC3"/>
      </w:pPr>
      <w:r>
        <w:t>I — Rôle du référent du stage vis-à-vis des enseignants du service</w:t>
      </w:r>
      <w:r>
        <w:tab/>
        <w:t>69</w:t>
      </w:r>
    </w:p>
    <w:p>
      <w:pPr>
        <w:pStyle w:val="TOC3"/>
      </w:pPr>
      <w:r>
        <w:t>II — Rôle du référent du stage vis-à-vis des étudiants</w:t>
      </w:r>
      <w:r>
        <w:tab/>
        <w:t>69</w:t>
      </w:r>
    </w:p>
    <w:p>
      <w:pPr>
        <w:pStyle w:val="TOC3"/>
      </w:pPr>
      <w:r>
        <w:t>III — Rôle du référent du stage vis-à-vis du décanat</w:t>
      </w:r>
      <w:r>
        <w:tab/>
        <w:t>70</w:t>
      </w:r>
      <w:r>
        <w:fldChar w:fldCharType="end"/>
      </w:r>
    </w:p>
    <w:p>
      <w:r>
        <w:br w:type="page"/>
      </w:r>
    </w:p>
    <w:p>
      <w:pPr>
        <w:pStyle w:val="Heading1"/>
      </w:pPr>
      <w:r>
        <w:t>Préambule</w:t>
      </w:r>
    </w:p>
    <w:p>
      <w:r>
        <w:rPr>
          <w:b w:val="0"/>
          <w:i w:val="0"/>
        </w:rPr>
        <w:t>Le stage hospitalier représente le lieu privilégié où le stagiaire doit acquérir des comportements médicaux au contact de ses aînés dans ce domaine. Il en sera marqué tout au long de sa vie professionnelle. Ainsi, ce stage complétera l’enseignement théorique (cours magistraux, enseignements dirigés, documents personnels) en immergeant le stagiaire dans les conditions réelles de soins donnés au malade. Il s’agit donc de confronter, durant une courte période, la théorie et la pratique. L’enseignement pratique repose avant tout sur le compagnonnage. Le stagiaire apprend au contact de ses pairs plus expérimentés :</w:t>
      </w:r>
    </w:p>
    <w:p>
      <w:pPr>
        <w:pStyle w:val="ListBullet"/>
      </w:pPr>
      <w:r>
        <w:t>Il assiste aux visites médicales, des médecins et internes du service</w:t>
      </w:r>
    </w:p>
    <w:p>
      <w:pPr>
        <w:pStyle w:val="ListBullet"/>
      </w:pPr>
      <w:r>
        <w:t>Il assiste aussi à certaines consultations</w:t>
      </w:r>
    </w:p>
    <w:p>
      <w:pPr>
        <w:pStyle w:val="ListBullet"/>
      </w:pPr>
      <w:r>
        <w:t>Il s’imprègne de l’ambiance hospitalière</w:t>
      </w:r>
    </w:p>
    <w:p>
      <w:pPr>
        <w:pStyle w:val="ListBullet"/>
      </w:pPr>
      <w:r>
        <w:t>Il tente de comprendre la prise de décision médicale</w:t>
      </w:r>
    </w:p>
    <w:p>
      <w:r>
        <w:rPr>
          <w:b w:val="0"/>
          <w:i w:val="0"/>
        </w:rPr>
        <w:t>De manière générale, il est demandé au stagiaire de faire preuve d’initiative, de curiosité et d’intérêt, dans le respect des patients, de l’équipe soignante et de l’encadrement pédagogique. Ainsi, le stagiaire hospitalier a une double obligation :</w:t>
      </w:r>
    </w:p>
    <w:p>
      <w:pPr>
        <w:pStyle w:val="ListBullet"/>
      </w:pPr>
      <w:r>
        <w:t>Une obligation de formation, qui nécessite assiduité et participation active aux activités pédagogiques organisées pendant le stage.</w:t>
      </w:r>
    </w:p>
    <w:p>
      <w:pPr>
        <w:pStyle w:val="ListBullet"/>
      </w:pPr>
      <w:r>
        <w:t>Une obligation de participation aux activités cliniques ou médico- techniques spécifiques du service concerné.</w:t>
      </w:r>
    </w:p>
    <w:p>
      <w:r>
        <w:rPr>
          <w:b w:val="0"/>
          <w:i w:val="0"/>
        </w:rPr>
        <w:t>Il convient de souligner que le stage doit répondre essentiellement à une finalité pédagogique. En aucun cas, il ne doit être considéré comme un emploi. Ses objectifs s’intègrent dans le projet de formation qui allie connaissances et compétences acquises à l’université et celles à acquérir pendant le stage. Le stage doit être perçu comme le prolongement des études mais également comme une première expérience professionnelle pour l’étudiant.</w:t>
      </w:r>
    </w:p>
    <w:p>
      <w:r>
        <w:rPr>
          <w:b w:val="0"/>
          <w:i w:val="0"/>
        </w:rPr>
        <w:t>En prenant conscience du fait que les étudiants d’aujourd’hui seront nos collègues de demain, nous avons souhaité remettre en question notre fonction d’encadrement. S’intéresser à la formation des étudiants implique une réflexion sur les soins réalisés, et sur les possibilités d’en améliorer la qualité. En période de pénurie, encadrer les étudiants constitue aussi un moyen de recrutement de futurs collègues.</w:t>
      </w:r>
    </w:p>
    <w:p>
      <w:r>
        <w:rPr>
          <w:b w:val="0"/>
          <w:i w:val="0"/>
        </w:rPr>
        <w:t>Le présent document a pour but de faciliter votre arrivée dans le service hospitalier et de permettre le bon déroulement de votre stage. Il a pour ambition de favoriser la relation triangulaire Institut - étudiant - terrain de stage.</w:t>
      </w:r>
    </w:p>
    <w:p>
      <w:r>
        <w:rPr>
          <w:b w:val="0"/>
          <w:i w:val="0"/>
        </w:rPr>
        <w:t>Nous vous souhaitons la bienvenue et espérons que ce stage répondra à vos attentes.</w:t>
      </w:r>
    </w:p>
    <w:p>
      <w:r>
        <w:rPr>
          <w:b w:val="0"/>
          <w:i w:val="0"/>
        </w:rPr>
        <w:t>Enfin, nous remercions le comité du stage hospitalier pour leur participation à l’élaboration de ce guide.</w:t>
      </w:r>
    </w:p>
    <w:p>
      <w:pPr>
        <w:spacing w:after="0" w:before="280"/>
        <w:jc w:val="right"/>
      </w:pPr>
      <w:r>
        <w:rPr>
          <w:b/>
          <w:i w:val="0"/>
        </w:rPr>
        <w:t>Professeur Mohammed Bouskraoui</w:t>
      </w:r>
    </w:p>
    <w:p>
      <w:pPr>
        <w:jc w:val="right"/>
      </w:pPr>
      <w:r>
        <w:rPr>
          <w:b w:val="0"/>
          <w:i/>
        </w:rPr>
        <w:t>Doyen de la Faculté de Médecine et de pharmacie de Marrakech</w:t>
      </w:r>
    </w:p>
    <w:p>
      <w:pPr>
        <w:pStyle w:val="Heading1"/>
      </w:pPr>
      <w:r>
        <w:t>I — Réglementation des stages hospitaliers</w:t>
      </w:r>
    </w:p>
    <w:p>
      <w:r>
        <w:rPr>
          <w:b w:val="0"/>
          <w:i w:val="0"/>
        </w:rPr>
        <w:t>Selon le règlement intérieur de la faculté de médecine et de pharmacie de Marrakech (FMPM), le déroulement du stage hospitalier doit respecter les clauses des articles du chapitre VI (formation pratique).</w:t>
      </w:r>
    </w:p>
    <w:p>
      <w:pPr>
        <w:pStyle w:val="Heading2"/>
      </w:pPr>
      <w:r>
        <w:t>A. Objectifs et organisation des stages</w:t>
      </w:r>
    </w:p>
    <w:p>
      <w:r>
        <w:rPr>
          <w:b/>
        </w:rPr>
        <w:t>Article 31 :</w:t>
      </w:r>
      <w:r>
        <w:t xml:space="preserve"> Les stages hospitaliers sont obligatoires. Ils sont introduits dès la 1ère année des études médicales.</w:t>
      </w:r>
    </w:p>
    <w:p>
      <w:r>
        <w:rPr>
          <w:b/>
        </w:rPr>
        <w:t>Article 32 :</w:t>
      </w:r>
      <w:r>
        <w:t xml:space="preserve"> Ils sont destinés à former sur le plan pratique les étudiants en médecine dans les centres hospitaliers universitaires et dans les formations sanitaires agréées dont la liste est fixée par arrêté conjoint du ministère de la santé et du ministre de l’enseignement supérieur.</w:t>
      </w:r>
    </w:p>
    <w:p>
      <w:r>
        <w:rPr>
          <w:b/>
        </w:rPr>
        <w:t>Article 33 :</w:t>
      </w:r>
      <w:r>
        <w:t xml:space="preserve"> L’administration met à la disposition des étudiants au début de chaque année par affichage la répartition des groupes de stages, les dates des différents stages et leur nature.</w:t>
      </w:r>
    </w:p>
    <w:p>
      <w:r>
        <w:rPr>
          <w:b/>
        </w:rPr>
        <w:t>Article 34 :</w:t>
      </w:r>
      <w:r>
        <w:t xml:space="preserve"> Les étudiants doublant sont astreints aux mêmes stages que les étudiants de la nouvelle promotion, même si ces stages ont été validés.</w:t>
      </w:r>
    </w:p>
    <w:p>
      <w:r>
        <w:rPr>
          <w:b/>
        </w:rPr>
        <w:t>Article 35 :</w:t>
      </w:r>
      <w:r>
        <w:t xml:space="preserve"> Avant le début des stages, l’étudiant doit avoir subi les vaccinations obligatoires. Il doit par ailleurs porter une blouse blanche de médecin, propre. Le port du badge de l’externe est obligatoire au cours de l’activité hospitalière.</w:t>
      </w:r>
    </w:p>
    <w:p>
      <w:r>
        <w:rPr>
          <w:b/>
        </w:rPr>
        <w:t>Article 36 :</w:t>
      </w:r>
      <w:r>
        <w:t xml:space="preserve"> Le carnet de stages dûment rempli sera exigé lors des examens de synthèse clinique et thérapeutique.</w:t>
      </w:r>
    </w:p>
    <w:p>
      <w:r>
        <w:rPr>
          <w:b/>
        </w:rPr>
        <w:t>Article 37 :</w:t>
      </w:r>
      <w:r>
        <w:t xml:space="preserve"> La présence durant le stage est obligatoire, tous les matins du Lundi au Vendredi. Plus de deux absences non justifiées ou des absences justifiées représentant plus de 10% jours ouvrables de la durée de stage, est considéré comme non assidu et donc non admissible pour la validation de son stage.</w:t>
      </w:r>
    </w:p>
    <w:p>
      <w:r>
        <w:rPr>
          <w:b/>
        </w:rPr>
        <w:t>Article 38 :</w:t>
      </w:r>
      <w:r>
        <w:t xml:space="preserve"> La validation des stages d’externat se fera au cours d’une délibération, au plus tard une semaine après la fin du stage. Elle repose sur quatre volets : (voir annexe « évaluation du stage »)</w:t>
      </w:r>
    </w:p>
    <w:p>
      <w:pPr>
        <w:pStyle w:val="ListBullet"/>
      </w:pPr>
      <w:r>
        <w:t>L’assiduité</w:t>
      </w:r>
    </w:p>
    <w:p>
      <w:pPr>
        <w:pStyle w:val="ListBullet"/>
      </w:pPr>
      <w:r>
        <w:t>L’évaluation du comportement</w:t>
      </w:r>
    </w:p>
    <w:p>
      <w:pPr>
        <w:pStyle w:val="ListBullet"/>
      </w:pPr>
      <w:r>
        <w:t>La note de validation des objectifs de stage : validation au moins 80% des objectifs.</w:t>
      </w:r>
    </w:p>
    <w:p>
      <w:pPr>
        <w:pStyle w:val="ListBullet"/>
      </w:pPr>
      <w:r>
        <w:t>La note de l’évaluation de la fin du stage</w:t>
      </w:r>
    </w:p>
    <w:p>
      <w:r>
        <w:rPr>
          <w:b/>
        </w:rPr>
        <w:t>Article 39 :</w:t>
      </w:r>
      <w:r>
        <w:t xml:space="preserve"> Les externes n’ont droit qu’à un mois de congé par an (mois d’août).</w:t>
      </w:r>
    </w:p>
    <w:p>
      <w:r>
        <w:rPr>
          <w:b w:val="0"/>
          <w:i w:val="0"/>
        </w:rPr>
        <w:t>Le conseil de fac du 24 décembre 2015 a validé les décisions suivantes portant sur le stage hospitalier :</w:t>
      </w:r>
    </w:p>
    <w:p>
      <w:pPr>
        <w:pStyle w:val="Heading3"/>
      </w:pPr>
      <w:r>
        <w:t>a/ Revalidation de stage hospitalier au mois d’août</w:t>
      </w:r>
    </w:p>
    <w:p>
      <w:r>
        <w:rPr>
          <w:b w:val="0"/>
          <w:i w:val="0"/>
        </w:rPr>
        <w:t>Le conseil de la faculté a soulevé le problème de certains étudiants qui veulent revalider les stages hospitaliers pour leur permettre de passer le concours de l’internat. Pour cette catégorie d’étudiant, le conseil a décidé de pouvoir permettre à ces étudiants de revalider leur stage pendant le mois d’Août sous conditions :</w:t>
      </w:r>
    </w:p>
    <w:p>
      <w:pPr>
        <w:pStyle w:val="ListBullet"/>
      </w:pPr>
      <w:r>
        <w:t>Formuler cette demande durant la 5ème année au décanat avant le mois de juillet</w:t>
      </w:r>
    </w:p>
    <w:p>
      <w:pPr>
        <w:pStyle w:val="ListBullet"/>
      </w:pPr>
      <w:r>
        <w:t>Un accord par écrit du chef de service hospitalier qui est responsable de l’encadrement de ce stage à revalider. L’étudiant doit joindre sa demande avec cet accord.</w:t>
      </w:r>
    </w:p>
    <w:p>
      <w:pPr>
        <w:pStyle w:val="ListBullet"/>
      </w:pPr>
      <w:r>
        <w:t>Un accord du décanat pour permettre au service de scolarité 2ème cycle de programmer ce stage et autoriser au chef de service hospitalier encadrant sa réalisation.</w:t>
      </w:r>
    </w:p>
    <w:p>
      <w:pPr>
        <w:pStyle w:val="Heading3"/>
      </w:pPr>
      <w:r>
        <w:t>b/ Validation de stage à l’étranger</w:t>
      </w:r>
    </w:p>
    <w:p>
      <w:r>
        <w:rPr>
          <w:b w:val="0"/>
          <w:i w:val="0"/>
        </w:rPr>
        <w:t>Dans la politique d’encourager la mobilité de nos étudiants, Il a été soumis aux membres de conseil la possibilité de permettre aux étudiants de la validation un stage hospitalier à l’étranger. Le conseil de fac a décidé de permettre cette validation sous réserve que :</w:t>
      </w:r>
    </w:p>
    <w:p>
      <w:pPr>
        <w:pStyle w:val="ListBullet"/>
      </w:pPr>
      <w:r>
        <w:t>Le dossier de demande doit être étudié par le Vice-Doyen à la pédagogie, cas par cas.</w:t>
      </w:r>
    </w:p>
    <w:p>
      <w:pPr>
        <w:pStyle w:val="ListBullet"/>
      </w:pPr>
      <w:r>
        <w:t>Le stage doit répondre aux objectifs pédagogiques de formation, sans nuire au déroulement des études de l’étudiant ni à son évaluation.</w:t>
      </w:r>
    </w:p>
    <w:p>
      <w:pPr>
        <w:pStyle w:val="Heading2"/>
      </w:pPr>
      <w:r>
        <w:t>B. Nature des stages hospitaliers</w:t>
      </w:r>
    </w:p>
    <w:p>
      <w:r>
        <w:rPr>
          <w:b w:val="0"/>
          <w:i w:val="0"/>
        </w:rPr>
        <w:t>La formation pratique comporte quatre variétés de stages :</w:t>
      </w:r>
    </w:p>
    <w:p>
      <w:pPr>
        <w:ind w:left="510" w:hanging="340"/>
      </w:pPr>
      <w:r>
        <w:rPr>
          <w:b/>
        </w:rPr>
        <w:t xml:space="preserve">1. </w:t>
      </w:r>
      <w:r>
        <w:t>Un stage d’immersion dans les structures de soins à la 1ère année d’une durée de 3 semaines. Les objectifs du stage sont dans le guide. Une copie de l’évaluation de stage et une copie du rapport de stage doivent être déposées au centre d’accueil 1er cycle à la fin du stage.</w:t>
      </w:r>
    </w:p>
    <w:p>
      <w:pPr>
        <w:ind w:left="510" w:hanging="340"/>
      </w:pPr>
      <w:r>
        <w:rPr>
          <w:b/>
        </w:rPr>
        <w:t xml:space="preserve">2. </w:t>
      </w:r>
      <w:r>
        <w:t>Un stage de médecine sociale à la 2ème année d’une durée de 3 semaines.</w:t>
      </w:r>
    </w:p>
    <w:p>
      <w:pPr>
        <w:ind w:left="510" w:hanging="340"/>
      </w:pPr>
      <w:r>
        <w:rPr>
          <w:b/>
        </w:rPr>
        <w:t xml:space="preserve">3. </w:t>
      </w:r>
      <w:r>
        <w:t>Un stage des soins infirmiers et sémiologie au début de la 3ème année</w:t>
      </w:r>
    </w:p>
    <w:p>
      <w:pPr>
        <w:ind w:left="510" w:hanging="340"/>
      </w:pPr>
      <w:r>
        <w:rPr>
          <w:b/>
        </w:rPr>
        <w:t xml:space="preserve">4. </w:t>
      </w:r>
      <w:r>
        <w:t>Des stages d’externat durant la 3ème 4ème et la 5ème année.</w:t>
      </w:r>
    </w:p>
    <w:p>
      <w:r>
        <w:rPr>
          <w:b/>
        </w:rPr>
        <w:t>Article 41 :</w:t>
      </w:r>
      <w:r>
        <w:t xml:space="preserve"> Ces stages se déroulent du 5ème au 10ème semestre des études médicales. Ils durent de 7 à 10 semaines.</w:t>
      </w:r>
    </w:p>
    <w:p>
      <w:r>
        <w:rPr>
          <w:b/>
        </w:rPr>
        <w:t>Article 42 :</w:t>
      </w:r>
      <w:r>
        <w:t xml:space="preserve"> Ces stages se déroulent dans les différents services du C.H.U. Mohamed VI de Marrakech et l’hôpital militaire ou dans les services agréés. L’organisation de ces stages se fait sous la responsabilité du comité des stages hospitaliers :</w:t>
      </w:r>
    </w:p>
    <w:p>
      <w:pPr>
        <w:pStyle w:val="ListBullet"/>
      </w:pPr>
      <w:r>
        <w:t>Stages de 3ème année : sémiologie, médecine, chirurgie.</w:t>
      </w:r>
    </w:p>
    <w:p>
      <w:pPr>
        <w:pStyle w:val="ListBullet"/>
      </w:pPr>
      <w:r>
        <w:t>Stages de 4ème année : pédiatrie, médecine, chirurgie, biologie</w:t>
      </w:r>
    </w:p>
    <w:p>
      <w:pPr>
        <w:pStyle w:val="ListBullet"/>
      </w:pPr>
      <w:r>
        <w:t>Stages de 5ème année : gynécologie-obstétrique, médecine, chirurgie, biologie.</w:t>
      </w:r>
    </w:p>
    <w:p>
      <w:r>
        <w:rPr>
          <w:b/>
        </w:rPr>
        <w:t>Article 43 :</w:t>
      </w:r>
      <w:r>
        <w:t xml:space="preserve"> Tout stage non validé doit être revalidé dans sa totalité. L’étudiant est réparti par le service de scolarité selon les possibilités d’accueil du service.</w:t>
      </w:r>
    </w:p>
    <w:p>
      <w:pPr>
        <w:ind w:left="510" w:hanging="340"/>
      </w:pPr>
      <w:r>
        <w:rPr>
          <w:b/>
        </w:rPr>
        <w:t xml:space="preserve">5. </w:t>
      </w:r>
      <w:r>
        <w:t>Un stage d’externat plein temps en 6ème année.</w:t>
      </w:r>
    </w:p>
    <w:p>
      <w:r>
        <w:rPr>
          <w:b/>
        </w:rPr>
        <w:t>Article 44 :</w:t>
      </w:r>
      <w:r>
        <w:t xml:space="preserve"> Il dure un an et se déroule durant le 11ème et le 12ème semestre dans les services du centre hospitalier universitaire Mohamed VI ou dans les services non universitaires dirigés par les enseignants de la Faculté, le matin et l’après-midi.</w:t>
      </w:r>
    </w:p>
    <w:p>
      <w:r>
        <w:rPr>
          <w:b w:val="0"/>
          <w:i w:val="0"/>
        </w:rPr>
        <w:t>Les étudiants de 6ème année sont tenus à assister aux différents modules de médecine de famille. Des absences non justifiées pourraient affectées la validation du stage hospitalier en cours.</w:t>
      </w:r>
    </w:p>
    <w:p>
      <w:pPr>
        <w:ind w:left="510" w:hanging="340"/>
      </w:pPr>
      <w:r>
        <w:rPr>
          <w:b/>
        </w:rPr>
        <w:t xml:space="preserve">6. </w:t>
      </w:r>
      <w:r>
        <w:t>Le stage d’internat.</w:t>
      </w:r>
    </w:p>
    <w:p>
      <w:r>
        <w:rPr>
          <w:b/>
        </w:rPr>
        <w:t>Article 45 :</w:t>
      </w:r>
      <w:r>
        <w:t xml:space="preserve"> ce stage dure un an et se déroule les 13ème et 14ème semestres des études médicales. Pour accéder à ce stage, l’étudiant doit avoir validé tous les stages antérieurs.</w:t>
      </w:r>
    </w:p>
    <w:p>
      <w:pPr>
        <w:pStyle w:val="Heading2"/>
      </w:pPr>
      <w:r>
        <w:t>C. Déroulement des stages</w:t>
      </w:r>
    </w:p>
    <w:p>
      <w:r>
        <w:rPr>
          <w:b/>
        </w:rPr>
        <w:t>Article 46 :</w:t>
      </w:r>
      <w:r>
        <w:t xml:space="preserve"> En plus de la participation à la vie active du service, l’étudiant doit acquérir les objectifs nécessaires à la pratique médicale courante ; ces objectifs sont contenus dans la liste spécifique à chaque service remise à l’étudiant au début du stage.</w:t>
      </w:r>
    </w:p>
    <w:p>
      <w:r>
        <w:rPr>
          <w:b w:val="0"/>
          <w:i w:val="0"/>
        </w:rPr>
        <w:t>Le carnet de stage est un élément du livret de l’étudiant. Il doit être soigneusement rempli durant toute la durée de l’externat. Il doit être présenté au jury des examens de synthèse clinique et thérapeutique.</w:t>
      </w:r>
    </w:p>
    <w:p>
      <w:r>
        <w:rPr>
          <w:b w:val="0"/>
          <w:i w:val="0"/>
        </w:rPr>
        <w:t>Toute falsification expose l’étudiant à des sanctions graves.</w:t>
      </w:r>
    </w:p>
    <w:p>
      <w:pPr>
        <w:pStyle w:val="Heading1"/>
      </w:pPr>
      <w:r>
        <w:t>II — Services hospitalo-universitaires</w:t>
      </w:r>
    </w:p>
    <w:p>
      <w:r>
        <w:rPr>
          <w:b w:val="0"/>
          <w:i w:val="0"/>
        </w:rPr>
        <w:t>Le centre hospitalier universitaire (CHU) de Marrakech ainsi que l’hôpital militaire assurent une triple mission de soins, d’enseignement et de recherche. Il dispose d’un plateau technique performant et dispense des soins hautement spécialisés. L’ensemble des spécialités médicales, chirurgicales, radiologiques et biologiques est au service de la population de la région de Marrakech.</w:t>
      </w:r>
    </w:p>
    <w:p>
      <w:r>
        <w:rPr>
          <w:b w:val="0"/>
          <w:i w:val="0"/>
        </w:rPr>
        <w:t>Site web : http://www.chumarrakech.ma</w:t>
      </w:r>
    </w:p>
    <w:p>
      <w:r>
        <w:rPr>
          <w:b w:val="0"/>
          <w:i w:val="0"/>
        </w:rPr>
        <w:t>L’accueil des stagiaires se fait le premier jour du stage à 8 Heure 30 du matin à la salle de cours du service. Le chef de service (ou l’un de ses adjoints) procédera à la présentation du service, sa capacité litière, les casiers des dossiers des malades etles imprimés pour bilan ; il procédera également à la présentation des médecins enseignants, du personnel paramédical, des secrétaires et du major du service. Le chef de service établira la liste de répartition des malades, la liste des présentations à préparer. !! désignera les médecins tuteurs. Enfin, le chef de service présentera les objectifs du stage, les activités d’apprentissage et mettra l’accent sur l’importance du carnet du stage.</w:t>
      </w:r>
    </w:p>
    <w:p>
      <w:pPr>
        <w:pStyle w:val="Heading2"/>
      </w:pPr>
      <w:r>
        <w:t>A. Les services du CHU Mohammed VI</w:t>
      </w:r>
    </w:p>
    <w:p>
      <w:pPr>
        <w:pStyle w:val="Heading3"/>
      </w:pPr>
      <w:r>
        <w:t>Services de médecine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2381"/>
        <w:gridCol w:w="1587"/>
        <w:gridCol w:w="2381"/>
        <w:gridCol w:w="3288"/>
      </w:tblGrid>
      <w:tr>
        <w:trPr>
          <w:tblHeader/>
        </w:trPr>
        <w:tc>
          <w:tcPr>
            <w:tcW w:type="dxa" w:w="2381"/>
            <w:shd w:val="clear" w:color="auto" w:fill="1F4E79"/>
          </w:tcPr>
          <w:p>
            <w:pPr>
              <w:pStyle w:val="CellText"/>
            </w:pPr>
            <w:r>
              <w:rPr>
                <w:b/>
                <w:color w:val="FFFFFF"/>
              </w:rPr>
              <w:t>Services</w:t>
            </w:r>
          </w:p>
        </w:tc>
        <w:tc>
          <w:tcPr>
            <w:tcW w:type="dxa" w:w="1587"/>
            <w:shd w:val="clear" w:color="auto" w:fill="1F4E79"/>
          </w:tcPr>
          <w:p>
            <w:pPr>
              <w:pStyle w:val="CellText"/>
            </w:pPr>
            <w:r>
              <w:rPr>
                <w:b/>
                <w:color w:val="FFFFFF"/>
              </w:rPr>
              <w:t>Hôpital</w:t>
            </w:r>
          </w:p>
        </w:tc>
        <w:tc>
          <w:tcPr>
            <w:tcW w:type="dxa" w:w="2381"/>
            <w:shd w:val="clear" w:color="auto" w:fill="1F4E79"/>
          </w:tcPr>
          <w:p>
            <w:pPr>
              <w:pStyle w:val="CellText"/>
            </w:pPr>
            <w:r>
              <w:rPr>
                <w:b/>
                <w:color w:val="FFFFFF"/>
              </w:rPr>
              <w:t>Chef de service / Responsable</w:t>
            </w:r>
          </w:p>
        </w:tc>
        <w:tc>
          <w:tcPr>
            <w:tcW w:type="dxa" w:w="3288"/>
            <w:shd w:val="clear" w:color="auto" w:fill="1F4E79"/>
          </w:tcPr>
          <w:p>
            <w:pPr>
              <w:pStyle w:val="CellText"/>
            </w:pPr>
            <w:r>
              <w:rPr>
                <w:b/>
                <w:color w:val="FFFFFF"/>
              </w:rPr>
              <w:t>Enseignants</w:t>
            </w:r>
          </w:p>
        </w:tc>
      </w:tr>
      <w:tr>
        <w:trPr>
          <w:cantSplit/>
        </w:trPr>
        <w:tc>
          <w:tcPr>
            <w:tcW w:type="dxa" w:w="2381"/>
            <w:shd w:val="clear" w:color="auto" w:fill="DCE9F5"/>
          </w:tcPr>
          <w:p>
            <w:pPr>
              <w:pStyle w:val="CellText"/>
            </w:pPr>
            <w:r>
              <w:rPr>
                <w:b/>
              </w:rPr>
              <w:t>Pneumo-phtisiologie</w:t>
            </w:r>
          </w:p>
        </w:tc>
        <w:tc>
          <w:tcPr>
            <w:tcW w:type="dxa" w:w="1587"/>
          </w:tcPr>
          <w:p>
            <w:pPr>
              <w:pStyle w:val="CellText"/>
            </w:pPr>
            <w:r>
              <w:rPr>
                <w:b w:val="0"/>
              </w:rPr>
              <w:t>Arrazi</w:t>
            </w:r>
          </w:p>
        </w:tc>
        <w:tc>
          <w:tcPr>
            <w:tcW w:type="dxa" w:w="2381"/>
          </w:tcPr>
          <w:p>
            <w:pPr>
              <w:pStyle w:val="CellText"/>
            </w:pPr>
            <w:r>
              <w:rPr>
                <w:b w:val="0"/>
              </w:rPr>
              <w:t>Amro Lamyae</w:t>
            </w:r>
          </w:p>
        </w:tc>
        <w:tc>
          <w:tcPr>
            <w:tcW w:type="dxa" w:w="3288"/>
          </w:tcPr>
          <w:p>
            <w:pPr>
              <w:pStyle w:val="CellText"/>
            </w:pPr>
            <w:r>
              <w:rPr>
                <w:b w:val="0"/>
              </w:rPr>
              <w:t>Sarhane Hind Sajiai Hafsa Ait Batahar Salma</w:t>
            </w:r>
          </w:p>
        </w:tc>
      </w:tr>
      <w:tr>
        <w:trPr>
          <w:cantSplit/>
        </w:trPr>
        <w:tc>
          <w:tcPr>
            <w:tcW w:type="dxa" w:w="2381"/>
            <w:shd w:val="clear" w:color="auto" w:fill="DCE9F5"/>
          </w:tcPr>
          <w:p>
            <w:pPr>
              <w:pStyle w:val="CellText"/>
            </w:pPr>
            <w:r>
              <w:rPr>
                <w:b/>
              </w:rPr>
              <w:t>Radiologie</w:t>
            </w:r>
          </w:p>
        </w:tc>
        <w:tc>
          <w:tcPr>
            <w:tcW w:type="dxa" w:w="1587"/>
            <w:shd w:val="clear" w:color="auto" w:fill="F7F9FB"/>
          </w:tcPr>
          <w:p>
            <w:pPr>
              <w:pStyle w:val="CellText"/>
            </w:pPr>
            <w:r>
              <w:rPr>
                <w:b w:val="0"/>
              </w:rPr>
              <w:t>Arrazi</w:t>
            </w:r>
          </w:p>
        </w:tc>
        <w:tc>
          <w:tcPr>
            <w:tcW w:type="dxa" w:w="2381"/>
            <w:shd w:val="clear" w:color="auto" w:fill="F7F9FB"/>
          </w:tcPr>
          <w:p>
            <w:pPr>
              <w:pStyle w:val="CellText"/>
            </w:pPr>
            <w:r>
              <w:rPr>
                <w:b w:val="0"/>
              </w:rPr>
              <w:t>Cherif Idrissi El Ganouni Najat</w:t>
            </w:r>
          </w:p>
        </w:tc>
        <w:tc>
          <w:tcPr>
            <w:tcW w:type="dxa" w:w="3288"/>
            <w:shd w:val="clear" w:color="auto" w:fill="F7F9FB"/>
          </w:tcPr>
          <w:p>
            <w:pPr>
              <w:pStyle w:val="CellText"/>
            </w:pPr>
            <w:r>
              <w:rPr>
                <w:b w:val="0"/>
              </w:rPr>
              <w:t>Ouali Idrissi Mariem</w:t>
            </w:r>
          </w:p>
        </w:tc>
      </w:tr>
      <w:tr>
        <w:trPr>
          <w:cantSplit/>
        </w:trPr>
        <w:tc>
          <w:tcPr>
            <w:tcW w:type="dxa" w:w="2381"/>
            <w:shd w:val="clear" w:color="auto" w:fill="DCE9F5"/>
          </w:tcPr>
          <w:p>
            <w:pPr>
              <w:pStyle w:val="CellText"/>
            </w:pPr>
            <w:r>
              <w:rPr>
                <w:b/>
              </w:rPr>
              <w:t>Gastro-entérologie</w:t>
            </w:r>
          </w:p>
        </w:tc>
        <w:tc>
          <w:tcPr>
            <w:tcW w:type="dxa" w:w="1587"/>
          </w:tcPr>
          <w:p>
            <w:pPr>
              <w:pStyle w:val="CellText"/>
            </w:pPr>
            <w:r>
              <w:rPr>
                <w:b w:val="0"/>
              </w:rPr>
              <w:t>Arrazi</w:t>
            </w:r>
          </w:p>
        </w:tc>
        <w:tc>
          <w:tcPr>
            <w:tcW w:type="dxa" w:w="2381"/>
          </w:tcPr>
          <w:p>
            <w:pPr>
              <w:pStyle w:val="CellText"/>
            </w:pPr>
            <w:r>
              <w:rPr>
                <w:b w:val="0"/>
              </w:rPr>
              <w:t>Krati Khadija</w:t>
            </w:r>
          </w:p>
        </w:tc>
        <w:tc>
          <w:tcPr>
            <w:tcW w:type="dxa" w:w="3288"/>
          </w:tcPr>
          <w:p>
            <w:pPr>
              <w:pStyle w:val="CellText"/>
            </w:pPr>
            <w:r>
              <w:rPr>
                <w:b w:val="0"/>
              </w:rPr>
              <w:t>Difaa Azeddine Salmani Zouhour Oubaha Sofia</w:t>
            </w:r>
          </w:p>
        </w:tc>
      </w:tr>
      <w:tr>
        <w:trPr>
          <w:cantSplit/>
        </w:trPr>
        <w:tc>
          <w:tcPr>
            <w:tcW w:type="dxa" w:w="2381"/>
            <w:shd w:val="clear" w:color="auto" w:fill="DCE9F5"/>
          </w:tcPr>
          <w:p>
            <w:pPr>
              <w:pStyle w:val="CellText"/>
            </w:pPr>
            <w:r>
              <w:rPr>
                <w:b/>
              </w:rPr>
              <w:t>Médecine interne</w:t>
            </w:r>
          </w:p>
        </w:tc>
        <w:tc>
          <w:tcPr>
            <w:tcW w:type="dxa" w:w="1587"/>
            <w:shd w:val="clear" w:color="auto" w:fill="F7F9FB"/>
          </w:tcPr>
          <w:p>
            <w:pPr>
              <w:pStyle w:val="CellText"/>
            </w:pPr>
            <w:r>
              <w:rPr>
                <w:b w:val="0"/>
              </w:rPr>
              <w:t>Arrazi</w:t>
            </w:r>
          </w:p>
        </w:tc>
        <w:tc>
          <w:tcPr>
            <w:tcW w:type="dxa" w:w="2381"/>
            <w:shd w:val="clear" w:color="auto" w:fill="F7F9FB"/>
          </w:tcPr>
          <w:p>
            <w:pPr>
              <w:pStyle w:val="CellText"/>
            </w:pPr>
            <w:r>
              <w:rPr>
                <w:b w:val="0"/>
              </w:rPr>
              <w:t>Essaadouni Lamiaa</w:t>
            </w:r>
          </w:p>
        </w:tc>
        <w:tc>
          <w:tcPr>
            <w:tcW w:type="dxa" w:w="3288"/>
            <w:shd w:val="clear" w:color="auto" w:fill="F7F9FB"/>
          </w:tcPr>
          <w:p>
            <w:pPr>
              <w:pStyle w:val="CellText"/>
            </w:pPr>
            <w:r>
              <w:rPr>
                <w:b w:val="0"/>
              </w:rPr>
              <w:t>Benjilali Laila Zahlane Mouna</w:t>
            </w:r>
          </w:p>
        </w:tc>
      </w:tr>
      <w:tr>
        <w:trPr>
          <w:cantSplit/>
        </w:trPr>
        <w:tc>
          <w:tcPr>
            <w:tcW w:type="dxa" w:w="2381"/>
            <w:shd w:val="clear" w:color="auto" w:fill="DCE9F5"/>
          </w:tcPr>
          <w:p>
            <w:pPr>
              <w:pStyle w:val="CellText"/>
            </w:pPr>
            <w:r>
              <w:rPr>
                <w:b/>
              </w:rPr>
              <w:t>Cardiologie</w:t>
            </w:r>
          </w:p>
        </w:tc>
        <w:tc>
          <w:tcPr>
            <w:tcW w:type="dxa" w:w="1587"/>
          </w:tcPr>
          <w:p>
            <w:pPr>
              <w:pStyle w:val="CellText"/>
            </w:pPr>
            <w:r>
              <w:rPr>
                <w:b w:val="0"/>
              </w:rPr>
              <w:t>Arrazi</w:t>
            </w:r>
          </w:p>
        </w:tc>
        <w:tc>
          <w:tcPr>
            <w:tcW w:type="dxa" w:w="2381"/>
          </w:tcPr>
          <w:p>
            <w:pPr>
              <w:pStyle w:val="CellText"/>
            </w:pPr>
            <w:r>
              <w:rPr>
                <w:b w:val="0"/>
              </w:rPr>
              <w:t>El Hattaoui Mustapha</w:t>
            </w:r>
          </w:p>
        </w:tc>
        <w:tc>
          <w:tcPr>
            <w:tcW w:type="dxa" w:w="3288"/>
          </w:tcPr>
          <w:p>
            <w:pPr>
              <w:pStyle w:val="CellText"/>
            </w:pPr>
            <w:r>
              <w:rPr>
                <w:b w:val="0"/>
              </w:rPr>
              <w:t>El Karimi Saloua Benzeroual Dounia</w:t>
            </w:r>
          </w:p>
        </w:tc>
      </w:tr>
      <w:tr>
        <w:trPr>
          <w:cantSplit/>
        </w:trPr>
        <w:tc>
          <w:tcPr>
            <w:tcW w:type="dxa" w:w="2381"/>
            <w:shd w:val="clear" w:color="auto" w:fill="DCE9F5"/>
          </w:tcPr>
          <w:p>
            <w:pPr>
              <w:pStyle w:val="CellText"/>
            </w:pPr>
            <w:r>
              <w:rPr>
                <w:b/>
              </w:rPr>
              <w:t>Radiologie</w:t>
            </w:r>
          </w:p>
        </w:tc>
        <w:tc>
          <w:tcPr>
            <w:tcW w:type="dxa" w:w="1587"/>
            <w:shd w:val="clear" w:color="auto" w:fill="F7F9FB"/>
          </w:tcPr>
          <w:p>
            <w:pPr>
              <w:pStyle w:val="CellText"/>
            </w:pPr>
            <w:r>
              <w:rPr>
                <w:b w:val="0"/>
              </w:rPr>
              <w:t>Mère-Enfant</w:t>
            </w:r>
          </w:p>
        </w:tc>
        <w:tc>
          <w:tcPr>
            <w:tcW w:type="dxa" w:w="2381"/>
            <w:shd w:val="clear" w:color="auto" w:fill="F7F9FB"/>
          </w:tcPr>
          <w:p>
            <w:pPr>
              <w:pStyle w:val="CellText"/>
            </w:pPr>
            <w:r>
              <w:rPr>
                <w:b w:val="0"/>
              </w:rPr>
              <w:t>Jalal Hicham</w:t>
            </w:r>
          </w:p>
        </w:tc>
        <w:tc>
          <w:tcPr>
            <w:tcW w:type="dxa" w:w="3288"/>
            <w:shd w:val="clear" w:color="auto" w:fill="F7F9FB"/>
          </w:tcPr>
          <w:p>
            <w:pPr>
              <w:pStyle w:val="CellText"/>
            </w:pPr>
            <w:r>
              <w:rPr>
                <w:b w:val="0"/>
              </w:rPr>
              <w:t>Basraoui Dounia</w:t>
            </w:r>
          </w:p>
        </w:tc>
      </w:tr>
      <w:tr>
        <w:trPr>
          <w:cantSplit/>
        </w:trPr>
        <w:tc>
          <w:tcPr>
            <w:tcW w:type="dxa" w:w="2381"/>
            <w:shd w:val="clear" w:color="auto" w:fill="DCE9F5"/>
          </w:tcPr>
          <w:p>
            <w:pPr>
              <w:pStyle w:val="CellText"/>
            </w:pPr>
            <w:r>
              <w:rPr>
                <w:b/>
              </w:rPr>
              <w:t>Radiologie</w:t>
            </w:r>
          </w:p>
        </w:tc>
        <w:tc>
          <w:tcPr>
            <w:tcW w:type="dxa" w:w="1587"/>
          </w:tcPr>
          <w:p>
            <w:pPr>
              <w:pStyle w:val="CellText"/>
            </w:pPr>
            <w:r>
              <w:rPr>
                <w:b w:val="0"/>
              </w:rPr>
              <w:t>Ibn Tofail</w:t>
            </w:r>
          </w:p>
        </w:tc>
        <w:tc>
          <w:tcPr>
            <w:tcW w:type="dxa" w:w="2381"/>
          </w:tcPr>
          <w:p>
            <w:pPr>
              <w:pStyle w:val="CellText"/>
            </w:pPr>
            <w:r>
              <w:rPr>
                <w:b w:val="0"/>
              </w:rPr>
              <w:t>Alj Soumaya</w:t>
            </w:r>
          </w:p>
        </w:tc>
        <w:tc>
          <w:tcPr>
            <w:tcW w:type="dxa" w:w="3288"/>
          </w:tcPr>
          <w:p>
            <w:pPr>
              <w:pStyle w:val="CellText"/>
            </w:pPr>
            <w:r>
              <w:rPr>
                <w:b w:val="0"/>
              </w:rPr>
              <w:t>—</w:t>
            </w:r>
          </w:p>
        </w:tc>
      </w:tr>
      <w:tr>
        <w:trPr>
          <w:cantSplit/>
        </w:trPr>
        <w:tc>
          <w:tcPr>
            <w:tcW w:type="dxa" w:w="2381"/>
            <w:shd w:val="clear" w:color="auto" w:fill="DCE9F5"/>
          </w:tcPr>
          <w:p>
            <w:pPr>
              <w:pStyle w:val="CellText"/>
            </w:pPr>
            <w:r>
              <w:rPr>
                <w:b/>
              </w:rPr>
              <w:t>Neurologie</w:t>
            </w:r>
          </w:p>
        </w:tc>
        <w:tc>
          <w:tcPr>
            <w:tcW w:type="dxa" w:w="1587"/>
            <w:shd w:val="clear" w:color="auto" w:fill="F7F9FB"/>
          </w:tcPr>
          <w:p>
            <w:pPr>
              <w:pStyle w:val="CellText"/>
            </w:pPr>
            <w:r>
              <w:rPr>
                <w:b w:val="0"/>
              </w:rPr>
              <w:t>Arrazi</w:t>
            </w:r>
          </w:p>
        </w:tc>
        <w:tc>
          <w:tcPr>
            <w:tcW w:type="dxa" w:w="2381"/>
            <w:shd w:val="clear" w:color="auto" w:fill="F7F9FB"/>
          </w:tcPr>
          <w:p>
            <w:pPr>
              <w:pStyle w:val="CellText"/>
            </w:pPr>
            <w:r>
              <w:rPr>
                <w:b w:val="0"/>
              </w:rPr>
              <w:t>Kissani Najib</w:t>
            </w:r>
          </w:p>
        </w:tc>
        <w:tc>
          <w:tcPr>
            <w:tcW w:type="dxa" w:w="3288"/>
            <w:shd w:val="clear" w:color="auto" w:fill="F7F9FB"/>
          </w:tcPr>
          <w:p>
            <w:pPr>
              <w:pStyle w:val="CellText"/>
            </w:pPr>
            <w:r>
              <w:rPr>
                <w:b w:val="0"/>
              </w:rPr>
              <w:t>Louhab Nissrine Adali Nawal Chraa Mohamed</w:t>
            </w:r>
          </w:p>
        </w:tc>
      </w:tr>
      <w:tr>
        <w:trPr>
          <w:cantSplit/>
        </w:trPr>
        <w:tc>
          <w:tcPr>
            <w:tcW w:type="dxa" w:w="2381"/>
            <w:shd w:val="clear" w:color="auto" w:fill="DCE9F5"/>
          </w:tcPr>
          <w:p>
            <w:pPr>
              <w:pStyle w:val="CellText"/>
            </w:pPr>
            <w:r>
              <w:rPr>
                <w:b/>
              </w:rPr>
              <w:t>Psychiatrie</w:t>
            </w:r>
          </w:p>
        </w:tc>
        <w:tc>
          <w:tcPr>
            <w:tcW w:type="dxa" w:w="1587"/>
          </w:tcPr>
          <w:p>
            <w:pPr>
              <w:pStyle w:val="CellText"/>
            </w:pPr>
            <w:r>
              <w:rPr>
                <w:b w:val="0"/>
              </w:rPr>
              <w:t>Ibn Nafis</w:t>
            </w:r>
          </w:p>
        </w:tc>
        <w:tc>
          <w:tcPr>
            <w:tcW w:type="dxa" w:w="2381"/>
          </w:tcPr>
          <w:p>
            <w:pPr>
              <w:pStyle w:val="CellText"/>
            </w:pPr>
            <w:r>
              <w:rPr>
                <w:b w:val="0"/>
              </w:rPr>
              <w:t>Asri Fatima</w:t>
            </w:r>
          </w:p>
        </w:tc>
        <w:tc>
          <w:tcPr>
            <w:tcW w:type="dxa" w:w="3288"/>
          </w:tcPr>
          <w:p>
            <w:pPr>
              <w:pStyle w:val="CellText"/>
            </w:pPr>
            <w:r>
              <w:rPr>
                <w:b w:val="0"/>
              </w:rPr>
              <w:t>Manoudi Fatiha Adali Imane</w:t>
            </w:r>
          </w:p>
        </w:tc>
      </w:tr>
      <w:tr>
        <w:trPr>
          <w:cantSplit/>
        </w:trPr>
        <w:tc>
          <w:tcPr>
            <w:tcW w:type="dxa" w:w="2381"/>
            <w:shd w:val="clear" w:color="auto" w:fill="DCE9F5"/>
          </w:tcPr>
          <w:p>
            <w:pPr>
              <w:pStyle w:val="CellText"/>
            </w:pPr>
            <w:r>
              <w:rPr>
                <w:b/>
              </w:rPr>
              <w:t>Dermatologie</w:t>
            </w:r>
          </w:p>
        </w:tc>
        <w:tc>
          <w:tcPr>
            <w:tcW w:type="dxa" w:w="1587"/>
            <w:shd w:val="clear" w:color="auto" w:fill="F7F9FB"/>
          </w:tcPr>
          <w:p>
            <w:pPr>
              <w:pStyle w:val="CellText"/>
            </w:pPr>
            <w:r>
              <w:rPr>
                <w:b w:val="0"/>
              </w:rPr>
              <w:t>Arrazi</w:t>
            </w:r>
          </w:p>
        </w:tc>
        <w:tc>
          <w:tcPr>
            <w:tcW w:type="dxa" w:w="2381"/>
            <w:shd w:val="clear" w:color="auto" w:fill="F7F9FB"/>
          </w:tcPr>
          <w:p>
            <w:pPr>
              <w:pStyle w:val="CellText"/>
            </w:pPr>
            <w:r>
              <w:rPr>
                <w:b w:val="0"/>
              </w:rPr>
              <w:t>Amal Said</w:t>
            </w:r>
          </w:p>
        </w:tc>
        <w:tc>
          <w:tcPr>
            <w:tcW w:type="dxa" w:w="3288"/>
            <w:shd w:val="clear" w:color="auto" w:fill="F7F9FB"/>
          </w:tcPr>
          <w:p>
            <w:pPr>
              <w:pStyle w:val="CellText"/>
            </w:pPr>
            <w:r>
              <w:rPr>
                <w:b w:val="0"/>
              </w:rPr>
              <w:t>Akhdari Nadia Hocar Ouafa</w:t>
            </w:r>
          </w:p>
        </w:tc>
      </w:tr>
      <w:tr>
        <w:trPr>
          <w:cantSplit/>
        </w:trPr>
        <w:tc>
          <w:tcPr>
            <w:tcW w:type="dxa" w:w="2381"/>
            <w:shd w:val="clear" w:color="auto" w:fill="DCE9F5"/>
          </w:tcPr>
          <w:p>
            <w:pPr>
              <w:pStyle w:val="CellText"/>
            </w:pPr>
            <w:r>
              <w:rPr>
                <w:b/>
              </w:rPr>
              <w:t>Endocrinologie et maladies métaboliques</w:t>
            </w:r>
          </w:p>
        </w:tc>
        <w:tc>
          <w:tcPr>
            <w:tcW w:type="dxa" w:w="1587"/>
          </w:tcPr>
          <w:p>
            <w:pPr>
              <w:pStyle w:val="CellText"/>
            </w:pPr>
            <w:r>
              <w:rPr>
                <w:b w:val="0"/>
              </w:rPr>
              <w:t>Arrazi</w:t>
            </w:r>
          </w:p>
        </w:tc>
        <w:tc>
          <w:tcPr>
            <w:tcW w:type="dxa" w:w="2381"/>
          </w:tcPr>
          <w:p>
            <w:pPr>
              <w:pStyle w:val="CellText"/>
            </w:pPr>
            <w:r>
              <w:rPr>
                <w:b w:val="0"/>
              </w:rPr>
              <w:t>El Ansari Nawal</w:t>
            </w:r>
          </w:p>
        </w:tc>
        <w:tc>
          <w:tcPr>
            <w:tcW w:type="dxa" w:w="3288"/>
          </w:tcPr>
          <w:p>
            <w:pPr>
              <w:pStyle w:val="CellText"/>
            </w:pPr>
            <w:r>
              <w:rPr>
                <w:b w:val="0"/>
              </w:rPr>
              <w:t>El Mghari Tabib Ghizlane</w:t>
            </w:r>
          </w:p>
        </w:tc>
      </w:tr>
      <w:tr>
        <w:trPr>
          <w:cantSplit/>
        </w:trPr>
        <w:tc>
          <w:tcPr>
            <w:tcW w:type="dxa" w:w="2381"/>
            <w:shd w:val="clear" w:color="auto" w:fill="DCE9F5"/>
          </w:tcPr>
          <w:p>
            <w:pPr>
              <w:pStyle w:val="CellText"/>
            </w:pPr>
            <w:r>
              <w:rPr>
                <w:b/>
              </w:rPr>
              <w:t>Néphrologie</w:t>
            </w:r>
          </w:p>
        </w:tc>
        <w:tc>
          <w:tcPr>
            <w:tcW w:type="dxa" w:w="1587"/>
            <w:shd w:val="clear" w:color="auto" w:fill="F7F9FB"/>
          </w:tcPr>
          <w:p>
            <w:pPr>
              <w:pStyle w:val="CellText"/>
            </w:pPr>
            <w:r>
              <w:rPr>
                <w:b w:val="0"/>
              </w:rPr>
              <w:t>Arrazi</w:t>
            </w:r>
          </w:p>
        </w:tc>
        <w:tc>
          <w:tcPr>
            <w:tcW w:type="dxa" w:w="2381"/>
            <w:shd w:val="clear" w:color="auto" w:fill="F7F9FB"/>
          </w:tcPr>
          <w:p>
            <w:pPr>
              <w:pStyle w:val="CellText"/>
            </w:pPr>
            <w:r>
              <w:rPr>
                <w:b w:val="0"/>
              </w:rPr>
              <w:t>Laouad Inass</w:t>
            </w:r>
          </w:p>
        </w:tc>
        <w:tc>
          <w:tcPr>
            <w:tcW w:type="dxa" w:w="3288"/>
            <w:shd w:val="clear" w:color="auto" w:fill="F7F9FB"/>
          </w:tcPr>
          <w:p>
            <w:pPr>
              <w:pStyle w:val="CellText"/>
            </w:pPr>
            <w:r>
              <w:rPr>
                <w:b w:val="0"/>
              </w:rPr>
              <w:t>Fadili Wafaa</w:t>
            </w:r>
          </w:p>
        </w:tc>
      </w:tr>
      <w:tr>
        <w:trPr>
          <w:cantSplit/>
        </w:trPr>
        <w:tc>
          <w:tcPr>
            <w:tcW w:type="dxa" w:w="2381"/>
            <w:shd w:val="clear" w:color="auto" w:fill="DCE9F5"/>
          </w:tcPr>
          <w:p>
            <w:pPr>
              <w:pStyle w:val="CellText"/>
            </w:pPr>
            <w:r>
              <w:rPr>
                <w:b/>
              </w:rPr>
              <w:t>Rhumatologie</w:t>
            </w:r>
          </w:p>
        </w:tc>
        <w:tc>
          <w:tcPr>
            <w:tcW w:type="dxa" w:w="1587"/>
          </w:tcPr>
          <w:p>
            <w:pPr>
              <w:pStyle w:val="CellText"/>
            </w:pPr>
            <w:r>
              <w:rPr>
                <w:b w:val="0"/>
              </w:rPr>
              <w:t>Arrazi</w:t>
            </w:r>
          </w:p>
        </w:tc>
        <w:tc>
          <w:tcPr>
            <w:tcW w:type="dxa" w:w="2381"/>
          </w:tcPr>
          <w:p>
            <w:pPr>
              <w:pStyle w:val="CellText"/>
            </w:pPr>
            <w:r>
              <w:rPr>
                <w:b w:val="0"/>
              </w:rPr>
              <w:t>El Bouchti Imane</w:t>
            </w:r>
          </w:p>
        </w:tc>
        <w:tc>
          <w:tcPr>
            <w:tcW w:type="dxa" w:w="3288"/>
          </w:tcPr>
          <w:p>
            <w:pPr>
              <w:pStyle w:val="CellText"/>
            </w:pPr>
            <w:r>
              <w:rPr>
                <w:b w:val="0"/>
              </w:rPr>
              <w:t>Belkhou Ahlam</w:t>
            </w:r>
          </w:p>
        </w:tc>
      </w:tr>
      <w:tr>
        <w:trPr>
          <w:cantSplit/>
        </w:trPr>
        <w:tc>
          <w:tcPr>
            <w:tcW w:type="dxa" w:w="2381"/>
            <w:shd w:val="clear" w:color="auto" w:fill="DCE9F5"/>
          </w:tcPr>
          <w:p>
            <w:pPr>
              <w:pStyle w:val="CellText"/>
            </w:pPr>
            <w:r>
              <w:rPr>
                <w:b/>
              </w:rPr>
              <w:t>Anesthésie réanimation</w:t>
            </w:r>
          </w:p>
        </w:tc>
        <w:tc>
          <w:tcPr>
            <w:tcW w:type="dxa" w:w="1587"/>
            <w:shd w:val="clear" w:color="auto" w:fill="F7F9FB"/>
          </w:tcPr>
          <w:p>
            <w:pPr>
              <w:pStyle w:val="CellText"/>
            </w:pPr>
            <w:r>
              <w:rPr>
                <w:b w:val="0"/>
              </w:rPr>
              <w:t>Arrazi</w:t>
            </w:r>
          </w:p>
        </w:tc>
        <w:tc>
          <w:tcPr>
            <w:tcW w:type="dxa" w:w="2381"/>
            <w:shd w:val="clear" w:color="auto" w:fill="F7F9FB"/>
          </w:tcPr>
          <w:p>
            <w:pPr>
              <w:pStyle w:val="CellText"/>
            </w:pPr>
            <w:r>
              <w:rPr>
                <w:b w:val="0"/>
              </w:rPr>
              <w:t>Samkaoui Med Abdenasser</w:t>
            </w:r>
          </w:p>
        </w:tc>
        <w:tc>
          <w:tcPr>
            <w:tcW w:type="dxa" w:w="3288"/>
            <w:shd w:val="clear" w:color="auto" w:fill="F7F9FB"/>
          </w:tcPr>
          <w:p>
            <w:pPr>
              <w:pStyle w:val="CellText"/>
            </w:pPr>
            <w:r>
              <w:rPr>
                <w:b w:val="0"/>
              </w:rPr>
              <w:t>Ziadi Amra Zerrouki Youssef</w:t>
            </w:r>
          </w:p>
        </w:tc>
      </w:tr>
      <w:tr>
        <w:trPr>
          <w:cantSplit/>
        </w:trPr>
        <w:tc>
          <w:tcPr>
            <w:tcW w:type="dxa" w:w="2381"/>
            <w:shd w:val="clear" w:color="auto" w:fill="DCE9F5"/>
          </w:tcPr>
          <w:p>
            <w:pPr>
              <w:pStyle w:val="CellText"/>
            </w:pPr>
            <w:r>
              <w:rPr>
                <w:b/>
              </w:rPr>
              <w:t>Urgences</w:t>
            </w:r>
          </w:p>
        </w:tc>
        <w:tc>
          <w:tcPr>
            <w:tcW w:type="dxa" w:w="1587"/>
          </w:tcPr>
          <w:p>
            <w:pPr>
              <w:pStyle w:val="CellText"/>
            </w:pPr>
            <w:r>
              <w:rPr>
                <w:b w:val="0"/>
              </w:rPr>
              <w:t>Ibn Tofail</w:t>
            </w:r>
          </w:p>
        </w:tc>
        <w:tc>
          <w:tcPr>
            <w:tcW w:type="dxa" w:w="2381"/>
          </w:tcPr>
          <w:p>
            <w:pPr>
              <w:pStyle w:val="CellText"/>
            </w:pPr>
            <w:r>
              <w:rPr>
                <w:b w:val="0"/>
              </w:rPr>
              <w:t>Nejmi Hicham</w:t>
            </w:r>
          </w:p>
        </w:tc>
        <w:tc>
          <w:tcPr>
            <w:tcW w:type="dxa" w:w="3288"/>
          </w:tcPr>
          <w:p>
            <w:pPr>
              <w:pStyle w:val="CellText"/>
            </w:pPr>
            <w:r>
              <w:rPr>
                <w:b w:val="0"/>
              </w:rPr>
              <w:t>Abou El Hassan Taoufik</w:t>
            </w:r>
          </w:p>
        </w:tc>
      </w:tr>
      <w:tr>
        <w:trPr>
          <w:cantSplit/>
        </w:trPr>
        <w:tc>
          <w:tcPr>
            <w:tcW w:type="dxa" w:w="2381"/>
            <w:shd w:val="clear" w:color="auto" w:fill="DCE9F5"/>
          </w:tcPr>
          <w:p>
            <w:pPr>
              <w:pStyle w:val="CellText"/>
            </w:pPr>
            <w:r>
              <w:rPr>
                <w:b/>
              </w:rPr>
              <w:t>Pédiatrique anesthésie réanimation</w:t>
            </w:r>
          </w:p>
        </w:tc>
        <w:tc>
          <w:tcPr>
            <w:tcW w:type="dxa" w:w="1587"/>
            <w:shd w:val="clear" w:color="auto" w:fill="F7F9FB"/>
          </w:tcPr>
          <w:p>
            <w:pPr>
              <w:pStyle w:val="CellText"/>
            </w:pPr>
            <w:r>
              <w:rPr>
                <w:b w:val="0"/>
              </w:rPr>
              <w:t>Mère-Enfant</w:t>
            </w:r>
          </w:p>
        </w:tc>
        <w:tc>
          <w:tcPr>
            <w:tcW w:type="dxa" w:w="2381"/>
            <w:shd w:val="clear" w:color="auto" w:fill="F7F9FB"/>
          </w:tcPr>
          <w:p>
            <w:pPr>
              <w:pStyle w:val="CellText"/>
            </w:pPr>
            <w:r>
              <w:rPr>
                <w:b w:val="0"/>
              </w:rPr>
              <w:t>Younous Said</w:t>
            </w:r>
          </w:p>
        </w:tc>
        <w:tc>
          <w:tcPr>
            <w:tcW w:type="dxa" w:w="3288"/>
            <w:shd w:val="clear" w:color="auto" w:fill="F7F9FB"/>
          </w:tcPr>
          <w:p>
            <w:pPr>
              <w:pStyle w:val="CellText"/>
            </w:pPr>
            <w:r>
              <w:rPr>
                <w:b w:val="0"/>
              </w:rPr>
              <w:t>Mouaffak Youssef</w:t>
            </w:r>
          </w:p>
        </w:tc>
      </w:tr>
      <w:tr>
        <w:trPr>
          <w:cantSplit/>
        </w:trPr>
        <w:tc>
          <w:tcPr>
            <w:tcW w:type="dxa" w:w="2381"/>
            <w:shd w:val="clear" w:color="auto" w:fill="DCE9F5"/>
          </w:tcPr>
          <w:p>
            <w:pPr>
              <w:pStyle w:val="CellText"/>
            </w:pPr>
            <w:r>
              <w:rPr>
                <w:b/>
              </w:rPr>
              <w:t>Radiothérapie oncologie</w:t>
            </w:r>
          </w:p>
        </w:tc>
        <w:tc>
          <w:tcPr>
            <w:tcW w:type="dxa" w:w="1587"/>
          </w:tcPr>
          <w:p>
            <w:pPr>
              <w:pStyle w:val="CellText"/>
            </w:pPr>
            <w:r>
              <w:rPr>
                <w:b w:val="0"/>
              </w:rPr>
              <w:t>Centre d’oncologie-hématologie</w:t>
            </w:r>
          </w:p>
        </w:tc>
        <w:tc>
          <w:tcPr>
            <w:tcW w:type="dxa" w:w="2381"/>
          </w:tcPr>
          <w:p>
            <w:pPr>
              <w:pStyle w:val="CellText"/>
            </w:pPr>
            <w:r>
              <w:rPr>
                <w:b w:val="0"/>
              </w:rPr>
              <w:t>Khouchani Mouna</w:t>
            </w:r>
          </w:p>
        </w:tc>
        <w:tc>
          <w:tcPr>
            <w:tcW w:type="dxa" w:w="3288"/>
          </w:tcPr>
          <w:p>
            <w:pPr>
              <w:pStyle w:val="CellText"/>
            </w:pPr>
            <w:r>
              <w:rPr>
                <w:b w:val="0"/>
              </w:rPr>
              <w:t>El Omrani Abdelhamid</w:t>
            </w:r>
          </w:p>
        </w:tc>
      </w:tr>
      <w:tr>
        <w:trPr>
          <w:cantSplit/>
        </w:trPr>
        <w:tc>
          <w:tcPr>
            <w:tcW w:type="dxa" w:w="2381"/>
            <w:shd w:val="clear" w:color="auto" w:fill="DCE9F5"/>
          </w:tcPr>
          <w:p>
            <w:pPr>
              <w:pStyle w:val="CellText"/>
            </w:pPr>
            <w:r>
              <w:rPr>
                <w:b/>
              </w:rPr>
              <w:t>Maladies infectieuses</w:t>
            </w:r>
          </w:p>
        </w:tc>
        <w:tc>
          <w:tcPr>
            <w:tcW w:type="dxa" w:w="1587"/>
            <w:shd w:val="clear" w:color="auto" w:fill="F7F9FB"/>
          </w:tcPr>
          <w:p>
            <w:pPr>
              <w:pStyle w:val="CellText"/>
            </w:pPr>
            <w:r>
              <w:rPr>
                <w:b w:val="0"/>
              </w:rPr>
              <w:t>Arrazi</w:t>
            </w:r>
          </w:p>
        </w:tc>
        <w:tc>
          <w:tcPr>
            <w:tcW w:type="dxa" w:w="2381"/>
            <w:shd w:val="clear" w:color="auto" w:fill="F7F9FB"/>
          </w:tcPr>
          <w:p>
            <w:pPr>
              <w:pStyle w:val="CellText"/>
            </w:pPr>
            <w:r>
              <w:rPr>
                <w:b w:val="0"/>
              </w:rPr>
              <w:t>Tassi Noura</w:t>
            </w:r>
          </w:p>
        </w:tc>
        <w:tc>
          <w:tcPr>
            <w:tcW w:type="dxa" w:w="3288"/>
            <w:shd w:val="clear" w:color="auto" w:fill="F7F9FB"/>
          </w:tcPr>
          <w:p>
            <w:pPr>
              <w:pStyle w:val="CellText"/>
            </w:pPr>
            <w:r>
              <w:rPr>
                <w:b w:val="0"/>
              </w:rPr>
              <w:t>Ihbibane Fatima</w:t>
            </w:r>
          </w:p>
        </w:tc>
      </w:tr>
      <w:tr>
        <w:trPr>
          <w:cantSplit/>
        </w:trPr>
        <w:tc>
          <w:tcPr>
            <w:tcW w:type="dxa" w:w="2381"/>
            <w:shd w:val="clear" w:color="auto" w:fill="DCE9F5"/>
          </w:tcPr>
          <w:p>
            <w:pPr>
              <w:pStyle w:val="CellText"/>
            </w:pPr>
            <w:r>
              <w:rPr>
                <w:b/>
              </w:rPr>
              <w:t>Hématologie clinique</w:t>
            </w:r>
          </w:p>
        </w:tc>
        <w:tc>
          <w:tcPr>
            <w:tcW w:type="dxa" w:w="1587"/>
          </w:tcPr>
          <w:p>
            <w:pPr>
              <w:pStyle w:val="CellText"/>
            </w:pPr>
            <w:r>
              <w:rPr>
                <w:b w:val="0"/>
              </w:rPr>
              <w:t>Centre d’oncologie-hématologie</w:t>
            </w:r>
          </w:p>
        </w:tc>
        <w:tc>
          <w:tcPr>
            <w:tcW w:type="dxa" w:w="2381"/>
          </w:tcPr>
          <w:p>
            <w:pPr>
              <w:pStyle w:val="CellText"/>
            </w:pPr>
            <w:r>
              <w:rPr>
                <w:b w:val="0"/>
              </w:rPr>
              <w:t>Mahmal Lahoucine</w:t>
            </w:r>
          </w:p>
        </w:tc>
        <w:tc>
          <w:tcPr>
            <w:tcW w:type="dxa" w:w="3288"/>
          </w:tcPr>
          <w:p>
            <w:pPr>
              <w:pStyle w:val="CellText"/>
            </w:pPr>
            <w:r>
              <w:rPr>
                <w:b w:val="0"/>
              </w:rPr>
              <w:t>Tazi Mohamed Ilias</w:t>
            </w:r>
          </w:p>
        </w:tc>
      </w:tr>
      <w:tr>
        <w:trPr>
          <w:cantSplit/>
        </w:trPr>
        <w:tc>
          <w:tcPr>
            <w:tcW w:type="dxa" w:w="2381"/>
            <w:shd w:val="clear" w:color="auto" w:fill="DCE9F5"/>
          </w:tcPr>
          <w:p>
            <w:pPr>
              <w:pStyle w:val="CellText"/>
            </w:pPr>
            <w:r>
              <w:rPr>
                <w:b/>
              </w:rPr>
              <w:t>Oncologie médicale</w:t>
            </w:r>
          </w:p>
        </w:tc>
        <w:tc>
          <w:tcPr>
            <w:tcW w:type="dxa" w:w="1587"/>
            <w:shd w:val="clear" w:color="auto" w:fill="F7F9FB"/>
          </w:tcPr>
          <w:p>
            <w:pPr>
              <w:pStyle w:val="CellText"/>
            </w:pPr>
            <w:r>
              <w:rPr>
                <w:b w:val="0"/>
              </w:rPr>
              <w:t>Centre d’oncologie-hématologie</w:t>
            </w:r>
          </w:p>
        </w:tc>
        <w:tc>
          <w:tcPr>
            <w:tcW w:type="dxa" w:w="2381"/>
            <w:shd w:val="clear" w:color="auto" w:fill="F7F9FB"/>
          </w:tcPr>
          <w:p>
            <w:pPr>
              <w:pStyle w:val="CellText"/>
            </w:pPr>
            <w:r>
              <w:rPr>
                <w:b w:val="0"/>
              </w:rPr>
              <w:t>—</w:t>
            </w:r>
          </w:p>
        </w:tc>
        <w:tc>
          <w:tcPr>
            <w:tcW w:type="dxa" w:w="3288"/>
            <w:shd w:val="clear" w:color="auto" w:fill="F7F9FB"/>
          </w:tcPr>
          <w:p>
            <w:pPr>
              <w:pStyle w:val="CellText"/>
            </w:pPr>
            <w:r>
              <w:rPr>
                <w:b w:val="0"/>
              </w:rPr>
              <w:t>Belbaraka Ghizlane</w:t>
            </w:r>
          </w:p>
        </w:tc>
      </w:tr>
      <w:tr>
        <w:trPr>
          <w:cantSplit/>
        </w:trPr>
        <w:tc>
          <w:tcPr>
            <w:tcW w:type="dxa" w:w="2381"/>
            <w:shd w:val="clear" w:color="auto" w:fill="DCE9F5"/>
          </w:tcPr>
          <w:p>
            <w:pPr>
              <w:pStyle w:val="CellText"/>
            </w:pPr>
            <w:r>
              <w:rPr>
                <w:b/>
              </w:rPr>
              <w:t>Médecine nucléaire</w:t>
            </w:r>
          </w:p>
        </w:tc>
        <w:tc>
          <w:tcPr>
            <w:tcW w:type="dxa" w:w="1587"/>
          </w:tcPr>
          <w:p>
            <w:pPr>
              <w:pStyle w:val="CellText"/>
            </w:pPr>
            <w:r>
              <w:rPr>
                <w:b w:val="0"/>
              </w:rPr>
              <w:t>Centre d’oncologie-hématologie</w:t>
            </w:r>
          </w:p>
        </w:tc>
        <w:tc>
          <w:tcPr>
            <w:tcW w:type="dxa" w:w="2381"/>
          </w:tcPr>
          <w:p>
            <w:pPr>
              <w:pStyle w:val="CellText"/>
            </w:pPr>
            <w:r>
              <w:rPr>
                <w:b w:val="0"/>
              </w:rPr>
              <w:t>Matrane Aboubakr</w:t>
            </w:r>
          </w:p>
        </w:tc>
        <w:tc>
          <w:tcPr>
            <w:tcW w:type="dxa" w:w="3288"/>
          </w:tcPr>
          <w:p>
            <w:pPr>
              <w:pStyle w:val="CellText"/>
            </w:pPr>
            <w:r>
              <w:rPr>
                <w:b w:val="0"/>
              </w:rPr>
              <w:t>Bssis Mohammed Aziz</w:t>
            </w:r>
          </w:p>
        </w:tc>
      </w:tr>
      <w:tr>
        <w:trPr>
          <w:cantSplit/>
        </w:trPr>
        <w:tc>
          <w:tcPr>
            <w:tcW w:type="dxa" w:w="2381"/>
            <w:shd w:val="clear" w:color="auto" w:fill="DCE9F5"/>
          </w:tcPr>
          <w:p>
            <w:pPr>
              <w:pStyle w:val="CellText"/>
            </w:pPr>
            <w:r>
              <w:rPr>
                <w:b/>
              </w:rPr>
              <w:t>Réanimation médicale</w:t>
            </w:r>
          </w:p>
        </w:tc>
        <w:tc>
          <w:tcPr>
            <w:tcW w:type="dxa" w:w="1587"/>
            <w:shd w:val="clear" w:color="auto" w:fill="F7F9FB"/>
          </w:tcPr>
          <w:p>
            <w:pPr>
              <w:pStyle w:val="CellText"/>
            </w:pPr>
            <w:r>
              <w:rPr>
                <w:b w:val="0"/>
              </w:rPr>
              <w:t>Arrazi</w:t>
            </w:r>
          </w:p>
        </w:tc>
        <w:tc>
          <w:tcPr>
            <w:tcW w:type="dxa" w:w="2381"/>
            <w:shd w:val="clear" w:color="auto" w:fill="F7F9FB"/>
          </w:tcPr>
          <w:p>
            <w:pPr>
              <w:pStyle w:val="CellText"/>
            </w:pPr>
            <w:r>
              <w:rPr>
                <w:b w:val="0"/>
              </w:rPr>
              <w:t>Hachimi Abdelhamid</w:t>
            </w:r>
          </w:p>
        </w:tc>
        <w:tc>
          <w:tcPr>
            <w:tcW w:type="dxa" w:w="3288"/>
            <w:shd w:val="clear" w:color="auto" w:fill="F7F9FB"/>
          </w:tcPr>
          <w:p>
            <w:pPr>
              <w:pStyle w:val="CellText"/>
            </w:pPr>
            <w:r>
              <w:rPr>
                <w:b w:val="0"/>
              </w:rPr>
              <w:t>El Khiyari Mina</w:t>
            </w:r>
          </w:p>
        </w:tc>
      </w:tr>
      <w:tr>
        <w:trPr>
          <w:cantSplit/>
        </w:trPr>
        <w:tc>
          <w:tcPr>
            <w:tcW w:type="dxa" w:w="2381"/>
            <w:shd w:val="clear" w:color="auto" w:fill="DCE9F5"/>
          </w:tcPr>
          <w:p>
            <w:pPr>
              <w:pStyle w:val="CellText"/>
            </w:pPr>
            <w:r>
              <w:rPr>
                <w:b/>
              </w:rPr>
              <w:t>Anesthésie réanimation</w:t>
            </w:r>
          </w:p>
        </w:tc>
        <w:tc>
          <w:tcPr>
            <w:tcW w:type="dxa" w:w="1587"/>
          </w:tcPr>
          <w:p>
            <w:pPr>
              <w:pStyle w:val="CellText"/>
            </w:pPr>
            <w:r>
              <w:rPr>
                <w:b w:val="0"/>
              </w:rPr>
              <w:t>Ibn Tofail</w:t>
            </w:r>
          </w:p>
        </w:tc>
        <w:tc>
          <w:tcPr>
            <w:tcW w:type="dxa" w:w="2381"/>
          </w:tcPr>
          <w:p>
            <w:pPr>
              <w:pStyle w:val="CellText"/>
            </w:pPr>
            <w:r>
              <w:rPr>
                <w:b w:val="0"/>
              </w:rPr>
              <w:t>Khallouki Mohammed</w:t>
            </w:r>
          </w:p>
        </w:tc>
        <w:tc>
          <w:tcPr>
            <w:tcW w:type="dxa" w:w="3288"/>
          </w:tcPr>
          <w:p>
            <w:pPr>
              <w:pStyle w:val="CellText"/>
            </w:pPr>
            <w:r>
              <w:rPr>
                <w:b w:val="0"/>
              </w:rPr>
              <w:t>—</w:t>
            </w:r>
          </w:p>
        </w:tc>
      </w:tr>
      <w:tr>
        <w:trPr>
          <w:cantSplit/>
        </w:trPr>
        <w:tc>
          <w:tcPr>
            <w:tcW w:type="dxa" w:w="2381"/>
            <w:shd w:val="clear" w:color="auto" w:fill="DCE9F5"/>
          </w:tcPr>
          <w:p>
            <w:pPr>
              <w:pStyle w:val="CellText"/>
            </w:pPr>
            <w:r>
              <w:rPr>
                <w:b/>
              </w:rPr>
              <w:t>Gynéco-obstétrique anesthésie réanimation</w:t>
            </w:r>
          </w:p>
        </w:tc>
        <w:tc>
          <w:tcPr>
            <w:tcW w:type="dxa" w:w="1587"/>
            <w:shd w:val="clear" w:color="auto" w:fill="F7F9FB"/>
          </w:tcPr>
          <w:p>
            <w:pPr>
              <w:pStyle w:val="CellText"/>
            </w:pPr>
            <w:r>
              <w:rPr>
                <w:b w:val="0"/>
              </w:rPr>
              <w:t>Mère-Enfant</w:t>
            </w:r>
          </w:p>
        </w:tc>
        <w:tc>
          <w:tcPr>
            <w:tcW w:type="dxa" w:w="2381"/>
            <w:shd w:val="clear" w:color="auto" w:fill="F7F9FB"/>
          </w:tcPr>
          <w:p>
            <w:pPr>
              <w:pStyle w:val="CellText"/>
            </w:pPr>
            <w:r>
              <w:rPr>
                <w:b w:val="0"/>
              </w:rPr>
              <w:t>Eladib Ahmed Rhassan</w:t>
            </w:r>
          </w:p>
        </w:tc>
        <w:tc>
          <w:tcPr>
            <w:tcW w:type="dxa" w:w="3288"/>
            <w:shd w:val="clear" w:color="auto" w:fill="F7F9FB"/>
          </w:tcPr>
          <w:p>
            <w:pPr>
              <w:pStyle w:val="CellText"/>
            </w:pPr>
            <w:r>
              <w:rPr>
                <w:b w:val="0"/>
              </w:rPr>
              <w:t>Rebahi Houssam</w:t>
            </w:r>
          </w:p>
        </w:tc>
      </w:tr>
      <w:tr>
        <w:trPr>
          <w:cantSplit/>
        </w:trPr>
        <w:tc>
          <w:tcPr>
            <w:tcW w:type="dxa" w:w="2381"/>
            <w:shd w:val="clear" w:color="auto" w:fill="DCE9F5"/>
          </w:tcPr>
          <w:p>
            <w:pPr>
              <w:pStyle w:val="CellText"/>
            </w:pPr>
            <w:r>
              <w:rPr>
                <w:b/>
              </w:rPr>
              <w:t>Rééducation et réadaptation fonctionnelle</w:t>
            </w:r>
          </w:p>
        </w:tc>
        <w:tc>
          <w:tcPr>
            <w:tcW w:type="dxa" w:w="1587"/>
          </w:tcPr>
          <w:p>
            <w:pPr>
              <w:pStyle w:val="CellText"/>
            </w:pPr>
            <w:r>
              <w:rPr>
                <w:b w:val="0"/>
              </w:rPr>
              <w:t>—</w:t>
            </w:r>
          </w:p>
        </w:tc>
        <w:tc>
          <w:tcPr>
            <w:tcW w:type="dxa" w:w="2381"/>
          </w:tcPr>
          <w:p>
            <w:pPr>
              <w:pStyle w:val="CellText"/>
            </w:pPr>
            <w:r>
              <w:rPr>
                <w:b w:val="0"/>
              </w:rPr>
              <w:t>—</w:t>
            </w:r>
          </w:p>
        </w:tc>
        <w:tc>
          <w:tcPr>
            <w:tcW w:type="dxa" w:w="3288"/>
          </w:tcPr>
          <w:p>
            <w:pPr>
              <w:pStyle w:val="CellText"/>
            </w:pPr>
            <w:r>
              <w:rPr>
                <w:b w:val="0"/>
              </w:rPr>
              <w:t>Abdelfettah Younes</w:t>
            </w:r>
          </w:p>
        </w:tc>
      </w:tr>
    </w:tbl>
    <w:p>
      <w:pPr>
        <w:spacing w:after="40"/>
      </w:pPr>
    </w:p>
    <w:p>
      <w:pPr>
        <w:pStyle w:val="Heading3"/>
      </w:pPr>
      <w:r>
        <w:t>Services de chirurgie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2381"/>
        <w:gridCol w:w="1587"/>
        <w:gridCol w:w="2381"/>
        <w:gridCol w:w="3288"/>
      </w:tblGrid>
      <w:tr>
        <w:trPr>
          <w:tblHeader/>
        </w:trPr>
        <w:tc>
          <w:tcPr>
            <w:tcW w:type="dxa" w:w="2381"/>
            <w:shd w:val="clear" w:color="auto" w:fill="1F4E79"/>
          </w:tcPr>
          <w:p>
            <w:pPr>
              <w:pStyle w:val="CellText"/>
            </w:pPr>
            <w:r>
              <w:rPr>
                <w:b/>
                <w:color w:val="FFFFFF"/>
              </w:rPr>
              <w:t>Services</w:t>
            </w:r>
          </w:p>
        </w:tc>
        <w:tc>
          <w:tcPr>
            <w:tcW w:type="dxa" w:w="1587"/>
            <w:shd w:val="clear" w:color="auto" w:fill="1F4E79"/>
          </w:tcPr>
          <w:p>
            <w:pPr>
              <w:pStyle w:val="CellText"/>
            </w:pPr>
            <w:r>
              <w:rPr>
                <w:b/>
                <w:color w:val="FFFFFF"/>
              </w:rPr>
              <w:t>Hôpital</w:t>
            </w:r>
          </w:p>
        </w:tc>
        <w:tc>
          <w:tcPr>
            <w:tcW w:type="dxa" w:w="2381"/>
            <w:shd w:val="clear" w:color="auto" w:fill="1F4E79"/>
          </w:tcPr>
          <w:p>
            <w:pPr>
              <w:pStyle w:val="CellText"/>
            </w:pPr>
            <w:r>
              <w:rPr>
                <w:b/>
                <w:color w:val="FFFFFF"/>
              </w:rPr>
              <w:t>Chef de service / Responsable</w:t>
            </w:r>
          </w:p>
        </w:tc>
        <w:tc>
          <w:tcPr>
            <w:tcW w:type="dxa" w:w="3288"/>
            <w:shd w:val="clear" w:color="auto" w:fill="1F4E79"/>
          </w:tcPr>
          <w:p>
            <w:pPr>
              <w:pStyle w:val="CellText"/>
            </w:pPr>
            <w:r>
              <w:rPr>
                <w:b/>
                <w:color w:val="FFFFFF"/>
              </w:rPr>
              <w:t>Enseignants</w:t>
            </w:r>
          </w:p>
        </w:tc>
      </w:tr>
      <w:tr>
        <w:trPr>
          <w:cantSplit/>
        </w:trPr>
        <w:tc>
          <w:tcPr>
            <w:tcW w:type="dxa" w:w="2381"/>
            <w:shd w:val="clear" w:color="auto" w:fill="DCE9F5"/>
          </w:tcPr>
          <w:p>
            <w:pPr>
              <w:pStyle w:val="CellText"/>
            </w:pPr>
            <w:r>
              <w:rPr>
                <w:b/>
              </w:rPr>
              <w:t>Urologie</w:t>
            </w:r>
          </w:p>
        </w:tc>
        <w:tc>
          <w:tcPr>
            <w:tcW w:type="dxa" w:w="1587"/>
          </w:tcPr>
          <w:p>
            <w:pPr>
              <w:pStyle w:val="CellText"/>
            </w:pPr>
            <w:r>
              <w:rPr>
                <w:b w:val="0"/>
              </w:rPr>
              <w:t>Arrazi</w:t>
            </w:r>
          </w:p>
        </w:tc>
        <w:tc>
          <w:tcPr>
            <w:tcW w:type="dxa" w:w="2381"/>
          </w:tcPr>
          <w:p>
            <w:pPr>
              <w:pStyle w:val="CellText"/>
            </w:pPr>
            <w:r>
              <w:rPr>
                <w:b w:val="0"/>
              </w:rPr>
              <w:t>Sarf Ismail</w:t>
            </w:r>
          </w:p>
        </w:tc>
        <w:tc>
          <w:tcPr>
            <w:tcW w:type="dxa" w:w="3288"/>
          </w:tcPr>
          <w:p>
            <w:pPr>
              <w:pStyle w:val="CellText"/>
            </w:pPr>
            <w:r>
              <w:rPr>
                <w:b w:val="0"/>
              </w:rPr>
              <w:t>Moudouni Said Med Dahami Zakaria Lakmichi Mohamed Amine</w:t>
            </w:r>
          </w:p>
        </w:tc>
      </w:tr>
      <w:tr>
        <w:trPr>
          <w:cantSplit/>
        </w:trPr>
        <w:tc>
          <w:tcPr>
            <w:tcW w:type="dxa" w:w="2381"/>
            <w:shd w:val="clear" w:color="auto" w:fill="DCE9F5"/>
          </w:tcPr>
          <w:p>
            <w:pPr>
              <w:pStyle w:val="CellText"/>
            </w:pPr>
            <w:r>
              <w:rPr>
                <w:b/>
              </w:rPr>
              <w:t>Chirurgie viscérale</w:t>
            </w:r>
          </w:p>
        </w:tc>
        <w:tc>
          <w:tcPr>
            <w:tcW w:type="dxa" w:w="1587"/>
            <w:shd w:val="clear" w:color="auto" w:fill="F7F9FB"/>
          </w:tcPr>
          <w:p>
            <w:pPr>
              <w:pStyle w:val="CellText"/>
            </w:pPr>
            <w:r>
              <w:rPr>
                <w:b w:val="0"/>
              </w:rPr>
              <w:t>Arrazi</w:t>
            </w:r>
          </w:p>
        </w:tc>
        <w:tc>
          <w:tcPr>
            <w:tcW w:type="dxa" w:w="2381"/>
            <w:shd w:val="clear" w:color="auto" w:fill="F7F9FB"/>
          </w:tcPr>
          <w:p>
            <w:pPr>
              <w:pStyle w:val="CellText"/>
            </w:pPr>
            <w:r>
              <w:rPr>
                <w:b w:val="0"/>
              </w:rPr>
              <w:t>Finech Benasser</w:t>
            </w:r>
          </w:p>
        </w:tc>
        <w:tc>
          <w:tcPr>
            <w:tcW w:type="dxa" w:w="3288"/>
            <w:shd w:val="clear" w:color="auto" w:fill="F7F9FB"/>
          </w:tcPr>
          <w:p>
            <w:pPr>
              <w:pStyle w:val="CellText"/>
            </w:pPr>
            <w:r>
              <w:rPr>
                <w:b w:val="0"/>
              </w:rPr>
              <w:t>Louzi Abdelouahed Rabbani Khalid</w:t>
            </w:r>
          </w:p>
        </w:tc>
      </w:tr>
      <w:tr>
        <w:trPr>
          <w:cantSplit/>
        </w:trPr>
        <w:tc>
          <w:tcPr>
            <w:tcW w:type="dxa" w:w="2381"/>
            <w:shd w:val="clear" w:color="auto" w:fill="DCE9F5"/>
          </w:tcPr>
          <w:p>
            <w:pPr>
              <w:pStyle w:val="CellText"/>
            </w:pPr>
            <w:r>
              <w:rPr>
                <w:b/>
              </w:rPr>
              <w:t>Traumatologie-orthopédie A</w:t>
            </w:r>
          </w:p>
        </w:tc>
        <w:tc>
          <w:tcPr>
            <w:tcW w:type="dxa" w:w="1587"/>
          </w:tcPr>
          <w:p>
            <w:pPr>
              <w:pStyle w:val="CellText"/>
            </w:pPr>
            <w:r>
              <w:rPr>
                <w:b w:val="0"/>
              </w:rPr>
              <w:t>Ibn Tofail</w:t>
            </w:r>
          </w:p>
        </w:tc>
        <w:tc>
          <w:tcPr>
            <w:tcW w:type="dxa" w:w="2381"/>
          </w:tcPr>
          <w:p>
            <w:pPr>
              <w:pStyle w:val="CellText"/>
            </w:pPr>
            <w:r>
              <w:rPr>
                <w:b w:val="0"/>
              </w:rPr>
              <w:t>Najeb Youssef</w:t>
            </w:r>
          </w:p>
        </w:tc>
        <w:tc>
          <w:tcPr>
            <w:tcW w:type="dxa" w:w="3288"/>
          </w:tcPr>
          <w:p>
            <w:pPr>
              <w:pStyle w:val="CellText"/>
            </w:pPr>
            <w:r>
              <w:rPr>
                <w:b w:val="0"/>
              </w:rPr>
              <w:t>El Haoury Hanane Madhar Si Mohamed Chafik Rachid</w:t>
            </w:r>
          </w:p>
        </w:tc>
      </w:tr>
      <w:tr>
        <w:trPr>
          <w:cantSplit/>
        </w:trPr>
        <w:tc>
          <w:tcPr>
            <w:tcW w:type="dxa" w:w="2381"/>
            <w:shd w:val="clear" w:color="auto" w:fill="DCE9F5"/>
          </w:tcPr>
          <w:p>
            <w:pPr>
              <w:pStyle w:val="CellText"/>
            </w:pPr>
            <w:r>
              <w:rPr>
                <w:b/>
              </w:rPr>
              <w:t>Traumatologie-orthopédie B</w:t>
            </w:r>
          </w:p>
        </w:tc>
        <w:tc>
          <w:tcPr>
            <w:tcW w:type="dxa" w:w="1587"/>
            <w:shd w:val="clear" w:color="auto" w:fill="F7F9FB"/>
          </w:tcPr>
          <w:p>
            <w:pPr>
              <w:pStyle w:val="CellText"/>
            </w:pPr>
            <w:r>
              <w:rPr>
                <w:b w:val="0"/>
              </w:rPr>
              <w:t>Arrazi</w:t>
            </w:r>
          </w:p>
        </w:tc>
        <w:tc>
          <w:tcPr>
            <w:tcW w:type="dxa" w:w="2381"/>
            <w:shd w:val="clear" w:color="auto" w:fill="F7F9FB"/>
          </w:tcPr>
          <w:p>
            <w:pPr>
              <w:pStyle w:val="CellText"/>
            </w:pPr>
            <w:r>
              <w:rPr>
                <w:b w:val="0"/>
              </w:rPr>
              <w:t>Saidi Halim</w:t>
            </w:r>
          </w:p>
        </w:tc>
        <w:tc>
          <w:tcPr>
            <w:tcW w:type="dxa" w:w="3288"/>
            <w:shd w:val="clear" w:color="auto" w:fill="F7F9FB"/>
          </w:tcPr>
          <w:p>
            <w:pPr>
              <w:pStyle w:val="CellText"/>
            </w:pPr>
            <w:r>
              <w:rPr>
                <w:b w:val="0"/>
              </w:rPr>
              <w:t>Abkari Imad Benhima Mohamed Amine</w:t>
            </w:r>
          </w:p>
        </w:tc>
      </w:tr>
      <w:tr>
        <w:trPr>
          <w:cantSplit/>
        </w:trPr>
        <w:tc>
          <w:tcPr>
            <w:tcW w:type="dxa" w:w="2381"/>
            <w:shd w:val="clear" w:color="auto" w:fill="DCE9F5"/>
          </w:tcPr>
          <w:p>
            <w:pPr>
              <w:pStyle w:val="CellText"/>
            </w:pPr>
            <w:r>
              <w:rPr>
                <w:b/>
              </w:rPr>
              <w:t>ORL</w:t>
            </w:r>
          </w:p>
        </w:tc>
        <w:tc>
          <w:tcPr>
            <w:tcW w:type="dxa" w:w="1587"/>
          </w:tcPr>
          <w:p>
            <w:pPr>
              <w:pStyle w:val="CellText"/>
            </w:pPr>
            <w:r>
              <w:rPr>
                <w:b w:val="0"/>
              </w:rPr>
              <w:t>Arrazi</w:t>
            </w:r>
          </w:p>
        </w:tc>
        <w:tc>
          <w:tcPr>
            <w:tcW w:type="dxa" w:w="2381"/>
          </w:tcPr>
          <w:p>
            <w:pPr>
              <w:pStyle w:val="CellText"/>
            </w:pPr>
            <w:r>
              <w:rPr>
                <w:b w:val="0"/>
              </w:rPr>
              <w:t>Raji Abdelaziz</w:t>
            </w:r>
          </w:p>
        </w:tc>
        <w:tc>
          <w:tcPr>
            <w:tcW w:type="dxa" w:w="3288"/>
          </w:tcPr>
          <w:p>
            <w:pPr>
              <w:pStyle w:val="CellText"/>
            </w:pPr>
            <w:r>
              <w:rPr>
                <w:b w:val="0"/>
              </w:rPr>
              <w:t>Aderdour Lahcen Nouri Hassan Rochdi Youssef</w:t>
            </w:r>
          </w:p>
        </w:tc>
      </w:tr>
      <w:tr>
        <w:trPr>
          <w:cantSplit/>
        </w:trPr>
        <w:tc>
          <w:tcPr>
            <w:tcW w:type="dxa" w:w="2381"/>
            <w:shd w:val="clear" w:color="auto" w:fill="DCE9F5"/>
          </w:tcPr>
          <w:p>
            <w:pPr>
              <w:pStyle w:val="CellText"/>
            </w:pPr>
            <w:r>
              <w:rPr>
                <w:b/>
              </w:rPr>
              <w:t>Chirurgie maxillo-faciale</w:t>
            </w:r>
          </w:p>
        </w:tc>
        <w:tc>
          <w:tcPr>
            <w:tcW w:type="dxa" w:w="1587"/>
            <w:shd w:val="clear" w:color="auto" w:fill="F7F9FB"/>
          </w:tcPr>
          <w:p>
            <w:pPr>
              <w:pStyle w:val="CellText"/>
            </w:pPr>
            <w:r>
              <w:rPr>
                <w:b w:val="0"/>
              </w:rPr>
              <w:t>Ibn Tofail</w:t>
            </w:r>
          </w:p>
        </w:tc>
        <w:tc>
          <w:tcPr>
            <w:tcW w:type="dxa" w:w="2381"/>
            <w:shd w:val="clear" w:color="auto" w:fill="F7F9FB"/>
          </w:tcPr>
          <w:p>
            <w:pPr>
              <w:pStyle w:val="CellText"/>
            </w:pPr>
            <w:r>
              <w:rPr>
                <w:b w:val="0"/>
              </w:rPr>
              <w:t>Mansouri Nadia</w:t>
            </w:r>
          </w:p>
        </w:tc>
        <w:tc>
          <w:tcPr>
            <w:tcW w:type="dxa" w:w="3288"/>
            <w:shd w:val="clear" w:color="auto" w:fill="F7F9FB"/>
          </w:tcPr>
          <w:p>
            <w:pPr>
              <w:pStyle w:val="CellText"/>
            </w:pPr>
            <w:r>
              <w:rPr>
                <w:b w:val="0"/>
              </w:rPr>
              <w:t>El Bouihi Mohamed</w:t>
            </w:r>
          </w:p>
        </w:tc>
      </w:tr>
      <w:tr>
        <w:trPr>
          <w:cantSplit/>
        </w:trPr>
        <w:tc>
          <w:tcPr>
            <w:tcW w:type="dxa" w:w="2381"/>
            <w:shd w:val="clear" w:color="auto" w:fill="DCE9F5"/>
          </w:tcPr>
          <w:p>
            <w:pPr>
              <w:pStyle w:val="CellText"/>
            </w:pPr>
            <w:r>
              <w:rPr>
                <w:b/>
              </w:rPr>
              <w:t>Ophtalmologie</w:t>
            </w:r>
          </w:p>
        </w:tc>
        <w:tc>
          <w:tcPr>
            <w:tcW w:type="dxa" w:w="1587"/>
          </w:tcPr>
          <w:p>
            <w:pPr>
              <w:pStyle w:val="CellText"/>
            </w:pPr>
            <w:r>
              <w:rPr>
                <w:b w:val="0"/>
              </w:rPr>
              <w:t>Arrazi</w:t>
            </w:r>
          </w:p>
        </w:tc>
        <w:tc>
          <w:tcPr>
            <w:tcW w:type="dxa" w:w="2381"/>
          </w:tcPr>
          <w:p>
            <w:pPr>
              <w:pStyle w:val="CellText"/>
            </w:pPr>
            <w:r>
              <w:rPr>
                <w:b w:val="0"/>
              </w:rPr>
              <w:t>Moutaouakil Abdeljalil</w:t>
            </w:r>
          </w:p>
        </w:tc>
        <w:tc>
          <w:tcPr>
            <w:tcW w:type="dxa" w:w="3288"/>
          </w:tcPr>
          <w:p>
            <w:pPr>
              <w:pStyle w:val="CellText"/>
            </w:pPr>
            <w:r>
              <w:rPr>
                <w:b w:val="0"/>
              </w:rPr>
              <w:t>Baha Ali Tarik Benhadou Rajaa Hajji Ibtissam</w:t>
            </w:r>
          </w:p>
        </w:tc>
      </w:tr>
      <w:tr>
        <w:trPr>
          <w:cantSplit/>
        </w:trPr>
        <w:tc>
          <w:tcPr>
            <w:tcW w:type="dxa" w:w="2381"/>
            <w:shd w:val="clear" w:color="auto" w:fill="DCE9F5"/>
          </w:tcPr>
          <w:p>
            <w:pPr>
              <w:pStyle w:val="CellText"/>
            </w:pPr>
            <w:r>
              <w:rPr>
                <w:b/>
              </w:rPr>
              <w:t>Chirurgie réparatrice et plastique</w:t>
            </w:r>
          </w:p>
        </w:tc>
        <w:tc>
          <w:tcPr>
            <w:tcW w:type="dxa" w:w="1587"/>
            <w:shd w:val="clear" w:color="auto" w:fill="F7F9FB"/>
          </w:tcPr>
          <w:p>
            <w:pPr>
              <w:pStyle w:val="CellText"/>
            </w:pPr>
            <w:r>
              <w:rPr>
                <w:b w:val="0"/>
              </w:rPr>
              <w:t>Arrazi</w:t>
            </w:r>
          </w:p>
        </w:tc>
        <w:tc>
          <w:tcPr>
            <w:tcW w:type="dxa" w:w="2381"/>
            <w:shd w:val="clear" w:color="auto" w:fill="F7F9FB"/>
          </w:tcPr>
          <w:p>
            <w:pPr>
              <w:pStyle w:val="CellText"/>
            </w:pPr>
            <w:r>
              <w:rPr>
                <w:b w:val="0"/>
              </w:rPr>
              <w:t>Ettalbi Saloua</w:t>
            </w:r>
          </w:p>
        </w:tc>
        <w:tc>
          <w:tcPr>
            <w:tcW w:type="dxa" w:w="3288"/>
            <w:shd w:val="clear" w:color="auto" w:fill="F7F9FB"/>
          </w:tcPr>
          <w:p>
            <w:pPr>
              <w:pStyle w:val="CellText"/>
            </w:pPr>
            <w:r>
              <w:rPr>
                <w:b w:val="0"/>
              </w:rPr>
              <w:t>Benchamkha Yassine El Amrani Moulay Driss</w:t>
            </w:r>
          </w:p>
        </w:tc>
      </w:tr>
      <w:tr>
        <w:trPr>
          <w:cantSplit/>
        </w:trPr>
        <w:tc>
          <w:tcPr>
            <w:tcW w:type="dxa" w:w="2381"/>
            <w:shd w:val="clear" w:color="auto" w:fill="DCE9F5"/>
          </w:tcPr>
          <w:p>
            <w:pPr>
              <w:pStyle w:val="CellText"/>
            </w:pPr>
            <w:r>
              <w:rPr>
                <w:b/>
              </w:rPr>
              <w:t>Neurochirurgie</w:t>
            </w:r>
          </w:p>
        </w:tc>
        <w:tc>
          <w:tcPr>
            <w:tcW w:type="dxa" w:w="1587"/>
          </w:tcPr>
          <w:p>
            <w:pPr>
              <w:pStyle w:val="CellText"/>
            </w:pPr>
            <w:r>
              <w:rPr>
                <w:b w:val="0"/>
              </w:rPr>
              <w:t>Arrazi</w:t>
            </w:r>
          </w:p>
        </w:tc>
        <w:tc>
          <w:tcPr>
            <w:tcW w:type="dxa" w:w="2381"/>
          </w:tcPr>
          <w:p>
            <w:pPr>
              <w:pStyle w:val="CellText"/>
            </w:pPr>
            <w:r>
              <w:rPr>
                <w:b w:val="0"/>
              </w:rPr>
              <w:t>Ait Benali Said</w:t>
            </w:r>
          </w:p>
        </w:tc>
        <w:tc>
          <w:tcPr>
            <w:tcW w:type="dxa" w:w="3288"/>
          </w:tcPr>
          <w:p>
            <w:pPr>
              <w:pStyle w:val="CellText"/>
            </w:pPr>
            <w:r>
              <w:rPr>
                <w:b w:val="0"/>
              </w:rPr>
              <w:t>Ghannane Houssine Lmejjati Mohamed Laghmari Mehdi</w:t>
            </w:r>
          </w:p>
        </w:tc>
      </w:tr>
      <w:tr>
        <w:trPr>
          <w:cantSplit/>
        </w:trPr>
        <w:tc>
          <w:tcPr>
            <w:tcW w:type="dxa" w:w="2381"/>
            <w:shd w:val="clear" w:color="auto" w:fill="DCE9F5"/>
          </w:tcPr>
          <w:p>
            <w:pPr>
              <w:pStyle w:val="CellText"/>
            </w:pPr>
            <w:r>
              <w:rPr>
                <w:b/>
              </w:rPr>
              <w:t>Chirurgie cardio-vasculaire</w:t>
            </w:r>
          </w:p>
        </w:tc>
        <w:tc>
          <w:tcPr>
            <w:tcW w:type="dxa" w:w="1587"/>
            <w:shd w:val="clear" w:color="auto" w:fill="F7F9FB"/>
          </w:tcPr>
          <w:p>
            <w:pPr>
              <w:pStyle w:val="CellText"/>
            </w:pPr>
            <w:r>
              <w:rPr>
                <w:b w:val="0"/>
              </w:rPr>
              <w:t>Arrazi</w:t>
            </w:r>
          </w:p>
        </w:tc>
        <w:tc>
          <w:tcPr>
            <w:tcW w:type="dxa" w:w="2381"/>
            <w:shd w:val="clear" w:color="auto" w:fill="F7F9FB"/>
          </w:tcPr>
          <w:p>
            <w:pPr>
              <w:pStyle w:val="CellText"/>
            </w:pPr>
            <w:r>
              <w:rPr>
                <w:b w:val="0"/>
              </w:rPr>
              <w:t>Boumzebra Drissi</w:t>
            </w:r>
          </w:p>
        </w:tc>
        <w:tc>
          <w:tcPr>
            <w:tcW w:type="dxa" w:w="3288"/>
            <w:shd w:val="clear" w:color="auto" w:fill="F7F9FB"/>
          </w:tcPr>
          <w:p>
            <w:pPr>
              <w:pStyle w:val="CellText"/>
            </w:pPr>
            <w:r>
              <w:rPr>
                <w:b w:val="0"/>
              </w:rPr>
              <w:t>El Houati Rachid Zouizra Zahira</w:t>
            </w:r>
          </w:p>
        </w:tc>
      </w:tr>
      <w:tr>
        <w:trPr>
          <w:cantSplit/>
        </w:trPr>
        <w:tc>
          <w:tcPr>
            <w:tcW w:type="dxa" w:w="2381"/>
            <w:shd w:val="clear" w:color="auto" w:fill="DCE9F5"/>
          </w:tcPr>
          <w:p>
            <w:pPr>
              <w:pStyle w:val="CellText"/>
            </w:pPr>
            <w:r>
              <w:rPr>
                <w:b/>
              </w:rPr>
              <w:t>Chirurgie infantile viscérale</w:t>
            </w:r>
          </w:p>
        </w:tc>
        <w:tc>
          <w:tcPr>
            <w:tcW w:type="dxa" w:w="1587"/>
          </w:tcPr>
          <w:p>
            <w:pPr>
              <w:pStyle w:val="CellText"/>
            </w:pPr>
            <w:r>
              <w:rPr>
                <w:b w:val="0"/>
              </w:rPr>
              <w:t>Mère-Enfant</w:t>
            </w:r>
          </w:p>
        </w:tc>
        <w:tc>
          <w:tcPr>
            <w:tcW w:type="dxa" w:w="2381"/>
          </w:tcPr>
          <w:p>
            <w:pPr>
              <w:pStyle w:val="CellText"/>
            </w:pPr>
            <w:r>
              <w:rPr>
                <w:b w:val="0"/>
              </w:rPr>
              <w:t>Oulad Saiad Mohamed</w:t>
            </w:r>
          </w:p>
        </w:tc>
        <w:tc>
          <w:tcPr>
            <w:tcW w:type="dxa" w:w="3288"/>
          </w:tcPr>
          <w:p>
            <w:pPr>
              <w:pStyle w:val="CellText"/>
            </w:pPr>
            <w:r>
              <w:rPr>
                <w:b w:val="0"/>
              </w:rPr>
              <w:t>Kamili El Ouafi El Aouni Fouraiji Karima</w:t>
            </w:r>
          </w:p>
        </w:tc>
      </w:tr>
      <w:tr>
        <w:trPr>
          <w:cantSplit/>
        </w:trPr>
        <w:tc>
          <w:tcPr>
            <w:tcW w:type="dxa" w:w="2381"/>
            <w:shd w:val="clear" w:color="auto" w:fill="DCE9F5"/>
          </w:tcPr>
          <w:p>
            <w:pPr>
              <w:pStyle w:val="CellText"/>
            </w:pPr>
            <w:r>
              <w:rPr>
                <w:b/>
              </w:rPr>
              <w:t>Chirurgie infantile traumatologie</w:t>
            </w:r>
          </w:p>
        </w:tc>
        <w:tc>
          <w:tcPr>
            <w:tcW w:type="dxa" w:w="1587"/>
            <w:shd w:val="clear" w:color="auto" w:fill="F7F9FB"/>
          </w:tcPr>
          <w:p>
            <w:pPr>
              <w:pStyle w:val="CellText"/>
            </w:pPr>
            <w:r>
              <w:rPr>
                <w:b w:val="0"/>
              </w:rPr>
              <w:t>Mère-Enfant</w:t>
            </w:r>
          </w:p>
        </w:tc>
        <w:tc>
          <w:tcPr>
            <w:tcW w:type="dxa" w:w="2381"/>
            <w:shd w:val="clear" w:color="auto" w:fill="F7F9FB"/>
          </w:tcPr>
          <w:p>
            <w:pPr>
              <w:pStyle w:val="CellText"/>
            </w:pPr>
            <w:r>
              <w:rPr>
                <w:b w:val="0"/>
              </w:rPr>
              <w:t>El Fezzazi Redouane</w:t>
            </w:r>
          </w:p>
        </w:tc>
        <w:tc>
          <w:tcPr>
            <w:tcW w:type="dxa" w:w="3288"/>
            <w:shd w:val="clear" w:color="auto" w:fill="F7F9FB"/>
          </w:tcPr>
          <w:p>
            <w:pPr>
              <w:pStyle w:val="CellText"/>
            </w:pPr>
            <w:r>
              <w:rPr>
                <w:b w:val="0"/>
              </w:rPr>
              <w:t>Aghoutane El Mouhtadi Salama Tarik</w:t>
            </w:r>
          </w:p>
        </w:tc>
      </w:tr>
      <w:tr>
        <w:trPr>
          <w:cantSplit/>
        </w:trPr>
        <w:tc>
          <w:tcPr>
            <w:tcW w:type="dxa" w:w="2381"/>
            <w:shd w:val="clear" w:color="auto" w:fill="DCE9F5"/>
          </w:tcPr>
          <w:p>
            <w:pPr>
              <w:pStyle w:val="CellText"/>
            </w:pPr>
            <w:r>
              <w:rPr>
                <w:b/>
              </w:rPr>
              <w:t>Chirurgie thoracique</w:t>
            </w:r>
          </w:p>
        </w:tc>
        <w:tc>
          <w:tcPr>
            <w:tcW w:type="dxa" w:w="1587"/>
          </w:tcPr>
          <w:p>
            <w:pPr>
              <w:pStyle w:val="CellText"/>
            </w:pPr>
            <w:r>
              <w:rPr>
                <w:b w:val="0"/>
              </w:rPr>
              <w:t>Arrazi</w:t>
            </w:r>
          </w:p>
        </w:tc>
        <w:tc>
          <w:tcPr>
            <w:tcW w:type="dxa" w:w="2381"/>
          </w:tcPr>
          <w:p>
            <w:pPr>
              <w:pStyle w:val="CellText"/>
            </w:pPr>
            <w:r>
              <w:rPr>
                <w:b w:val="0"/>
              </w:rPr>
              <w:t>Msougar Yassine</w:t>
            </w:r>
          </w:p>
        </w:tc>
        <w:tc>
          <w:tcPr>
            <w:tcW w:type="dxa" w:w="3288"/>
          </w:tcPr>
          <w:p>
            <w:pPr>
              <w:pStyle w:val="CellText"/>
            </w:pPr>
            <w:r>
              <w:rPr>
                <w:b w:val="0"/>
              </w:rPr>
              <w:t>—</w:t>
            </w:r>
          </w:p>
        </w:tc>
      </w:tr>
      <w:tr>
        <w:trPr>
          <w:cantSplit/>
        </w:trPr>
        <w:tc>
          <w:tcPr>
            <w:tcW w:type="dxa" w:w="2381"/>
            <w:shd w:val="clear" w:color="auto" w:fill="DCE9F5"/>
          </w:tcPr>
          <w:p>
            <w:pPr>
              <w:pStyle w:val="CellText"/>
            </w:pPr>
            <w:r>
              <w:rPr>
                <w:b/>
              </w:rPr>
              <w:t>Neurochirurgie</w:t>
            </w:r>
          </w:p>
        </w:tc>
        <w:tc>
          <w:tcPr>
            <w:tcW w:type="dxa" w:w="1587"/>
            <w:shd w:val="clear" w:color="auto" w:fill="F7F9FB"/>
          </w:tcPr>
          <w:p>
            <w:pPr>
              <w:pStyle w:val="CellText"/>
            </w:pPr>
            <w:r>
              <w:rPr>
                <w:b w:val="0"/>
              </w:rPr>
              <w:t>Ibn Tofail</w:t>
            </w:r>
          </w:p>
        </w:tc>
        <w:tc>
          <w:tcPr>
            <w:tcW w:type="dxa" w:w="2381"/>
            <w:shd w:val="clear" w:color="auto" w:fill="F7F9FB"/>
          </w:tcPr>
          <w:p>
            <w:pPr>
              <w:pStyle w:val="CellText"/>
            </w:pPr>
            <w:r>
              <w:rPr>
                <w:b w:val="0"/>
              </w:rPr>
              <w:t>Aniba Khalid</w:t>
            </w:r>
          </w:p>
        </w:tc>
        <w:tc>
          <w:tcPr>
            <w:tcW w:type="dxa" w:w="3288"/>
            <w:shd w:val="clear" w:color="auto" w:fill="F7F9FB"/>
          </w:tcPr>
          <w:p>
            <w:pPr>
              <w:pStyle w:val="CellText"/>
            </w:pPr>
            <w:r>
              <w:rPr>
                <w:b w:val="0"/>
              </w:rPr>
              <w:t>—</w:t>
            </w:r>
          </w:p>
        </w:tc>
      </w:tr>
      <w:tr>
        <w:trPr>
          <w:cantSplit/>
        </w:trPr>
        <w:tc>
          <w:tcPr>
            <w:tcW w:type="dxa" w:w="2381"/>
            <w:shd w:val="clear" w:color="auto" w:fill="DCE9F5"/>
          </w:tcPr>
          <w:p>
            <w:pPr>
              <w:pStyle w:val="CellText"/>
            </w:pPr>
            <w:r>
              <w:rPr>
                <w:b/>
              </w:rPr>
              <w:t>Chirurgie viscérale</w:t>
            </w:r>
          </w:p>
        </w:tc>
        <w:tc>
          <w:tcPr>
            <w:tcW w:type="dxa" w:w="1587"/>
          </w:tcPr>
          <w:p>
            <w:pPr>
              <w:pStyle w:val="CellText"/>
            </w:pPr>
            <w:r>
              <w:rPr>
                <w:b w:val="0"/>
              </w:rPr>
              <w:t>Ibn Tofail</w:t>
            </w:r>
          </w:p>
        </w:tc>
        <w:tc>
          <w:tcPr>
            <w:tcW w:type="dxa" w:w="2381"/>
          </w:tcPr>
          <w:p>
            <w:pPr>
              <w:pStyle w:val="CellText"/>
            </w:pPr>
            <w:r>
              <w:rPr>
                <w:b w:val="0"/>
              </w:rPr>
              <w:t>Benelkhaiat Ridouan</w:t>
            </w:r>
          </w:p>
        </w:tc>
        <w:tc>
          <w:tcPr>
            <w:tcW w:type="dxa" w:w="3288"/>
          </w:tcPr>
          <w:p>
            <w:pPr>
              <w:pStyle w:val="CellText"/>
            </w:pPr>
            <w:r>
              <w:rPr>
                <w:b w:val="0"/>
              </w:rPr>
              <w:t>Benomar Narjiss Youssef</w:t>
            </w:r>
          </w:p>
        </w:tc>
      </w:tr>
    </w:tbl>
    <w:p>
      <w:pPr>
        <w:spacing w:after="40"/>
      </w:pPr>
    </w:p>
    <w:p>
      <w:pPr>
        <w:pStyle w:val="Heading3"/>
      </w:pPr>
      <w:r>
        <w:t>Services de pédiatrie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2381"/>
        <w:gridCol w:w="1587"/>
        <w:gridCol w:w="2381"/>
        <w:gridCol w:w="3288"/>
      </w:tblGrid>
      <w:tr>
        <w:trPr>
          <w:tblHeader/>
        </w:trPr>
        <w:tc>
          <w:tcPr>
            <w:tcW w:type="dxa" w:w="2381"/>
            <w:shd w:val="clear" w:color="auto" w:fill="1F4E79"/>
          </w:tcPr>
          <w:p>
            <w:pPr>
              <w:pStyle w:val="CellText"/>
            </w:pPr>
            <w:r>
              <w:rPr>
                <w:b/>
                <w:color w:val="FFFFFF"/>
              </w:rPr>
              <w:t>Services</w:t>
            </w:r>
          </w:p>
        </w:tc>
        <w:tc>
          <w:tcPr>
            <w:tcW w:type="dxa" w:w="1587"/>
            <w:shd w:val="clear" w:color="auto" w:fill="1F4E79"/>
          </w:tcPr>
          <w:p>
            <w:pPr>
              <w:pStyle w:val="CellText"/>
            </w:pPr>
            <w:r>
              <w:rPr>
                <w:b/>
                <w:color w:val="FFFFFF"/>
              </w:rPr>
              <w:t>Hôpital</w:t>
            </w:r>
          </w:p>
        </w:tc>
        <w:tc>
          <w:tcPr>
            <w:tcW w:type="dxa" w:w="2381"/>
            <w:shd w:val="clear" w:color="auto" w:fill="1F4E79"/>
          </w:tcPr>
          <w:p>
            <w:pPr>
              <w:pStyle w:val="CellText"/>
            </w:pPr>
            <w:r>
              <w:rPr>
                <w:b/>
                <w:color w:val="FFFFFF"/>
              </w:rPr>
              <w:t>Chef de service / Responsable</w:t>
            </w:r>
          </w:p>
        </w:tc>
        <w:tc>
          <w:tcPr>
            <w:tcW w:type="dxa" w:w="3288"/>
            <w:shd w:val="clear" w:color="auto" w:fill="1F4E79"/>
          </w:tcPr>
          <w:p>
            <w:pPr>
              <w:pStyle w:val="CellText"/>
            </w:pPr>
            <w:r>
              <w:rPr>
                <w:b/>
                <w:color w:val="FFFFFF"/>
              </w:rPr>
              <w:t>Enseignants</w:t>
            </w:r>
          </w:p>
        </w:tc>
      </w:tr>
      <w:tr>
        <w:trPr>
          <w:cantSplit/>
        </w:trPr>
        <w:tc>
          <w:tcPr>
            <w:tcW w:type="dxa" w:w="2381"/>
            <w:shd w:val="clear" w:color="auto" w:fill="DCE9F5"/>
          </w:tcPr>
          <w:p>
            <w:pPr>
              <w:pStyle w:val="CellText"/>
            </w:pPr>
            <w:r>
              <w:rPr>
                <w:b/>
              </w:rPr>
              <w:t>Pédiatrie A</w:t>
            </w:r>
          </w:p>
        </w:tc>
        <w:tc>
          <w:tcPr>
            <w:tcW w:type="dxa" w:w="1587"/>
          </w:tcPr>
          <w:p>
            <w:pPr>
              <w:pStyle w:val="CellText"/>
            </w:pPr>
            <w:r>
              <w:rPr>
                <w:b w:val="0"/>
              </w:rPr>
              <w:t>Mère-Enfant</w:t>
            </w:r>
          </w:p>
        </w:tc>
        <w:tc>
          <w:tcPr>
            <w:tcW w:type="dxa" w:w="2381"/>
          </w:tcPr>
          <w:p>
            <w:pPr>
              <w:pStyle w:val="CellText"/>
            </w:pPr>
            <w:r>
              <w:rPr>
                <w:b w:val="0"/>
              </w:rPr>
              <w:t>Bouskraoui Mohammed</w:t>
            </w:r>
          </w:p>
        </w:tc>
        <w:tc>
          <w:tcPr>
            <w:tcW w:type="dxa" w:w="3288"/>
          </w:tcPr>
          <w:p>
            <w:pPr>
              <w:pStyle w:val="CellText"/>
            </w:pPr>
            <w:r>
              <w:rPr>
                <w:b w:val="0"/>
              </w:rPr>
              <w:t>Draiss Ghizlane Rada Nourredine</w:t>
            </w:r>
          </w:p>
        </w:tc>
      </w:tr>
      <w:tr>
        <w:trPr>
          <w:cantSplit/>
        </w:trPr>
        <w:tc>
          <w:tcPr>
            <w:tcW w:type="dxa" w:w="2381"/>
            <w:shd w:val="clear" w:color="auto" w:fill="DCE9F5"/>
          </w:tcPr>
          <w:p>
            <w:pPr>
              <w:pStyle w:val="CellText"/>
            </w:pPr>
            <w:r>
              <w:rPr>
                <w:b/>
              </w:rPr>
              <w:t>Pédiatrie B</w:t>
            </w:r>
          </w:p>
        </w:tc>
        <w:tc>
          <w:tcPr>
            <w:tcW w:type="dxa" w:w="1587"/>
            <w:shd w:val="clear" w:color="auto" w:fill="F7F9FB"/>
          </w:tcPr>
          <w:p>
            <w:pPr>
              <w:pStyle w:val="CellText"/>
            </w:pPr>
            <w:r>
              <w:rPr>
                <w:b w:val="0"/>
              </w:rPr>
              <w:t>Mère-Enfant</w:t>
            </w:r>
          </w:p>
        </w:tc>
        <w:tc>
          <w:tcPr>
            <w:tcW w:type="dxa" w:w="2381"/>
            <w:shd w:val="clear" w:color="auto" w:fill="F7F9FB"/>
          </w:tcPr>
          <w:p>
            <w:pPr>
              <w:pStyle w:val="CellText"/>
            </w:pPr>
            <w:r>
              <w:rPr>
                <w:b w:val="0"/>
              </w:rPr>
              <w:t>Sbihi Mohamed</w:t>
            </w:r>
          </w:p>
        </w:tc>
        <w:tc>
          <w:tcPr>
            <w:tcW w:type="dxa" w:w="3288"/>
            <w:shd w:val="clear" w:color="auto" w:fill="F7F9FB"/>
          </w:tcPr>
          <w:p>
            <w:pPr>
              <w:pStyle w:val="CellText"/>
            </w:pPr>
            <w:r>
              <w:rPr>
                <w:b w:val="0"/>
              </w:rPr>
              <w:t>Ait Sab Imane Bourrahouat Aicha</w:t>
            </w:r>
          </w:p>
        </w:tc>
      </w:tr>
      <w:tr>
        <w:trPr>
          <w:cantSplit/>
        </w:trPr>
        <w:tc>
          <w:tcPr>
            <w:tcW w:type="dxa" w:w="2381"/>
            <w:shd w:val="clear" w:color="auto" w:fill="DCE9F5"/>
          </w:tcPr>
          <w:p>
            <w:pPr>
              <w:pStyle w:val="CellText"/>
            </w:pPr>
            <w:r>
              <w:rPr>
                <w:b/>
              </w:rPr>
              <w:t>Néonatologie</w:t>
            </w:r>
          </w:p>
        </w:tc>
        <w:tc>
          <w:tcPr>
            <w:tcW w:type="dxa" w:w="1587"/>
          </w:tcPr>
          <w:p>
            <w:pPr>
              <w:pStyle w:val="CellText"/>
            </w:pPr>
            <w:r>
              <w:rPr>
                <w:b w:val="0"/>
              </w:rPr>
              <w:t>Mère-Enfant</w:t>
            </w:r>
          </w:p>
        </w:tc>
        <w:tc>
          <w:tcPr>
            <w:tcW w:type="dxa" w:w="2381"/>
          </w:tcPr>
          <w:p>
            <w:pPr>
              <w:pStyle w:val="CellText"/>
            </w:pPr>
            <w:r>
              <w:rPr>
                <w:b w:val="0"/>
              </w:rPr>
              <w:t>Mrabih Rabou Maoulainine Fadl</w:t>
            </w:r>
          </w:p>
        </w:tc>
        <w:tc>
          <w:tcPr>
            <w:tcW w:type="dxa" w:w="3288"/>
          </w:tcPr>
          <w:p>
            <w:pPr>
              <w:pStyle w:val="CellText"/>
            </w:pPr>
            <w:r>
              <w:rPr>
                <w:b w:val="0"/>
              </w:rPr>
              <w:t>Bennaoui Fatiha El Idrissi Slitine Nadia</w:t>
            </w:r>
          </w:p>
        </w:tc>
      </w:tr>
      <w:tr>
        <w:trPr>
          <w:cantSplit/>
        </w:trPr>
        <w:tc>
          <w:tcPr>
            <w:tcW w:type="dxa" w:w="2381"/>
            <w:shd w:val="clear" w:color="auto" w:fill="DCE9F5"/>
          </w:tcPr>
          <w:p>
            <w:pPr>
              <w:pStyle w:val="CellText"/>
            </w:pPr>
            <w:r>
              <w:rPr>
                <w:b/>
              </w:rPr>
              <w:t>Urgences pédiatriques</w:t>
            </w:r>
          </w:p>
        </w:tc>
        <w:tc>
          <w:tcPr>
            <w:tcW w:type="dxa" w:w="1587"/>
            <w:shd w:val="clear" w:color="auto" w:fill="F7F9FB"/>
          </w:tcPr>
          <w:p>
            <w:pPr>
              <w:pStyle w:val="CellText"/>
            </w:pPr>
            <w:r>
              <w:rPr>
                <w:b w:val="0"/>
              </w:rPr>
              <w:t>Mère-Enfant</w:t>
            </w:r>
          </w:p>
        </w:tc>
        <w:tc>
          <w:tcPr>
            <w:tcW w:type="dxa" w:w="2381"/>
            <w:shd w:val="clear" w:color="auto" w:fill="F7F9FB"/>
          </w:tcPr>
          <w:p>
            <w:pPr>
              <w:pStyle w:val="CellText"/>
            </w:pPr>
            <w:r>
              <w:rPr>
                <w:b w:val="0"/>
              </w:rPr>
              <w:t>Bourrous Mounir</w:t>
            </w:r>
          </w:p>
        </w:tc>
        <w:tc>
          <w:tcPr>
            <w:tcW w:type="dxa" w:w="3288"/>
            <w:shd w:val="clear" w:color="auto" w:fill="F7F9FB"/>
          </w:tcPr>
          <w:p>
            <w:pPr>
              <w:pStyle w:val="CellText"/>
            </w:pPr>
            <w:r>
              <w:rPr>
                <w:b w:val="0"/>
              </w:rPr>
              <w:t>—</w:t>
            </w:r>
          </w:p>
        </w:tc>
      </w:tr>
      <w:tr>
        <w:trPr>
          <w:cantSplit/>
        </w:trPr>
        <w:tc>
          <w:tcPr>
            <w:tcW w:type="dxa" w:w="2381"/>
            <w:shd w:val="clear" w:color="auto" w:fill="DCE9F5"/>
          </w:tcPr>
          <w:p>
            <w:pPr>
              <w:pStyle w:val="CellText"/>
            </w:pPr>
            <w:r>
              <w:rPr>
                <w:b/>
              </w:rPr>
              <w:t>Oncologie pédiatrique</w:t>
            </w:r>
          </w:p>
        </w:tc>
        <w:tc>
          <w:tcPr>
            <w:tcW w:type="dxa" w:w="1587"/>
          </w:tcPr>
          <w:p>
            <w:pPr>
              <w:pStyle w:val="CellText"/>
            </w:pPr>
            <w:r>
              <w:rPr>
                <w:b w:val="0"/>
              </w:rPr>
              <w:t>Hématologie Oncologie Pédiatrique</w:t>
            </w:r>
          </w:p>
        </w:tc>
        <w:tc>
          <w:tcPr>
            <w:tcW w:type="dxa" w:w="2381"/>
          </w:tcPr>
          <w:p>
            <w:pPr>
              <w:pStyle w:val="CellText"/>
            </w:pPr>
            <w:r>
              <w:rPr>
                <w:b w:val="0"/>
              </w:rPr>
              <w:t>Houdzi Jamila</w:t>
            </w:r>
          </w:p>
        </w:tc>
        <w:tc>
          <w:tcPr>
            <w:tcW w:type="dxa" w:w="3288"/>
          </w:tcPr>
          <w:p>
            <w:pPr>
              <w:pStyle w:val="CellText"/>
            </w:pPr>
            <w:r>
              <w:rPr>
                <w:b w:val="0"/>
              </w:rPr>
              <w:t>—</w:t>
            </w:r>
          </w:p>
        </w:tc>
      </w:tr>
    </w:tbl>
    <w:p>
      <w:pPr>
        <w:spacing w:after="40"/>
      </w:pPr>
    </w:p>
    <w:p>
      <w:pPr>
        <w:pStyle w:val="Heading3"/>
      </w:pPr>
      <w:r>
        <w:t>Services de gynécologie-obstétrique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2381"/>
        <w:gridCol w:w="1587"/>
        <w:gridCol w:w="2381"/>
        <w:gridCol w:w="3288"/>
      </w:tblGrid>
      <w:tr>
        <w:trPr>
          <w:tblHeader/>
        </w:trPr>
        <w:tc>
          <w:tcPr>
            <w:tcW w:type="dxa" w:w="2381"/>
            <w:shd w:val="clear" w:color="auto" w:fill="1F4E79"/>
          </w:tcPr>
          <w:p>
            <w:pPr>
              <w:pStyle w:val="CellText"/>
            </w:pPr>
            <w:r>
              <w:rPr>
                <w:b/>
                <w:color w:val="FFFFFF"/>
              </w:rPr>
              <w:t>Services</w:t>
            </w:r>
          </w:p>
        </w:tc>
        <w:tc>
          <w:tcPr>
            <w:tcW w:type="dxa" w:w="1587"/>
            <w:shd w:val="clear" w:color="auto" w:fill="1F4E79"/>
          </w:tcPr>
          <w:p>
            <w:pPr>
              <w:pStyle w:val="CellText"/>
            </w:pPr>
            <w:r>
              <w:rPr>
                <w:b/>
                <w:color w:val="FFFFFF"/>
              </w:rPr>
              <w:t>Hôpital</w:t>
            </w:r>
          </w:p>
        </w:tc>
        <w:tc>
          <w:tcPr>
            <w:tcW w:type="dxa" w:w="2381"/>
            <w:shd w:val="clear" w:color="auto" w:fill="1F4E79"/>
          </w:tcPr>
          <w:p>
            <w:pPr>
              <w:pStyle w:val="CellText"/>
            </w:pPr>
            <w:r>
              <w:rPr>
                <w:b/>
                <w:color w:val="FFFFFF"/>
              </w:rPr>
              <w:t>Chef de service / Responsable</w:t>
            </w:r>
          </w:p>
        </w:tc>
        <w:tc>
          <w:tcPr>
            <w:tcW w:type="dxa" w:w="3288"/>
            <w:shd w:val="clear" w:color="auto" w:fill="1F4E79"/>
          </w:tcPr>
          <w:p>
            <w:pPr>
              <w:pStyle w:val="CellText"/>
            </w:pPr>
            <w:r>
              <w:rPr>
                <w:b/>
                <w:color w:val="FFFFFF"/>
              </w:rPr>
              <w:t>Enseignants</w:t>
            </w:r>
          </w:p>
        </w:tc>
      </w:tr>
      <w:tr>
        <w:trPr>
          <w:cantSplit/>
        </w:trPr>
        <w:tc>
          <w:tcPr>
            <w:tcW w:type="dxa" w:w="2381"/>
            <w:shd w:val="clear" w:color="auto" w:fill="DCE9F5"/>
          </w:tcPr>
          <w:p>
            <w:pPr>
              <w:pStyle w:val="CellText"/>
            </w:pPr>
            <w:r>
              <w:rPr>
                <w:b/>
              </w:rPr>
              <w:t>Gynécologie obstétrique A et B</w:t>
            </w:r>
          </w:p>
        </w:tc>
        <w:tc>
          <w:tcPr>
            <w:tcW w:type="dxa" w:w="1587"/>
          </w:tcPr>
          <w:p>
            <w:pPr>
              <w:pStyle w:val="CellText"/>
            </w:pPr>
            <w:r>
              <w:rPr>
                <w:b w:val="0"/>
              </w:rPr>
              <w:t>Mère-Enfant</w:t>
            </w:r>
          </w:p>
        </w:tc>
        <w:tc>
          <w:tcPr>
            <w:tcW w:type="dxa" w:w="2381"/>
          </w:tcPr>
          <w:p>
            <w:pPr>
              <w:pStyle w:val="CellText"/>
            </w:pPr>
            <w:r>
              <w:rPr>
                <w:b w:val="0"/>
              </w:rPr>
              <w:t>Soummani Abderraouf</w:t>
            </w:r>
          </w:p>
        </w:tc>
        <w:tc>
          <w:tcPr>
            <w:tcW w:type="dxa" w:w="3288"/>
          </w:tcPr>
          <w:p>
            <w:pPr>
              <w:pStyle w:val="CellText"/>
            </w:pPr>
            <w:r>
              <w:rPr>
                <w:b w:val="0"/>
              </w:rPr>
              <w:t>Asmouki Harou Boukhanni Fakhir Aboulfalah Bassir Ait Karam Bouchra Hamid Lahcen Ahlam Abderrahim Benkaddour Yassir</w:t>
            </w:r>
          </w:p>
        </w:tc>
      </w:tr>
    </w:tbl>
    <w:p>
      <w:pPr>
        <w:spacing w:after="40"/>
      </w:pPr>
    </w:p>
    <w:p>
      <w:pPr>
        <w:pStyle w:val="Heading3"/>
      </w:pPr>
      <w:r>
        <w:t>Laboratoires</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2381"/>
        <w:gridCol w:w="1587"/>
        <w:gridCol w:w="2381"/>
        <w:gridCol w:w="3288"/>
      </w:tblGrid>
      <w:tr>
        <w:trPr>
          <w:tblHeader/>
        </w:trPr>
        <w:tc>
          <w:tcPr>
            <w:tcW w:type="dxa" w:w="2381"/>
            <w:shd w:val="clear" w:color="auto" w:fill="1F4E79"/>
          </w:tcPr>
          <w:p>
            <w:pPr>
              <w:pStyle w:val="CellText"/>
            </w:pPr>
            <w:r>
              <w:rPr>
                <w:b/>
                <w:color w:val="FFFFFF"/>
              </w:rPr>
              <w:t>Laboratoire</w:t>
            </w:r>
          </w:p>
        </w:tc>
        <w:tc>
          <w:tcPr>
            <w:tcW w:type="dxa" w:w="1587"/>
            <w:shd w:val="clear" w:color="auto" w:fill="1F4E79"/>
          </w:tcPr>
          <w:p>
            <w:pPr>
              <w:pStyle w:val="CellText"/>
            </w:pPr>
            <w:r>
              <w:rPr>
                <w:b/>
                <w:color w:val="FFFFFF"/>
              </w:rPr>
              <w:t>Hôpital</w:t>
            </w:r>
          </w:p>
        </w:tc>
        <w:tc>
          <w:tcPr>
            <w:tcW w:type="dxa" w:w="2381"/>
            <w:shd w:val="clear" w:color="auto" w:fill="1F4E79"/>
          </w:tcPr>
          <w:p>
            <w:pPr>
              <w:pStyle w:val="CellText"/>
            </w:pPr>
            <w:r>
              <w:rPr>
                <w:b/>
                <w:color w:val="FFFFFF"/>
              </w:rPr>
              <w:t>Chef de service / Responsable</w:t>
            </w:r>
          </w:p>
        </w:tc>
        <w:tc>
          <w:tcPr>
            <w:tcW w:type="dxa" w:w="3288"/>
            <w:shd w:val="clear" w:color="auto" w:fill="1F4E79"/>
          </w:tcPr>
          <w:p>
            <w:pPr>
              <w:pStyle w:val="CellText"/>
            </w:pPr>
            <w:r>
              <w:rPr>
                <w:b/>
                <w:color w:val="FFFFFF"/>
              </w:rPr>
              <w:t>Enseignants</w:t>
            </w:r>
          </w:p>
        </w:tc>
      </w:tr>
      <w:tr>
        <w:trPr>
          <w:cantSplit/>
        </w:trPr>
        <w:tc>
          <w:tcPr>
            <w:tcW w:type="dxa" w:w="2381"/>
            <w:shd w:val="clear" w:color="auto" w:fill="DCE9F5"/>
          </w:tcPr>
          <w:p>
            <w:pPr>
              <w:pStyle w:val="CellText"/>
            </w:pPr>
            <w:r>
              <w:rPr>
                <w:b/>
              </w:rPr>
              <w:t>Anatomie pathologique</w:t>
            </w:r>
          </w:p>
        </w:tc>
        <w:tc>
          <w:tcPr>
            <w:tcW w:type="dxa" w:w="1587"/>
          </w:tcPr>
          <w:p>
            <w:pPr>
              <w:pStyle w:val="CellText"/>
            </w:pPr>
            <w:r>
              <w:rPr>
                <w:b w:val="0"/>
              </w:rPr>
              <w:t>Arrazi</w:t>
            </w:r>
          </w:p>
        </w:tc>
        <w:tc>
          <w:tcPr>
            <w:tcW w:type="dxa" w:w="2381"/>
          </w:tcPr>
          <w:p>
            <w:pPr>
              <w:pStyle w:val="CellText"/>
            </w:pPr>
            <w:r>
              <w:rPr>
                <w:b w:val="0"/>
              </w:rPr>
              <w:t>Rais Hannane</w:t>
            </w:r>
          </w:p>
        </w:tc>
        <w:tc>
          <w:tcPr>
            <w:tcW w:type="dxa" w:w="3288"/>
          </w:tcPr>
          <w:p>
            <w:pPr>
              <w:pStyle w:val="CellText"/>
            </w:pPr>
            <w:r>
              <w:rPr>
                <w:b w:val="0"/>
              </w:rPr>
              <w:t>Belbachir Fakhri Anass Elhazmiri Fatimzahra</w:t>
            </w:r>
          </w:p>
        </w:tc>
      </w:tr>
      <w:tr>
        <w:trPr>
          <w:cantSplit/>
        </w:trPr>
        <w:tc>
          <w:tcPr>
            <w:tcW w:type="dxa" w:w="2381"/>
            <w:shd w:val="clear" w:color="auto" w:fill="DCE9F5"/>
          </w:tcPr>
          <w:p>
            <w:pPr>
              <w:pStyle w:val="CellText"/>
            </w:pPr>
            <w:r>
              <w:rPr>
                <w:b/>
              </w:rPr>
              <w:t>Biochimie</w:t>
            </w:r>
          </w:p>
        </w:tc>
        <w:tc>
          <w:tcPr>
            <w:tcW w:type="dxa" w:w="1587"/>
            <w:shd w:val="clear" w:color="auto" w:fill="F7F9FB"/>
          </w:tcPr>
          <w:p>
            <w:pPr>
              <w:pStyle w:val="CellText"/>
            </w:pPr>
            <w:r>
              <w:rPr>
                <w:b w:val="0"/>
              </w:rPr>
              <w:t>Arrazi</w:t>
            </w:r>
          </w:p>
        </w:tc>
        <w:tc>
          <w:tcPr>
            <w:tcW w:type="dxa" w:w="2381"/>
            <w:shd w:val="clear" w:color="auto" w:fill="F7F9FB"/>
          </w:tcPr>
          <w:p>
            <w:pPr>
              <w:pStyle w:val="CellText"/>
            </w:pPr>
            <w:r>
              <w:rPr>
                <w:b w:val="0"/>
              </w:rPr>
              <w:t>Chabaa Laila</w:t>
            </w:r>
          </w:p>
        </w:tc>
        <w:tc>
          <w:tcPr>
            <w:tcW w:type="dxa" w:w="3288"/>
            <w:shd w:val="clear" w:color="auto" w:fill="F7F9FB"/>
          </w:tcPr>
          <w:p>
            <w:pPr>
              <w:pStyle w:val="CellText"/>
            </w:pPr>
            <w:r>
              <w:rPr>
                <w:b w:val="0"/>
              </w:rPr>
              <w:t>Fadil Naima</w:t>
            </w:r>
          </w:p>
        </w:tc>
      </w:tr>
      <w:tr>
        <w:trPr>
          <w:cantSplit/>
        </w:trPr>
        <w:tc>
          <w:tcPr>
            <w:tcW w:type="dxa" w:w="2381"/>
            <w:shd w:val="clear" w:color="auto" w:fill="DCE9F5"/>
          </w:tcPr>
          <w:p>
            <w:pPr>
              <w:pStyle w:val="CellText"/>
            </w:pPr>
            <w:r>
              <w:rPr>
                <w:b/>
              </w:rPr>
              <w:t>Recherche clinique</w:t>
            </w:r>
          </w:p>
        </w:tc>
        <w:tc>
          <w:tcPr>
            <w:tcW w:type="dxa" w:w="1587"/>
          </w:tcPr>
          <w:p>
            <w:pPr>
              <w:pStyle w:val="CellText"/>
            </w:pPr>
            <w:r>
              <w:rPr>
                <w:b w:val="0"/>
              </w:rPr>
              <w:t>CRC</w:t>
            </w:r>
          </w:p>
        </w:tc>
        <w:tc>
          <w:tcPr>
            <w:tcW w:type="dxa" w:w="2381"/>
          </w:tcPr>
          <w:p>
            <w:pPr>
              <w:pStyle w:val="CellText"/>
            </w:pPr>
            <w:r>
              <w:rPr>
                <w:b w:val="0"/>
              </w:rPr>
              <w:t>Amine Mohamed</w:t>
            </w:r>
          </w:p>
        </w:tc>
        <w:tc>
          <w:tcPr>
            <w:tcW w:type="dxa" w:w="3288"/>
          </w:tcPr>
          <w:p>
            <w:pPr>
              <w:pStyle w:val="CellText"/>
            </w:pPr>
            <w:r>
              <w:rPr>
                <w:b w:val="0"/>
              </w:rPr>
              <w:t>Adarmouch Latifa</w:t>
            </w:r>
          </w:p>
        </w:tc>
      </w:tr>
      <w:tr>
        <w:trPr>
          <w:cantSplit/>
        </w:trPr>
        <w:tc>
          <w:tcPr>
            <w:tcW w:type="dxa" w:w="2381"/>
            <w:shd w:val="clear" w:color="auto" w:fill="DCE9F5"/>
          </w:tcPr>
          <w:p>
            <w:pPr>
              <w:pStyle w:val="CellText"/>
            </w:pPr>
            <w:r>
              <w:rPr>
                <w:b/>
              </w:rPr>
              <w:t>Immunologie</w:t>
            </w:r>
          </w:p>
        </w:tc>
        <w:tc>
          <w:tcPr>
            <w:tcW w:type="dxa" w:w="1587"/>
            <w:shd w:val="clear" w:color="auto" w:fill="F7F9FB"/>
          </w:tcPr>
          <w:p>
            <w:pPr>
              <w:pStyle w:val="CellText"/>
            </w:pPr>
            <w:r>
              <w:rPr>
                <w:b w:val="0"/>
              </w:rPr>
              <w:t>CRC</w:t>
            </w:r>
          </w:p>
        </w:tc>
        <w:tc>
          <w:tcPr>
            <w:tcW w:type="dxa" w:w="2381"/>
            <w:shd w:val="clear" w:color="auto" w:fill="F7F9FB"/>
          </w:tcPr>
          <w:p>
            <w:pPr>
              <w:pStyle w:val="CellText"/>
            </w:pPr>
            <w:r>
              <w:rPr>
                <w:b w:val="0"/>
              </w:rPr>
              <w:t>Admou Brahim</w:t>
            </w:r>
          </w:p>
        </w:tc>
        <w:tc>
          <w:tcPr>
            <w:tcW w:type="dxa" w:w="3288"/>
            <w:shd w:val="clear" w:color="auto" w:fill="F7F9FB"/>
          </w:tcPr>
          <w:p>
            <w:pPr>
              <w:pStyle w:val="CellText"/>
            </w:pPr>
            <w:r>
              <w:rPr>
                <w:b w:val="0"/>
              </w:rPr>
              <w:t>—</w:t>
            </w:r>
          </w:p>
        </w:tc>
      </w:tr>
      <w:tr>
        <w:trPr>
          <w:cantSplit/>
        </w:trPr>
        <w:tc>
          <w:tcPr>
            <w:tcW w:type="dxa" w:w="2381"/>
            <w:shd w:val="clear" w:color="auto" w:fill="DCE9F5"/>
          </w:tcPr>
          <w:p>
            <w:pPr>
              <w:pStyle w:val="CellText"/>
            </w:pPr>
            <w:r>
              <w:rPr>
                <w:b/>
              </w:rPr>
              <w:t>Microbiologie</w:t>
            </w:r>
          </w:p>
        </w:tc>
        <w:tc>
          <w:tcPr>
            <w:tcW w:type="dxa" w:w="1587"/>
          </w:tcPr>
          <w:p>
            <w:pPr>
              <w:pStyle w:val="CellText"/>
            </w:pPr>
            <w:r>
              <w:rPr>
                <w:b w:val="0"/>
              </w:rPr>
              <w:t>Arrazi</w:t>
            </w:r>
          </w:p>
        </w:tc>
        <w:tc>
          <w:tcPr>
            <w:tcW w:type="dxa" w:w="2381"/>
          </w:tcPr>
          <w:p>
            <w:pPr>
              <w:pStyle w:val="CellText"/>
            </w:pPr>
            <w:r>
              <w:rPr>
                <w:b w:val="0"/>
              </w:rPr>
              <w:t>Soraa Nabila</w:t>
            </w:r>
          </w:p>
        </w:tc>
        <w:tc>
          <w:tcPr>
            <w:tcW w:type="dxa" w:w="3288"/>
          </w:tcPr>
          <w:p>
            <w:pPr>
              <w:pStyle w:val="CellText"/>
            </w:pPr>
            <w:r>
              <w:rPr>
                <w:b w:val="0"/>
              </w:rPr>
              <w:t>Zahlane Kaoutar</w:t>
            </w:r>
          </w:p>
        </w:tc>
      </w:tr>
      <w:tr>
        <w:trPr>
          <w:cantSplit/>
        </w:trPr>
        <w:tc>
          <w:tcPr>
            <w:tcW w:type="dxa" w:w="2381"/>
            <w:shd w:val="clear" w:color="auto" w:fill="DCE9F5"/>
          </w:tcPr>
          <w:p>
            <w:pPr>
              <w:pStyle w:val="CellText"/>
            </w:pPr>
            <w:r>
              <w:rPr>
                <w:b/>
              </w:rPr>
              <w:t>Hématologie</w:t>
            </w:r>
          </w:p>
        </w:tc>
        <w:tc>
          <w:tcPr>
            <w:tcW w:type="dxa" w:w="1587"/>
            <w:shd w:val="clear" w:color="auto" w:fill="F7F9FB"/>
          </w:tcPr>
          <w:p>
            <w:pPr>
              <w:pStyle w:val="CellText"/>
            </w:pPr>
            <w:r>
              <w:rPr>
                <w:b w:val="0"/>
              </w:rPr>
              <w:t>Arrazi</w:t>
            </w:r>
          </w:p>
        </w:tc>
        <w:tc>
          <w:tcPr>
            <w:tcW w:type="dxa" w:w="2381"/>
            <w:shd w:val="clear" w:color="auto" w:fill="F7F9FB"/>
          </w:tcPr>
          <w:p>
            <w:pPr>
              <w:pStyle w:val="CellText"/>
            </w:pPr>
            <w:r>
              <w:rPr>
                <w:b w:val="0"/>
              </w:rPr>
              <w:t>Haouach Khalil</w:t>
            </w:r>
          </w:p>
        </w:tc>
        <w:tc>
          <w:tcPr>
            <w:tcW w:type="dxa" w:w="3288"/>
            <w:shd w:val="clear" w:color="auto" w:fill="F7F9FB"/>
          </w:tcPr>
          <w:p>
            <w:pPr>
              <w:pStyle w:val="CellText"/>
            </w:pPr>
            <w:r>
              <w:rPr>
                <w:b w:val="0"/>
              </w:rPr>
              <w:t>—</w:t>
            </w:r>
          </w:p>
        </w:tc>
      </w:tr>
      <w:tr>
        <w:trPr>
          <w:cantSplit/>
        </w:trPr>
        <w:tc>
          <w:tcPr>
            <w:tcW w:type="dxa" w:w="2381"/>
            <w:shd w:val="clear" w:color="auto" w:fill="DCE9F5"/>
          </w:tcPr>
          <w:p>
            <w:pPr>
              <w:pStyle w:val="CellText"/>
            </w:pPr>
            <w:r>
              <w:rPr>
                <w:b/>
              </w:rPr>
              <w:t>Pharmacologie</w:t>
            </w:r>
          </w:p>
        </w:tc>
        <w:tc>
          <w:tcPr>
            <w:tcW w:type="dxa" w:w="1587"/>
          </w:tcPr>
          <w:p>
            <w:pPr>
              <w:pStyle w:val="CellText"/>
            </w:pPr>
            <w:r>
              <w:rPr>
                <w:b w:val="0"/>
              </w:rPr>
              <w:t>CRC</w:t>
            </w:r>
          </w:p>
        </w:tc>
        <w:tc>
          <w:tcPr>
            <w:tcW w:type="dxa" w:w="2381"/>
          </w:tcPr>
          <w:p>
            <w:pPr>
              <w:pStyle w:val="CellText"/>
            </w:pPr>
            <w:r>
              <w:rPr>
                <w:b w:val="0"/>
              </w:rPr>
              <w:t>Zaoui Sanaa</w:t>
            </w:r>
          </w:p>
        </w:tc>
        <w:tc>
          <w:tcPr>
            <w:tcW w:type="dxa" w:w="3288"/>
          </w:tcPr>
          <w:p>
            <w:pPr>
              <w:pStyle w:val="CellText"/>
            </w:pPr>
            <w:r>
              <w:rPr>
                <w:b w:val="0"/>
              </w:rPr>
              <w:t>—</w:t>
            </w:r>
          </w:p>
        </w:tc>
      </w:tr>
      <w:tr>
        <w:trPr>
          <w:cantSplit/>
        </w:trPr>
        <w:tc>
          <w:tcPr>
            <w:tcW w:type="dxa" w:w="2381"/>
            <w:shd w:val="clear" w:color="auto" w:fill="DCE9F5"/>
          </w:tcPr>
          <w:p>
            <w:pPr>
              <w:pStyle w:val="CellText"/>
            </w:pPr>
            <w:r>
              <w:rPr>
                <w:b/>
              </w:rPr>
              <w:t>Génétique</w:t>
            </w:r>
          </w:p>
        </w:tc>
        <w:tc>
          <w:tcPr>
            <w:tcW w:type="dxa" w:w="1587"/>
            <w:shd w:val="clear" w:color="auto" w:fill="F7F9FB"/>
          </w:tcPr>
          <w:p>
            <w:pPr>
              <w:pStyle w:val="CellText"/>
            </w:pPr>
            <w:r>
              <w:rPr>
                <w:b w:val="0"/>
              </w:rPr>
              <w:t>CRC</w:t>
            </w:r>
          </w:p>
        </w:tc>
        <w:tc>
          <w:tcPr>
            <w:tcW w:type="dxa" w:w="2381"/>
            <w:shd w:val="clear" w:color="auto" w:fill="F7F9FB"/>
          </w:tcPr>
          <w:p>
            <w:pPr>
              <w:pStyle w:val="CellText"/>
            </w:pPr>
            <w:r>
              <w:rPr>
                <w:b w:val="0"/>
              </w:rPr>
              <w:t>Aboussair Nisrine</w:t>
            </w:r>
          </w:p>
        </w:tc>
        <w:tc>
          <w:tcPr>
            <w:tcW w:type="dxa" w:w="3288"/>
            <w:shd w:val="clear" w:color="auto" w:fill="F7F9FB"/>
          </w:tcPr>
          <w:p>
            <w:pPr>
              <w:pStyle w:val="CellText"/>
            </w:pPr>
            <w:r>
              <w:rPr>
                <w:b w:val="0"/>
              </w:rPr>
              <w:t>—</w:t>
            </w:r>
          </w:p>
        </w:tc>
      </w:tr>
    </w:tbl>
    <w:p>
      <w:pPr>
        <w:spacing w:after="40"/>
      </w:pPr>
    </w:p>
    <w:p>
      <w:r>
        <w:rPr>
          <w:b w:val="0"/>
          <w:i/>
        </w:rPr>
        <w:t>CRC : Centre de recherche clinique.</w:t>
      </w:r>
    </w:p>
    <w:p>
      <w:pPr>
        <w:pStyle w:val="Heading2"/>
      </w:pPr>
      <w:r>
        <w:t>B. Les services de l’hôpital militaire Avicenne</w:t>
      </w:r>
    </w:p>
    <w:p>
      <w:pPr>
        <w:pStyle w:val="Heading3"/>
      </w:pPr>
      <w:r>
        <w:t>Services médicaux</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2948"/>
        <w:gridCol w:w="2494"/>
        <w:gridCol w:w="4195"/>
      </w:tblGrid>
      <w:tr>
        <w:trPr>
          <w:tblHeader/>
        </w:trPr>
        <w:tc>
          <w:tcPr>
            <w:tcW w:type="dxa" w:w="2948"/>
            <w:shd w:val="clear" w:color="auto" w:fill="1F4E79"/>
          </w:tcPr>
          <w:p>
            <w:pPr>
              <w:pStyle w:val="CellText"/>
            </w:pPr>
            <w:r>
              <w:rPr>
                <w:b/>
                <w:color w:val="FFFFFF"/>
              </w:rPr>
              <w:t>Service</w:t>
            </w:r>
          </w:p>
        </w:tc>
        <w:tc>
          <w:tcPr>
            <w:tcW w:type="dxa" w:w="2494"/>
            <w:shd w:val="clear" w:color="auto" w:fill="1F4E79"/>
          </w:tcPr>
          <w:p>
            <w:pPr>
              <w:pStyle w:val="CellText"/>
            </w:pPr>
            <w:r>
              <w:rPr>
                <w:b/>
                <w:color w:val="FFFFFF"/>
              </w:rPr>
              <w:t>Chef de service / Responsable</w:t>
            </w:r>
          </w:p>
        </w:tc>
        <w:tc>
          <w:tcPr>
            <w:tcW w:type="dxa" w:w="4195"/>
            <w:shd w:val="clear" w:color="auto" w:fill="1F4E79"/>
          </w:tcPr>
          <w:p>
            <w:pPr>
              <w:pStyle w:val="CellText"/>
            </w:pPr>
            <w:r>
              <w:rPr>
                <w:b/>
                <w:color w:val="FFFFFF"/>
              </w:rPr>
              <w:t>Enseignants</w:t>
            </w:r>
          </w:p>
        </w:tc>
      </w:tr>
      <w:tr>
        <w:trPr>
          <w:cantSplit/>
        </w:trPr>
        <w:tc>
          <w:tcPr>
            <w:tcW w:type="dxa" w:w="2948"/>
            <w:shd w:val="clear" w:color="auto" w:fill="DCE9F5"/>
          </w:tcPr>
          <w:p>
            <w:pPr>
              <w:pStyle w:val="CellText"/>
            </w:pPr>
            <w:r>
              <w:rPr>
                <w:b/>
              </w:rPr>
              <w:t>Radiologie</w:t>
            </w:r>
          </w:p>
        </w:tc>
        <w:tc>
          <w:tcPr>
            <w:tcW w:type="dxa" w:w="2494"/>
          </w:tcPr>
          <w:p>
            <w:pPr>
              <w:pStyle w:val="CellText"/>
            </w:pPr>
            <w:r>
              <w:rPr>
                <w:b w:val="0"/>
              </w:rPr>
              <w:t>El Fikri Abdelghani</w:t>
            </w:r>
          </w:p>
        </w:tc>
        <w:tc>
          <w:tcPr>
            <w:tcW w:type="dxa" w:w="4195"/>
          </w:tcPr>
          <w:p>
            <w:pPr>
              <w:pStyle w:val="CellText"/>
            </w:pPr>
            <w:r>
              <w:rPr>
                <w:b w:val="0"/>
              </w:rPr>
              <w:t>Saouab Atmane Mohssine Rachida El Mehdi Abdelilah</w:t>
            </w:r>
          </w:p>
        </w:tc>
      </w:tr>
      <w:tr>
        <w:trPr>
          <w:cantSplit/>
        </w:trPr>
        <w:tc>
          <w:tcPr>
            <w:tcW w:type="dxa" w:w="2948"/>
            <w:shd w:val="clear" w:color="auto" w:fill="DCE9F5"/>
          </w:tcPr>
          <w:p>
            <w:pPr>
              <w:pStyle w:val="CellText"/>
            </w:pPr>
            <w:r>
              <w:rPr>
                <w:b/>
              </w:rPr>
              <w:t>Pneumologie</w:t>
            </w:r>
          </w:p>
        </w:tc>
        <w:tc>
          <w:tcPr>
            <w:tcW w:type="dxa" w:w="2494"/>
            <w:shd w:val="clear" w:color="auto" w:fill="F7F9FB"/>
          </w:tcPr>
          <w:p>
            <w:pPr>
              <w:pStyle w:val="CellText"/>
            </w:pPr>
            <w:r>
              <w:rPr>
                <w:b w:val="0"/>
              </w:rPr>
              <w:t>Bouchentouf Rachid</w:t>
            </w:r>
          </w:p>
        </w:tc>
        <w:tc>
          <w:tcPr>
            <w:tcW w:type="dxa" w:w="4195"/>
            <w:shd w:val="clear" w:color="auto" w:fill="F7F9FB"/>
          </w:tcPr>
          <w:p>
            <w:pPr>
              <w:pStyle w:val="CellText"/>
            </w:pPr>
            <w:r>
              <w:rPr>
                <w:b w:val="0"/>
              </w:rPr>
              <w:t>Benjelloun Janah Amine Hicham</w:t>
            </w:r>
          </w:p>
        </w:tc>
      </w:tr>
      <w:tr>
        <w:trPr>
          <w:cantSplit/>
        </w:trPr>
        <w:tc>
          <w:tcPr>
            <w:tcW w:type="dxa" w:w="2948"/>
            <w:shd w:val="clear" w:color="auto" w:fill="DCE9F5"/>
          </w:tcPr>
          <w:p>
            <w:pPr>
              <w:pStyle w:val="CellText"/>
            </w:pPr>
            <w:r>
              <w:rPr>
                <w:b/>
              </w:rPr>
              <w:t>Cardiologie</w:t>
            </w:r>
          </w:p>
        </w:tc>
        <w:tc>
          <w:tcPr>
            <w:tcW w:type="dxa" w:w="2494"/>
          </w:tcPr>
          <w:p>
            <w:pPr>
              <w:pStyle w:val="CellText"/>
            </w:pPr>
            <w:r>
              <w:rPr>
                <w:b w:val="0"/>
              </w:rPr>
              <w:t>Khatouri Ali</w:t>
            </w:r>
          </w:p>
        </w:tc>
        <w:tc>
          <w:tcPr>
            <w:tcW w:type="dxa" w:w="4195"/>
          </w:tcPr>
          <w:p>
            <w:pPr>
              <w:pStyle w:val="CellText"/>
            </w:pPr>
            <w:r>
              <w:rPr>
                <w:b w:val="0"/>
              </w:rPr>
              <w:t>Ben Rbaibi Bouzerda Driss Laila Aziz Abdelmajid</w:t>
            </w:r>
          </w:p>
        </w:tc>
      </w:tr>
      <w:tr>
        <w:trPr>
          <w:cantSplit/>
        </w:trPr>
        <w:tc>
          <w:tcPr>
            <w:tcW w:type="dxa" w:w="2948"/>
            <w:shd w:val="clear" w:color="auto" w:fill="DCE9F5"/>
          </w:tcPr>
          <w:p>
            <w:pPr>
              <w:pStyle w:val="CellText"/>
            </w:pPr>
            <w:r>
              <w:rPr>
                <w:b/>
              </w:rPr>
              <w:t>Médecine interne</w:t>
            </w:r>
          </w:p>
        </w:tc>
        <w:tc>
          <w:tcPr>
            <w:tcW w:type="dxa" w:w="2494"/>
            <w:shd w:val="clear" w:color="auto" w:fill="F7F9FB"/>
          </w:tcPr>
          <w:p>
            <w:pPr>
              <w:pStyle w:val="CellText"/>
            </w:pPr>
            <w:r>
              <w:rPr>
                <w:b w:val="0"/>
              </w:rPr>
              <w:t>Zyani Mohammed</w:t>
            </w:r>
          </w:p>
        </w:tc>
        <w:tc>
          <w:tcPr>
            <w:tcW w:type="dxa" w:w="4195"/>
            <w:shd w:val="clear" w:color="auto" w:fill="F7F9FB"/>
          </w:tcPr>
          <w:p>
            <w:pPr>
              <w:pStyle w:val="CellText"/>
            </w:pPr>
            <w:r>
              <w:rPr>
                <w:b w:val="0"/>
              </w:rPr>
              <w:t>Qacif Baizri Elgatni Hassan Hicham Mohamed</w:t>
            </w:r>
          </w:p>
        </w:tc>
      </w:tr>
      <w:tr>
        <w:trPr>
          <w:cantSplit/>
        </w:trPr>
        <w:tc>
          <w:tcPr>
            <w:tcW w:type="dxa" w:w="2948"/>
            <w:shd w:val="clear" w:color="auto" w:fill="DCE9F5"/>
          </w:tcPr>
          <w:p>
            <w:pPr>
              <w:pStyle w:val="CellText"/>
            </w:pPr>
            <w:r>
              <w:rPr>
                <w:b/>
              </w:rPr>
              <w:t>Rhumatologie</w:t>
            </w:r>
          </w:p>
        </w:tc>
        <w:tc>
          <w:tcPr>
            <w:tcW w:type="dxa" w:w="2494"/>
          </w:tcPr>
          <w:p>
            <w:pPr>
              <w:pStyle w:val="CellText"/>
            </w:pPr>
            <w:r>
              <w:rPr>
                <w:b w:val="0"/>
              </w:rPr>
              <w:t>Niamane Redouane</w:t>
            </w:r>
          </w:p>
        </w:tc>
        <w:tc>
          <w:tcPr>
            <w:tcW w:type="dxa" w:w="4195"/>
          </w:tcPr>
          <w:p>
            <w:pPr>
              <w:pStyle w:val="CellText"/>
            </w:pPr>
            <w:r>
              <w:rPr>
                <w:b w:val="0"/>
              </w:rPr>
              <w:t>Ghazi Meryem Ghourzlani Imade</w:t>
            </w:r>
          </w:p>
        </w:tc>
      </w:tr>
      <w:tr>
        <w:trPr>
          <w:cantSplit/>
        </w:trPr>
        <w:tc>
          <w:tcPr>
            <w:tcW w:type="dxa" w:w="2948"/>
            <w:shd w:val="clear" w:color="auto" w:fill="DCE9F5"/>
          </w:tcPr>
          <w:p>
            <w:pPr>
              <w:pStyle w:val="CellText"/>
            </w:pPr>
            <w:r>
              <w:rPr>
                <w:b/>
              </w:rPr>
              <w:t>Neurologie</w:t>
            </w:r>
          </w:p>
        </w:tc>
        <w:tc>
          <w:tcPr>
            <w:tcW w:type="dxa" w:w="2494"/>
            <w:shd w:val="clear" w:color="auto" w:fill="F7F9FB"/>
          </w:tcPr>
          <w:p>
            <w:pPr>
              <w:pStyle w:val="CellText"/>
            </w:pPr>
            <w:r>
              <w:rPr>
                <w:b w:val="0"/>
              </w:rPr>
              <w:t>Rafiq Reda</w:t>
            </w:r>
          </w:p>
        </w:tc>
        <w:tc>
          <w:tcPr>
            <w:tcW w:type="dxa" w:w="4195"/>
            <w:shd w:val="clear" w:color="auto" w:fill="F7F9FB"/>
          </w:tcPr>
          <w:p>
            <w:pPr>
              <w:pStyle w:val="CellText"/>
            </w:pPr>
            <w:r>
              <w:rPr>
                <w:b w:val="0"/>
              </w:rPr>
              <w:t>—</w:t>
            </w:r>
          </w:p>
        </w:tc>
      </w:tr>
      <w:tr>
        <w:trPr>
          <w:cantSplit/>
        </w:trPr>
        <w:tc>
          <w:tcPr>
            <w:tcW w:type="dxa" w:w="2948"/>
            <w:shd w:val="clear" w:color="auto" w:fill="DCE9F5"/>
          </w:tcPr>
          <w:p>
            <w:pPr>
              <w:pStyle w:val="CellText"/>
            </w:pPr>
            <w:r>
              <w:rPr>
                <w:b/>
              </w:rPr>
              <w:t>Anesthésie réanimation</w:t>
            </w:r>
          </w:p>
        </w:tc>
        <w:tc>
          <w:tcPr>
            <w:tcW w:type="dxa" w:w="2494"/>
          </w:tcPr>
          <w:p>
            <w:pPr>
              <w:pStyle w:val="CellText"/>
            </w:pPr>
            <w:r>
              <w:rPr>
                <w:b w:val="0"/>
              </w:rPr>
              <w:t>Zoubir Mohamed</w:t>
            </w:r>
          </w:p>
        </w:tc>
        <w:tc>
          <w:tcPr>
            <w:tcW w:type="dxa" w:w="4195"/>
          </w:tcPr>
          <w:p>
            <w:pPr>
              <w:pStyle w:val="CellText"/>
            </w:pPr>
            <w:r>
              <w:rPr>
                <w:b w:val="0"/>
              </w:rPr>
              <w:t>Sedikki Rachid Qamouss Youssef Aissaoui Younes Alaoui Hassan</w:t>
            </w:r>
          </w:p>
        </w:tc>
      </w:tr>
      <w:tr>
        <w:trPr>
          <w:cantSplit/>
        </w:trPr>
        <w:tc>
          <w:tcPr>
            <w:tcW w:type="dxa" w:w="2948"/>
            <w:shd w:val="clear" w:color="auto" w:fill="DCE9F5"/>
          </w:tcPr>
          <w:p>
            <w:pPr>
              <w:pStyle w:val="CellText"/>
            </w:pPr>
            <w:r>
              <w:rPr>
                <w:b/>
              </w:rPr>
              <w:t>Psychiatrie</w:t>
            </w:r>
          </w:p>
        </w:tc>
        <w:tc>
          <w:tcPr>
            <w:tcW w:type="dxa" w:w="2494"/>
            <w:shd w:val="clear" w:color="auto" w:fill="F7F9FB"/>
          </w:tcPr>
          <w:p>
            <w:pPr>
              <w:pStyle w:val="CellText"/>
            </w:pPr>
            <w:r>
              <w:rPr>
                <w:b w:val="0"/>
              </w:rPr>
              <w:t>Benali Abdeslam</w:t>
            </w:r>
          </w:p>
        </w:tc>
        <w:tc>
          <w:tcPr>
            <w:tcW w:type="dxa" w:w="4195"/>
            <w:shd w:val="clear" w:color="auto" w:fill="F7F9FB"/>
          </w:tcPr>
          <w:p>
            <w:pPr>
              <w:pStyle w:val="CellText"/>
            </w:pPr>
            <w:r>
              <w:rPr>
                <w:b w:val="0"/>
              </w:rPr>
              <w:t>Mouhabi Khalid</w:t>
            </w:r>
          </w:p>
        </w:tc>
      </w:tr>
      <w:tr>
        <w:trPr>
          <w:cantSplit/>
        </w:trPr>
        <w:tc>
          <w:tcPr>
            <w:tcW w:type="dxa" w:w="2948"/>
            <w:shd w:val="clear" w:color="auto" w:fill="DCE9F5"/>
          </w:tcPr>
          <w:p>
            <w:pPr>
              <w:pStyle w:val="CellText"/>
            </w:pPr>
            <w:r>
              <w:rPr>
                <w:b/>
              </w:rPr>
              <w:t>Médecine physique et réadaptation fonctionnelle</w:t>
            </w:r>
          </w:p>
        </w:tc>
        <w:tc>
          <w:tcPr>
            <w:tcW w:type="dxa" w:w="2494"/>
          </w:tcPr>
          <w:p>
            <w:pPr>
              <w:pStyle w:val="CellText"/>
            </w:pPr>
            <w:r>
              <w:rPr>
                <w:b w:val="0"/>
              </w:rPr>
              <w:t>Arabi Hafid</w:t>
            </w:r>
          </w:p>
        </w:tc>
        <w:tc>
          <w:tcPr>
            <w:tcW w:type="dxa" w:w="4195"/>
          </w:tcPr>
          <w:p>
            <w:pPr>
              <w:pStyle w:val="CellText"/>
            </w:pPr>
            <w:r>
              <w:rPr>
                <w:b w:val="0"/>
              </w:rPr>
              <w:t>—</w:t>
            </w:r>
          </w:p>
        </w:tc>
      </w:tr>
      <w:tr>
        <w:trPr>
          <w:cantSplit/>
        </w:trPr>
        <w:tc>
          <w:tcPr>
            <w:tcW w:type="dxa" w:w="2948"/>
            <w:shd w:val="clear" w:color="auto" w:fill="DCE9F5"/>
          </w:tcPr>
          <w:p>
            <w:pPr>
              <w:pStyle w:val="CellText"/>
            </w:pPr>
            <w:r>
              <w:rPr>
                <w:b/>
              </w:rPr>
              <w:t>Néphrologie</w:t>
            </w:r>
          </w:p>
        </w:tc>
        <w:tc>
          <w:tcPr>
            <w:tcW w:type="dxa" w:w="2494"/>
            <w:shd w:val="clear" w:color="auto" w:fill="F7F9FB"/>
          </w:tcPr>
          <w:p>
            <w:pPr>
              <w:pStyle w:val="CellText"/>
            </w:pPr>
            <w:r>
              <w:rPr>
                <w:b w:val="0"/>
              </w:rPr>
              <w:t>—</w:t>
            </w:r>
          </w:p>
        </w:tc>
        <w:tc>
          <w:tcPr>
            <w:tcW w:type="dxa" w:w="4195"/>
            <w:shd w:val="clear" w:color="auto" w:fill="F7F9FB"/>
          </w:tcPr>
          <w:p>
            <w:pPr>
              <w:pStyle w:val="CellText"/>
            </w:pPr>
            <w:r>
              <w:rPr>
                <w:b w:val="0"/>
              </w:rPr>
              <w:t>Asserraji Mohammed</w:t>
            </w:r>
          </w:p>
        </w:tc>
      </w:tr>
      <w:tr>
        <w:trPr>
          <w:cantSplit/>
        </w:trPr>
        <w:tc>
          <w:tcPr>
            <w:tcW w:type="dxa" w:w="2948"/>
            <w:shd w:val="clear" w:color="auto" w:fill="DCE9F5"/>
          </w:tcPr>
          <w:p>
            <w:pPr>
              <w:pStyle w:val="CellText"/>
            </w:pPr>
            <w:r>
              <w:rPr>
                <w:b/>
              </w:rPr>
              <w:t>Oncologie</w:t>
            </w:r>
          </w:p>
        </w:tc>
        <w:tc>
          <w:tcPr>
            <w:tcW w:type="dxa" w:w="2494"/>
          </w:tcPr>
          <w:p>
            <w:pPr>
              <w:pStyle w:val="CellText"/>
            </w:pPr>
            <w:r>
              <w:rPr>
                <w:b w:val="0"/>
              </w:rPr>
              <w:t>—</w:t>
            </w:r>
          </w:p>
        </w:tc>
        <w:tc>
          <w:tcPr>
            <w:tcW w:type="dxa" w:w="4195"/>
          </w:tcPr>
          <w:p>
            <w:pPr>
              <w:pStyle w:val="CellText"/>
            </w:pPr>
            <w:r>
              <w:rPr>
                <w:b w:val="0"/>
              </w:rPr>
              <w:t>Mahfoud Tarek</w:t>
            </w:r>
          </w:p>
        </w:tc>
      </w:tr>
    </w:tbl>
    <w:p>
      <w:pPr>
        <w:spacing w:after="40"/>
      </w:pPr>
    </w:p>
    <w:p>
      <w:pPr>
        <w:pStyle w:val="Heading3"/>
      </w:pPr>
      <w:r>
        <w:t>Services chirurgicaux</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2948"/>
        <w:gridCol w:w="2494"/>
        <w:gridCol w:w="4195"/>
      </w:tblGrid>
      <w:tr>
        <w:trPr>
          <w:tblHeader/>
        </w:trPr>
        <w:tc>
          <w:tcPr>
            <w:tcW w:type="dxa" w:w="2948"/>
            <w:shd w:val="clear" w:color="auto" w:fill="1F4E79"/>
          </w:tcPr>
          <w:p>
            <w:pPr>
              <w:pStyle w:val="CellText"/>
            </w:pPr>
            <w:r>
              <w:rPr>
                <w:b/>
                <w:color w:val="FFFFFF"/>
              </w:rPr>
              <w:t>Service</w:t>
            </w:r>
          </w:p>
        </w:tc>
        <w:tc>
          <w:tcPr>
            <w:tcW w:type="dxa" w:w="2494"/>
            <w:shd w:val="clear" w:color="auto" w:fill="1F4E79"/>
          </w:tcPr>
          <w:p>
            <w:pPr>
              <w:pStyle w:val="CellText"/>
            </w:pPr>
            <w:r>
              <w:rPr>
                <w:b/>
                <w:color w:val="FFFFFF"/>
              </w:rPr>
              <w:t>Chef de service / Responsable</w:t>
            </w:r>
          </w:p>
        </w:tc>
        <w:tc>
          <w:tcPr>
            <w:tcW w:type="dxa" w:w="4195"/>
            <w:shd w:val="clear" w:color="auto" w:fill="1F4E79"/>
          </w:tcPr>
          <w:p>
            <w:pPr>
              <w:pStyle w:val="CellText"/>
            </w:pPr>
            <w:r>
              <w:rPr>
                <w:b/>
                <w:color w:val="FFFFFF"/>
              </w:rPr>
              <w:t>Enseignants</w:t>
            </w:r>
          </w:p>
        </w:tc>
      </w:tr>
      <w:tr>
        <w:trPr>
          <w:cantSplit/>
        </w:trPr>
        <w:tc>
          <w:tcPr>
            <w:tcW w:type="dxa" w:w="2948"/>
            <w:shd w:val="clear" w:color="auto" w:fill="DCE9F5"/>
          </w:tcPr>
          <w:p>
            <w:pPr>
              <w:pStyle w:val="CellText"/>
            </w:pPr>
            <w:r>
              <w:rPr>
                <w:b/>
              </w:rPr>
              <w:t>Chirurgie viscérale et thoracique</w:t>
            </w:r>
          </w:p>
        </w:tc>
        <w:tc>
          <w:tcPr>
            <w:tcW w:type="dxa" w:w="2494"/>
          </w:tcPr>
          <w:p>
            <w:pPr>
              <w:pStyle w:val="CellText"/>
            </w:pPr>
            <w:r>
              <w:rPr>
                <w:b w:val="0"/>
              </w:rPr>
              <w:t>Achour Abdessamad</w:t>
            </w:r>
          </w:p>
        </w:tc>
        <w:tc>
          <w:tcPr>
            <w:tcW w:type="dxa" w:w="4195"/>
          </w:tcPr>
          <w:p>
            <w:pPr>
              <w:pStyle w:val="CellText"/>
            </w:pPr>
            <w:r>
              <w:rPr>
                <w:b w:val="0"/>
              </w:rPr>
              <w:t>Zidane Arsalan Barni Lahkim Bouchentouf Rachid Moulay Mohammed Adil Sidi Mohammed Abdelfettah Mejdane Abdelhadi El Khader Ahmed</w:t>
            </w:r>
          </w:p>
        </w:tc>
      </w:tr>
      <w:tr>
        <w:trPr>
          <w:cantSplit/>
        </w:trPr>
        <w:tc>
          <w:tcPr>
            <w:tcW w:type="dxa" w:w="2948"/>
            <w:shd w:val="clear" w:color="auto" w:fill="DCE9F5"/>
          </w:tcPr>
          <w:p>
            <w:pPr>
              <w:pStyle w:val="CellText"/>
            </w:pPr>
            <w:r>
              <w:rPr>
                <w:b/>
              </w:rPr>
              <w:t>Chirurgie traumato-orthopédie</w:t>
            </w:r>
          </w:p>
        </w:tc>
        <w:tc>
          <w:tcPr>
            <w:tcW w:type="dxa" w:w="2494"/>
            <w:shd w:val="clear" w:color="auto" w:fill="F7F9FB"/>
          </w:tcPr>
          <w:p>
            <w:pPr>
              <w:pStyle w:val="CellText"/>
            </w:pPr>
            <w:r>
              <w:rPr>
                <w:b w:val="0"/>
              </w:rPr>
              <w:t>Koulali Idrissi Khalid</w:t>
            </w:r>
          </w:p>
        </w:tc>
        <w:tc>
          <w:tcPr>
            <w:tcW w:type="dxa" w:w="4195"/>
            <w:shd w:val="clear" w:color="auto" w:fill="F7F9FB"/>
          </w:tcPr>
          <w:p>
            <w:pPr>
              <w:pStyle w:val="CellText"/>
            </w:pPr>
            <w:r>
              <w:rPr>
                <w:b w:val="0"/>
              </w:rPr>
              <w:t>Boukris Mergad Jalal Omar Nader Youssef</w:t>
            </w:r>
          </w:p>
        </w:tc>
      </w:tr>
      <w:tr>
        <w:trPr>
          <w:cantSplit/>
        </w:trPr>
        <w:tc>
          <w:tcPr>
            <w:tcW w:type="dxa" w:w="2948"/>
            <w:shd w:val="clear" w:color="auto" w:fill="DCE9F5"/>
          </w:tcPr>
          <w:p>
            <w:pPr>
              <w:pStyle w:val="CellText"/>
            </w:pPr>
            <w:r>
              <w:rPr>
                <w:b/>
              </w:rPr>
              <w:t>Urologie</w:t>
            </w:r>
          </w:p>
        </w:tc>
        <w:tc>
          <w:tcPr>
            <w:tcW w:type="dxa" w:w="2494"/>
          </w:tcPr>
          <w:p>
            <w:pPr>
              <w:pStyle w:val="CellText"/>
            </w:pPr>
            <w:r>
              <w:rPr>
                <w:b w:val="0"/>
              </w:rPr>
              <w:t>Touiti Driss</w:t>
            </w:r>
          </w:p>
        </w:tc>
        <w:tc>
          <w:tcPr>
            <w:tcW w:type="dxa" w:w="4195"/>
          </w:tcPr>
          <w:p>
            <w:pPr>
              <w:pStyle w:val="CellText"/>
            </w:pPr>
            <w:r>
              <w:rPr>
                <w:b w:val="0"/>
              </w:rPr>
              <w:t>Ghoundal Omar Moufid Kamal</w:t>
            </w:r>
          </w:p>
        </w:tc>
      </w:tr>
      <w:tr>
        <w:trPr>
          <w:cantSplit/>
        </w:trPr>
        <w:tc>
          <w:tcPr>
            <w:tcW w:type="dxa" w:w="2948"/>
            <w:shd w:val="clear" w:color="auto" w:fill="DCE9F5"/>
          </w:tcPr>
          <w:p>
            <w:pPr>
              <w:pStyle w:val="CellText"/>
            </w:pPr>
            <w:r>
              <w:rPr>
                <w:b/>
              </w:rPr>
              <w:t>Vasculaire</w:t>
            </w:r>
          </w:p>
        </w:tc>
        <w:tc>
          <w:tcPr>
            <w:tcW w:type="dxa" w:w="2494"/>
            <w:shd w:val="clear" w:color="auto" w:fill="F7F9FB"/>
          </w:tcPr>
          <w:p>
            <w:pPr>
              <w:pStyle w:val="CellText"/>
            </w:pPr>
            <w:r>
              <w:rPr>
                <w:b w:val="0"/>
              </w:rPr>
              <w:t>Alaoui Mustapha</w:t>
            </w:r>
          </w:p>
        </w:tc>
        <w:tc>
          <w:tcPr>
            <w:tcW w:type="dxa" w:w="4195"/>
            <w:shd w:val="clear" w:color="auto" w:fill="F7F9FB"/>
          </w:tcPr>
          <w:p>
            <w:pPr>
              <w:pStyle w:val="CellText"/>
            </w:pPr>
            <w:r>
              <w:rPr>
                <w:b w:val="0"/>
              </w:rPr>
              <w:t>—</w:t>
            </w:r>
          </w:p>
        </w:tc>
      </w:tr>
      <w:tr>
        <w:trPr>
          <w:cantSplit/>
        </w:trPr>
        <w:tc>
          <w:tcPr>
            <w:tcW w:type="dxa" w:w="2948"/>
            <w:shd w:val="clear" w:color="auto" w:fill="DCE9F5"/>
          </w:tcPr>
          <w:p>
            <w:pPr>
              <w:pStyle w:val="CellText"/>
            </w:pPr>
            <w:r>
              <w:rPr>
                <w:b/>
              </w:rPr>
              <w:t>Maxillo-faciale / chirurgie plastique et reconstructrice</w:t>
            </w:r>
          </w:p>
        </w:tc>
        <w:tc>
          <w:tcPr>
            <w:tcW w:type="dxa" w:w="2494"/>
          </w:tcPr>
          <w:p>
            <w:pPr>
              <w:pStyle w:val="CellText"/>
            </w:pPr>
            <w:r>
              <w:rPr>
                <w:b w:val="0"/>
              </w:rPr>
              <w:t>Abouchadi Abdeljalil</w:t>
            </w:r>
          </w:p>
        </w:tc>
        <w:tc>
          <w:tcPr>
            <w:tcW w:type="dxa" w:w="4195"/>
          </w:tcPr>
          <w:p>
            <w:pPr>
              <w:pStyle w:val="CellText"/>
            </w:pPr>
            <w:r>
              <w:rPr>
                <w:b w:val="0"/>
              </w:rPr>
              <w:t>Lakouichmi Mohamed Tourabi Khalid Abir Badreddine</w:t>
            </w:r>
          </w:p>
        </w:tc>
      </w:tr>
      <w:tr>
        <w:trPr>
          <w:cantSplit/>
        </w:trPr>
        <w:tc>
          <w:tcPr>
            <w:tcW w:type="dxa" w:w="2948"/>
            <w:shd w:val="clear" w:color="auto" w:fill="DCE9F5"/>
          </w:tcPr>
          <w:p>
            <w:pPr>
              <w:pStyle w:val="CellText"/>
            </w:pPr>
            <w:r>
              <w:rPr>
                <w:b/>
              </w:rPr>
              <w:t>ORL</w:t>
            </w:r>
          </w:p>
        </w:tc>
        <w:tc>
          <w:tcPr>
            <w:tcW w:type="dxa" w:w="2494"/>
            <w:shd w:val="clear" w:color="auto" w:fill="F7F9FB"/>
          </w:tcPr>
          <w:p>
            <w:pPr>
              <w:pStyle w:val="CellText"/>
            </w:pPr>
            <w:r>
              <w:rPr>
                <w:b w:val="0"/>
              </w:rPr>
              <w:t>Bouity Brahim</w:t>
            </w:r>
          </w:p>
        </w:tc>
        <w:tc>
          <w:tcPr>
            <w:tcW w:type="dxa" w:w="4195"/>
            <w:shd w:val="clear" w:color="auto" w:fill="F7F9FB"/>
          </w:tcPr>
          <w:p>
            <w:pPr>
              <w:pStyle w:val="CellText"/>
            </w:pPr>
            <w:r>
              <w:rPr>
                <w:b w:val="0"/>
              </w:rPr>
              <w:t>Darouassi Youssef Mliha Touati Mohamed</w:t>
            </w:r>
          </w:p>
        </w:tc>
      </w:tr>
      <w:tr>
        <w:trPr>
          <w:cantSplit/>
        </w:trPr>
        <w:tc>
          <w:tcPr>
            <w:tcW w:type="dxa" w:w="2948"/>
            <w:shd w:val="clear" w:color="auto" w:fill="DCE9F5"/>
          </w:tcPr>
          <w:p>
            <w:pPr>
              <w:pStyle w:val="CellText"/>
            </w:pPr>
            <w:r>
              <w:rPr>
                <w:b/>
              </w:rPr>
              <w:t>Ophtalmologie</w:t>
            </w:r>
          </w:p>
        </w:tc>
        <w:tc>
          <w:tcPr>
            <w:tcW w:type="dxa" w:w="2494"/>
          </w:tcPr>
          <w:p>
            <w:pPr>
              <w:pStyle w:val="CellText"/>
            </w:pPr>
            <w:r>
              <w:rPr>
                <w:b w:val="0"/>
              </w:rPr>
              <w:t>Kriet Mohammed</w:t>
            </w:r>
          </w:p>
        </w:tc>
        <w:tc>
          <w:tcPr>
            <w:tcW w:type="dxa" w:w="4195"/>
          </w:tcPr>
          <w:p>
            <w:pPr>
              <w:pStyle w:val="CellText"/>
            </w:pPr>
            <w:r>
              <w:rPr>
                <w:b w:val="0"/>
              </w:rPr>
              <w:t>Mouzari Yassine</w:t>
            </w:r>
          </w:p>
        </w:tc>
      </w:tr>
      <w:tr>
        <w:trPr>
          <w:cantSplit/>
        </w:trPr>
        <w:tc>
          <w:tcPr>
            <w:tcW w:type="dxa" w:w="2948"/>
            <w:shd w:val="clear" w:color="auto" w:fill="DCE9F5"/>
          </w:tcPr>
          <w:p>
            <w:pPr>
              <w:pStyle w:val="CellText"/>
            </w:pPr>
            <w:r>
              <w:rPr>
                <w:b/>
              </w:rPr>
              <w:t>Neurochirurgie</w:t>
            </w:r>
          </w:p>
        </w:tc>
        <w:tc>
          <w:tcPr>
            <w:tcW w:type="dxa" w:w="2494"/>
            <w:shd w:val="clear" w:color="auto" w:fill="F7F9FB"/>
          </w:tcPr>
          <w:p>
            <w:pPr>
              <w:pStyle w:val="CellText"/>
            </w:pPr>
            <w:r>
              <w:rPr>
                <w:b w:val="0"/>
              </w:rPr>
              <w:t>Akhddar Ali</w:t>
            </w:r>
          </w:p>
        </w:tc>
        <w:tc>
          <w:tcPr>
            <w:tcW w:type="dxa" w:w="4195"/>
            <w:shd w:val="clear" w:color="auto" w:fill="F7F9FB"/>
          </w:tcPr>
          <w:p>
            <w:pPr>
              <w:pStyle w:val="CellText"/>
            </w:pPr>
            <w:r>
              <w:rPr>
                <w:b w:val="0"/>
              </w:rPr>
              <w:t>—</w:t>
            </w:r>
          </w:p>
        </w:tc>
      </w:tr>
    </w:tbl>
    <w:p>
      <w:pPr>
        <w:spacing w:after="40"/>
      </w:pPr>
    </w:p>
    <w:p>
      <w:pPr>
        <w:pStyle w:val="Heading3"/>
      </w:pPr>
      <w:r>
        <w:t>Laboratoires (chef de pôle : Pr Chakour Mohamed)</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2948"/>
        <w:gridCol w:w="2494"/>
        <w:gridCol w:w="4195"/>
      </w:tblGrid>
      <w:tr>
        <w:trPr>
          <w:tblHeader/>
        </w:trPr>
        <w:tc>
          <w:tcPr>
            <w:tcW w:type="dxa" w:w="2948"/>
            <w:shd w:val="clear" w:color="auto" w:fill="1F4E79"/>
          </w:tcPr>
          <w:p>
            <w:pPr>
              <w:pStyle w:val="CellText"/>
            </w:pPr>
            <w:r>
              <w:rPr>
                <w:b/>
                <w:color w:val="FFFFFF"/>
              </w:rPr>
              <w:t>Laboratoire</w:t>
            </w:r>
          </w:p>
        </w:tc>
        <w:tc>
          <w:tcPr>
            <w:tcW w:type="dxa" w:w="2494"/>
            <w:shd w:val="clear" w:color="auto" w:fill="1F4E79"/>
          </w:tcPr>
          <w:p>
            <w:pPr>
              <w:pStyle w:val="CellText"/>
            </w:pPr>
            <w:r>
              <w:rPr>
                <w:b/>
                <w:color w:val="FFFFFF"/>
              </w:rPr>
              <w:t>Chef de service / Responsable</w:t>
            </w:r>
          </w:p>
        </w:tc>
        <w:tc>
          <w:tcPr>
            <w:tcW w:type="dxa" w:w="4195"/>
            <w:shd w:val="clear" w:color="auto" w:fill="1F4E79"/>
          </w:tcPr>
          <w:p>
            <w:pPr>
              <w:pStyle w:val="CellText"/>
            </w:pPr>
            <w:r>
              <w:rPr>
                <w:b/>
                <w:color w:val="FFFFFF"/>
              </w:rPr>
              <w:t>Enseignants</w:t>
            </w:r>
          </w:p>
        </w:tc>
      </w:tr>
      <w:tr>
        <w:trPr>
          <w:cantSplit/>
        </w:trPr>
        <w:tc>
          <w:tcPr>
            <w:tcW w:type="dxa" w:w="2948"/>
            <w:shd w:val="clear" w:color="auto" w:fill="DCE9F5"/>
          </w:tcPr>
          <w:p>
            <w:pPr>
              <w:pStyle w:val="CellText"/>
            </w:pPr>
            <w:r>
              <w:rPr>
                <w:b/>
              </w:rPr>
              <w:t>Biochimie</w:t>
            </w:r>
          </w:p>
        </w:tc>
        <w:tc>
          <w:tcPr>
            <w:tcW w:type="dxa" w:w="2494"/>
          </w:tcPr>
          <w:p>
            <w:pPr>
              <w:pStyle w:val="CellText"/>
            </w:pPr>
            <w:r>
              <w:rPr>
                <w:b w:val="0"/>
              </w:rPr>
              <w:t>Chellak Saliha</w:t>
            </w:r>
          </w:p>
        </w:tc>
        <w:tc>
          <w:tcPr>
            <w:tcW w:type="dxa" w:w="4195"/>
          </w:tcPr>
          <w:p>
            <w:pPr>
              <w:pStyle w:val="CellText"/>
            </w:pPr>
            <w:r>
              <w:rPr>
                <w:b w:val="0"/>
              </w:rPr>
              <w:t>Boukhira Abderrahmane</w:t>
            </w:r>
          </w:p>
        </w:tc>
      </w:tr>
      <w:tr>
        <w:trPr>
          <w:cantSplit/>
        </w:trPr>
        <w:tc>
          <w:tcPr>
            <w:tcW w:type="dxa" w:w="2948"/>
            <w:shd w:val="clear" w:color="auto" w:fill="DCE9F5"/>
          </w:tcPr>
          <w:p>
            <w:pPr>
              <w:pStyle w:val="CellText"/>
            </w:pPr>
            <w:r>
              <w:rPr>
                <w:b/>
              </w:rPr>
              <w:t>Hématologie — hémostase</w:t>
            </w:r>
          </w:p>
        </w:tc>
        <w:tc>
          <w:tcPr>
            <w:tcW w:type="dxa" w:w="2494"/>
            <w:shd w:val="clear" w:color="auto" w:fill="F7F9FB"/>
          </w:tcPr>
          <w:p>
            <w:pPr>
              <w:pStyle w:val="CellText"/>
            </w:pPr>
            <w:r>
              <w:rPr>
                <w:b w:val="0"/>
              </w:rPr>
              <w:t>Ait Ameur Mustafa</w:t>
            </w:r>
          </w:p>
        </w:tc>
        <w:tc>
          <w:tcPr>
            <w:tcW w:type="dxa" w:w="4195"/>
            <w:shd w:val="clear" w:color="auto" w:fill="F7F9FB"/>
          </w:tcPr>
          <w:p>
            <w:pPr>
              <w:pStyle w:val="CellText"/>
            </w:pPr>
            <w:r>
              <w:rPr>
                <w:b w:val="0"/>
              </w:rPr>
              <w:t>El Mezouari Mustapha</w:t>
            </w:r>
          </w:p>
        </w:tc>
      </w:tr>
      <w:tr>
        <w:trPr>
          <w:cantSplit/>
        </w:trPr>
        <w:tc>
          <w:tcPr>
            <w:tcW w:type="dxa" w:w="2948"/>
            <w:shd w:val="clear" w:color="auto" w:fill="DCE9F5"/>
          </w:tcPr>
          <w:p>
            <w:pPr>
              <w:pStyle w:val="CellText"/>
            </w:pPr>
            <w:r>
              <w:rPr>
                <w:b/>
              </w:rPr>
              <w:t>Microbiologie — virologie</w:t>
            </w:r>
          </w:p>
        </w:tc>
        <w:tc>
          <w:tcPr>
            <w:tcW w:type="dxa" w:w="2494"/>
          </w:tcPr>
          <w:p>
            <w:pPr>
              <w:pStyle w:val="CellText"/>
            </w:pPr>
            <w:r>
              <w:rPr>
                <w:b w:val="0"/>
              </w:rPr>
              <w:t>Zouhair Said</w:t>
            </w:r>
          </w:p>
        </w:tc>
        <w:tc>
          <w:tcPr>
            <w:tcW w:type="dxa" w:w="4195"/>
          </w:tcPr>
          <w:p>
            <w:pPr>
              <w:pStyle w:val="CellText"/>
            </w:pPr>
            <w:r>
              <w:rPr>
                <w:b w:val="0"/>
              </w:rPr>
              <w:t>Arsalane Lamiae Kamouni Youssef</w:t>
            </w:r>
          </w:p>
        </w:tc>
      </w:tr>
      <w:tr>
        <w:trPr>
          <w:cantSplit/>
        </w:trPr>
        <w:tc>
          <w:tcPr>
            <w:tcW w:type="dxa" w:w="2948"/>
            <w:shd w:val="clear" w:color="auto" w:fill="DCE9F5"/>
          </w:tcPr>
          <w:p>
            <w:pPr>
              <w:pStyle w:val="CellText"/>
            </w:pPr>
            <w:r>
              <w:rPr>
                <w:b/>
              </w:rPr>
              <w:t>Parasitologie</w:t>
            </w:r>
          </w:p>
        </w:tc>
        <w:tc>
          <w:tcPr>
            <w:tcW w:type="dxa" w:w="2494"/>
            <w:shd w:val="clear" w:color="auto" w:fill="F7F9FB"/>
          </w:tcPr>
          <w:p>
            <w:pPr>
              <w:pStyle w:val="CellText"/>
            </w:pPr>
            <w:r>
              <w:rPr>
                <w:b w:val="0"/>
              </w:rPr>
              <w:t>Moutaj Redouane</w:t>
            </w:r>
          </w:p>
        </w:tc>
        <w:tc>
          <w:tcPr>
            <w:tcW w:type="dxa" w:w="4195"/>
            <w:shd w:val="clear" w:color="auto" w:fill="F7F9FB"/>
          </w:tcPr>
          <w:p>
            <w:pPr>
              <w:pStyle w:val="CellText"/>
            </w:pPr>
            <w:r>
              <w:rPr>
                <w:b w:val="0"/>
              </w:rPr>
              <w:t>Naoui Hafida</w:t>
            </w:r>
          </w:p>
        </w:tc>
      </w:tr>
    </w:tbl>
    <w:p>
      <w:pPr>
        <w:spacing w:after="40"/>
      </w:pPr>
    </w:p>
    <w:p>
      <w:pPr>
        <w:pStyle w:val="Heading1"/>
      </w:pPr>
      <w:r>
        <w:t>III — Fonctions hospitalières de l’étudiant</w:t>
      </w:r>
    </w:p>
    <w:p>
      <w:r>
        <w:rPr>
          <w:b w:val="0"/>
          <w:i w:val="0"/>
        </w:rPr>
        <w:t>Les idées directrices sont au nombre de deux :</w:t>
      </w:r>
    </w:p>
    <w:p>
      <w:pPr>
        <w:pStyle w:val="ListBullet"/>
      </w:pPr>
      <w:r>
        <w:t>Le stagiaire est en formation</w:t>
      </w:r>
    </w:p>
    <w:p>
      <w:pPr>
        <w:pStyle w:val="ListBullet"/>
      </w:pPr>
      <w:r>
        <w:t>Le stagiaire est intégré à l’équipe médicale du service</w:t>
      </w:r>
    </w:p>
    <w:p>
      <w:r>
        <w:rPr>
          <w:b w:val="0"/>
          <w:i w:val="0"/>
        </w:rPr>
        <w:t>Pendant ce stage, le stagiaire hospitalier fait partie de l’équipe médicale. Il a donc des responsabilités dont certaines lui sont spécifiques et d’autres communes.</w:t>
      </w:r>
    </w:p>
    <w:p>
      <w:pPr>
        <w:pStyle w:val="Subhead"/>
      </w:pPr>
      <w:r>
        <w:t>Responsabilités spécifiques</w:t>
      </w:r>
    </w:p>
    <w:p>
      <w:pPr>
        <w:pStyle w:val="ListBullet"/>
      </w:pPr>
      <w:r>
        <w:t>Le stagiaire est chargé de la tenue du dossier des patients qui lui sont attribués. II rédige l’observation, collige les éléments de suivi clinique et le résultat des investigations complémentaires.</w:t>
      </w:r>
    </w:p>
    <w:p>
      <w:pPr>
        <w:pStyle w:val="ListBullet"/>
      </w:pPr>
      <w:r>
        <w:t>Le stagiaire est soumis hiérarchiquement aux autres membres de l’équipe médicale.</w:t>
      </w:r>
    </w:p>
    <w:p>
      <w:pPr>
        <w:pStyle w:val="ListBullet"/>
      </w:pPr>
      <w:r>
        <w:t>Le stagiaire doit informer rapidement les membres de l’équipe médicale s’il constate un élément clinique ou biologique pouvant avoir des conséquences graves pour un patient.</w:t>
      </w:r>
    </w:p>
    <w:p>
      <w:pPr>
        <w:pStyle w:val="Subhead"/>
      </w:pPr>
      <w:r>
        <w:t>Responsabilités non spécifiques</w:t>
      </w:r>
    </w:p>
    <w:p>
      <w:pPr>
        <w:pStyle w:val="Heading4"/>
      </w:pPr>
      <w:r>
        <w:t>Vis-à-vis des patients qui lui sont attribués</w:t>
      </w:r>
    </w:p>
    <w:p>
      <w:pPr>
        <w:pStyle w:val="ListBullet"/>
      </w:pPr>
      <w:r>
        <w:t>Il se présente aux parents en expliquant sa place et son rôle dans l’équipe médicale.</w:t>
      </w:r>
    </w:p>
    <w:p>
      <w:pPr>
        <w:pStyle w:val="ListBullet"/>
      </w:pPr>
      <w:r>
        <w:t>Il est astreint au secret professionnel : il est tenu, comme tout le personnel, au secret médical et à la discrétion professionnelle, et il engage sa responsabilité pénale en cas de non-respect de ces principes.</w:t>
      </w:r>
    </w:p>
    <w:p>
      <w:pPr>
        <w:pStyle w:val="ListBullet"/>
      </w:pPr>
      <w:r>
        <w:t>Il respecte les procédures de l’information au patient et à ses parents telles qu’elles lui sont expliquées au début du stage</w:t>
      </w:r>
    </w:p>
    <w:p>
      <w:pPr>
        <w:pStyle w:val="ListBullet"/>
      </w:pPr>
      <w:r>
        <w:t>Il tient compte du risque nosocomial dans ses pratiques en respectant les principes du lavage des mains et des autres précautions universelles</w:t>
      </w:r>
    </w:p>
    <w:p>
      <w:pPr>
        <w:pStyle w:val="ListBullet"/>
      </w:pPr>
      <w:r>
        <w:t>Il apprend le respect du patient (son intimité, ses spécificités)</w:t>
      </w:r>
    </w:p>
    <w:p>
      <w:pPr>
        <w:pStyle w:val="Heading4"/>
      </w:pPr>
      <w:r>
        <w:t>Vis-à-vis de l’équipe médicale et paramédicale</w:t>
      </w:r>
    </w:p>
    <w:p>
      <w:pPr>
        <w:pStyle w:val="ListBullet"/>
      </w:pPr>
      <w:r>
        <w:t>Il tient compte du rôle propre de chacun tout en participant si besoin aux tâches collectives dans un souci d’optimisation du fonctionnement propre du service respecte le travail des autres (infirmière, kinésithérapeute, aide-soignante, secrétaire) et en évite la désorganisation</w:t>
      </w:r>
    </w:p>
    <w:p>
      <w:pPr>
        <w:pStyle w:val="ListBullet"/>
      </w:pPr>
      <w:r>
        <w:t>Il respecte le travail des autres (infirmière, kinésithérapeute, aide-soignante, secrétaire) et en évite la désorganisation.</w:t>
      </w:r>
    </w:p>
    <w:p>
      <w:pPr>
        <w:pStyle w:val="Heading4"/>
      </w:pPr>
      <w:r>
        <w:t>Vis-à-vis de lui-même</w:t>
      </w:r>
    </w:p>
    <w:p>
      <w:r>
        <w:rPr>
          <w:b w:val="0"/>
          <w:i w:val="0"/>
        </w:rPr>
        <w:t>Il est attentif aux risques professionnels auxquels il est susceptible d’être exposé (exposition au sang, aux radiations ionisantes, et aux autres risques infectieux). Les règles d’hygiène en vigueur ont pour objectif de protéger les patients de toute contamination nosocomiale, mais aussi le personnel des risques infectieux inhérents à la profession :</w:t>
      </w:r>
    </w:p>
    <w:p>
      <w:pPr>
        <w:pStyle w:val="ListBullet2"/>
      </w:pPr>
      <w:r>
        <w:t>Lavage des mains, respect des mesures d’isolement, Port de gants et/ou lunettes et/ou masque lors d’examens complémentaires avec risques de contact biologique (prise de sang, intubation….)</w:t>
      </w:r>
    </w:p>
    <w:p>
      <w:pPr>
        <w:pStyle w:val="ListBullet2"/>
      </w:pPr>
      <w:r>
        <w:t>Élimination du matériel dans un conteneur immédiatement à la fin du soin</w:t>
      </w:r>
    </w:p>
    <w:p>
      <w:pPr>
        <w:pStyle w:val="Heading2"/>
      </w:pPr>
      <w:r>
        <w:t>A. Les obligations de l’étudiant</w:t>
      </w:r>
    </w:p>
    <w:p>
      <w:r>
        <w:rPr>
          <w:b w:val="0"/>
          <w:i w:val="0"/>
        </w:rPr>
        <w:t>L’étudiant doit avoir deux préoccupations :</w:t>
      </w:r>
    </w:p>
    <w:p>
      <w:pPr>
        <w:pStyle w:val="ListBullet"/>
      </w:pPr>
      <w:r>
        <w:t>Valider les objectifs du stage hospitalier contenus dans le carnet de stage.</w:t>
      </w:r>
    </w:p>
    <w:p>
      <w:pPr>
        <w:pStyle w:val="ListBullet"/>
      </w:pPr>
      <w:r>
        <w:t>Participer à la vie du service, sous la direction du chef de service et du personnel médical et enseignant.</w:t>
      </w:r>
    </w:p>
    <w:p>
      <w:r>
        <w:rPr>
          <w:b w:val="0"/>
          <w:i w:val="0"/>
        </w:rPr>
        <w:t>Cette activité consiste en :</w:t>
      </w:r>
    </w:p>
    <w:p>
      <w:pPr>
        <w:pStyle w:val="ListBullet"/>
      </w:pPr>
      <w:r>
        <w:t>La rédaction de l’observation médicale qui doit comporter :</w:t>
      </w:r>
    </w:p>
    <w:p>
      <w:pPr>
        <w:pStyle w:val="ListBullet2"/>
      </w:pPr>
      <w:r>
        <w:t>Le recueil des données fournies par l’interrogatoire et l’examen clinique complet du malade, la conclusion clinique et la nature des explorations éventuellement nécessaires, la mise à jour des données cliniques, para cliniques et thérapeutiques.</w:t>
      </w:r>
    </w:p>
    <w:p>
      <w:pPr>
        <w:pStyle w:val="ListBullet"/>
      </w:pPr>
      <w:r>
        <w:t>La participation aux visites et contre-visites et la présentation des observations ;</w:t>
      </w:r>
    </w:p>
    <w:p>
      <w:pPr>
        <w:pStyle w:val="ListBullet"/>
      </w:pPr>
      <w:r>
        <w:t>La participation aux activités de diagnostic et aux examens complémentaires : prélèvements biologiques, participation à des explorations fonctionnelles, endoscopies, actes médicaux de pratique courante, sous la surveillance des enseignants, la présence et éventuellement aider aux soins et aux interventions chirurgicales ; chirurgicales ;</w:t>
      </w:r>
    </w:p>
    <w:p>
      <w:pPr>
        <w:pStyle w:val="ListBullet"/>
      </w:pPr>
      <w:r>
        <w:t>La surveillance des malades, conjointement avec le personnel médical et paramédical</w:t>
      </w:r>
    </w:p>
    <w:p>
      <w:pPr>
        <w:pStyle w:val="ListBullet"/>
      </w:pPr>
      <w:r>
        <w:t>L’externe doit manifester son intérêt dans ce domaine en s’occupant des patients qui lui sont confiés, en les interrogeant, en tenant à jours leurs dossiers médicaux et en prenant connaissance aussi des examens complémentaires.</w:t>
      </w:r>
    </w:p>
    <w:p>
      <w:pPr>
        <w:pStyle w:val="Heading2"/>
      </w:pPr>
      <w:r>
        <w:t>B. Les horaires du stage hospitalier</w:t>
      </w:r>
    </w:p>
    <w:p>
      <w:r>
        <w:rPr>
          <w:b w:val="0"/>
          <w:i w:val="0"/>
        </w:rPr>
        <w:t>Les externes sont soumis au règlement interne des hôpitaux où ils sont affectés. Leur présence dans les services est obligatoire tous les jours.</w:t>
      </w:r>
    </w:p>
    <w:p>
      <w:r>
        <w:rPr>
          <w:b w:val="0"/>
          <w:i w:val="0"/>
        </w:rPr>
        <w:t>Le stage des externes débute de 8 h 30 mn à 12 H, et pour les externes plein temps, matin et après-midi.</w:t>
      </w:r>
    </w:p>
    <w:p>
      <w:pPr>
        <w:pStyle w:val="Heading2"/>
      </w:pPr>
      <w:r>
        <w:t>C. Les gardes</w:t>
      </w:r>
    </w:p>
    <w:p>
      <w:r>
        <w:rPr>
          <w:b w:val="0"/>
          <w:i w:val="0"/>
        </w:rPr>
        <w:t>Les externes sont assujettis aux gardes dans les services où ils sont affectés. Ces gardes sont fixées par le chef de service. Les stagiaires doivent participer aux gardes sous la responsabilité du médecin de garde pour une initiation progressive à la conduite du diagnostic et des premiers éléments d’orientation.</w:t>
      </w:r>
    </w:p>
    <w:p>
      <w:r>
        <w:rPr>
          <w:b w:val="0"/>
          <w:i w:val="0"/>
        </w:rPr>
        <w:t>Les malades qui ont posé des problèmes au cours de la garde ainsi que les entrants doivent être présentés au staff le lendemain en presence d’un sénior. La récupération après une garde n’est pas systématique. Elle est décidée en fonction des besoins du service et après avis du chef de service.</w:t>
      </w:r>
    </w:p>
    <w:p>
      <w:r>
        <w:rPr>
          <w:b w:val="0"/>
          <w:i w:val="0"/>
        </w:rPr>
        <w:t>L’étudiant est responsable de sa garde. S’il est dans l’impossibilité de l’effectuer, il devra trouver un remplaçant par ses propres moyens et informer le responsable du service d’affectation.</w:t>
      </w:r>
    </w:p>
    <w:p>
      <w:pPr>
        <w:pStyle w:val="Heading2"/>
      </w:pPr>
      <w:r>
        <w:t>D. Le congé</w:t>
      </w:r>
    </w:p>
    <w:p>
      <w:r>
        <w:rPr>
          <w:b w:val="0"/>
          <w:i w:val="0"/>
        </w:rPr>
        <w:t>Les externes ont droit à un mois de congé par an (le mois d’août). Avant les examens, la faculté établie le congé pour la préparation.</w:t>
      </w:r>
    </w:p>
    <w:p>
      <w:pPr>
        <w:pStyle w:val="Heading2"/>
      </w:pPr>
      <w:r>
        <w:t>E. Les rémunérations</w:t>
      </w:r>
    </w:p>
    <w:p>
      <w:r>
        <w:rPr>
          <w:b w:val="0"/>
          <w:i w:val="0"/>
        </w:rPr>
        <w:t>Une indemnité de stage est octroyée par le Ministère de la santé au cours de l’externat et du stage interné.</w:t>
      </w:r>
    </w:p>
    <w:p>
      <w:pPr>
        <w:pStyle w:val="Heading2"/>
      </w:pPr>
      <w:r>
        <w:t>F. Les sanctions</w:t>
      </w:r>
    </w:p>
    <w:p>
      <w:r>
        <w:rPr>
          <w:b w:val="0"/>
          <w:i w:val="0"/>
        </w:rPr>
        <w:t>Toute faute grave, falsification du carnet de stage ou atteinte au prestige et au bon renom de la faculté exposent à une sanction pouvant aller jusqu’à l’exclusion.</w:t>
      </w:r>
    </w:p>
    <w:p>
      <w:r>
        <w:rPr>
          <w:b w:val="0"/>
          <w:i w:val="0"/>
        </w:rPr>
        <w:t>A cet égard, l’étudiant lors de l’accomplissement de son stage est soumis au respect du règlement intérieur de l’hôpital ; il se trouve placé à ce titre sous l’autorité :</w:t>
      </w:r>
    </w:p>
    <w:p>
      <w:pPr>
        <w:pStyle w:val="ListBullet"/>
      </w:pPr>
      <w:r>
        <w:t>D’une part de la faculté en la personne du chef de service et des enseignants.</w:t>
      </w:r>
    </w:p>
    <w:p>
      <w:pPr>
        <w:pStyle w:val="ListBullet"/>
      </w:pPr>
      <w:r>
        <w:t>D’autre part de l’administration du centre hospitalier où il effectue le stage.</w:t>
      </w:r>
    </w:p>
    <w:p>
      <w:pPr>
        <w:pStyle w:val="Heading1"/>
      </w:pPr>
      <w:r>
        <w:t>IV — Déroulement des stages hospitaliers</w:t>
      </w:r>
    </w:p>
    <w:p>
      <w:r>
        <w:rPr>
          <w:b w:val="0"/>
          <w:i w:val="0"/>
        </w:rPr>
        <w:t>Les objectifs de stage permettent au stagiaire d’avoir une idée précise des connaissances à intégrer au cours de sa formation. Ces objectifs représentent également un contrat entre deux parties : le service d’accueil et l’étudiant hospitalier qui s’engagent l’un à dispenser, l’autre à acquérir cette base d’enseignement. En plus de la participation à la vie active du service, l’étudiant doit acquérir les objectifs nécessaires à la pratique médicale courante.</w:t>
      </w:r>
    </w:p>
    <w:p>
      <w:pPr>
        <w:pStyle w:val="ListBullet"/>
      </w:pPr>
      <w:r>
        <w:rPr>
          <w:b/>
        </w:rPr>
        <w:t xml:space="preserve">Les séances d’apprentissage des objectifs : </w:t>
      </w:r>
      <w:r>
        <w:t>L’apprentissage de ces objectifs se fait lors des séances d’apprentissage, organisées par chaque service, en fonction du nombre des objectifs. Le programme des séances, de même que le plan de formation en stage, est affiché au début des stages pour permettre aux externes de préparer les prérequis théoriques nécessaires à cet apprentissage.</w:t>
      </w:r>
    </w:p>
    <w:p>
      <w:pPr>
        <w:pStyle w:val="ListBullet"/>
      </w:pPr>
      <w:r>
        <w:rPr>
          <w:b/>
        </w:rPr>
        <w:t xml:space="preserve">L’apprentissage des gestes : </w:t>
      </w:r>
      <w:r>
        <w:t>L’apprentissage des techniques d’examen et des gestes fait appel à :</w:t>
      </w:r>
    </w:p>
    <w:p>
      <w:pPr>
        <w:pStyle w:val="ListBullet2"/>
      </w:pPr>
      <w:r>
        <w:t>La démonstration du geste suivie de sa pratique, ou sa simulation.</w:t>
      </w:r>
    </w:p>
    <w:p>
      <w:pPr>
        <w:pStyle w:val="ListBullet2"/>
      </w:pPr>
      <w:r>
        <w:t>L’illustration par des diapositives, enregistrements ou films.</w:t>
      </w:r>
    </w:p>
    <w:p>
      <w:pPr>
        <w:pStyle w:val="ListBullet2"/>
      </w:pPr>
      <w:r>
        <w:t>Des exercices de répétition.</w:t>
      </w:r>
    </w:p>
    <w:p>
      <w:pPr>
        <w:pStyle w:val="ListBullet"/>
      </w:pPr>
      <w:r>
        <w:rPr>
          <w:b/>
        </w:rPr>
        <w:t xml:space="preserve">L’apprentissage des démarches diagnostiques : </w:t>
      </w:r>
      <w:r>
        <w:t>Cet apprentissage se fait sous forme d’étude de cas soit libre, soit par petits groupes, à raison d’une démarche en moyenne par séance. La préparation du prérequis est indispensable pour ces séances.</w:t>
      </w:r>
    </w:p>
    <w:p>
      <w:pPr>
        <w:pStyle w:val="ListBullet"/>
      </w:pPr>
      <w:r>
        <w:rPr>
          <w:b/>
        </w:rPr>
        <w:t xml:space="preserve">L’apprentissage par raisonnement clinique : </w:t>
      </w:r>
      <w:r>
        <w:t>Les séances d’ARC se déroulent en petits groupes d’externes donc d’étudiants de niveau de formation homogène et sous la supervision d’un professeur clinicien du domaine disciplinaire</w:t>
      </w:r>
    </w:p>
    <w:p>
      <w:pPr>
        <w:pStyle w:val="ListBullet"/>
      </w:pPr>
      <w:r>
        <w:rPr>
          <w:b/>
        </w:rPr>
        <w:t xml:space="preserve">L’apprentissage des attitudes : </w:t>
      </w:r>
      <w:r>
        <w:t>Cet apprentissage se fait lors des consultations, ou sous forme de jeux de rôles suivis de discussions portant sur l’attitude du médecin, le contenu du message, la manière de le transmettre et de le recevoir.</w:t>
      </w:r>
    </w:p>
    <w:p>
      <w:pPr>
        <w:pStyle w:val="Heading1"/>
      </w:pPr>
      <w:r>
        <w:t>V — Nature des stages hospitaliers</w:t>
      </w:r>
    </w:p>
    <w:p>
      <w:r>
        <w:rPr>
          <w:b w:val="0"/>
          <w:i w:val="0"/>
        </w:rPr>
        <w:t>Durant les deux premières années d’étude médicale, l’étudiant doit valider un module sous forme de stage d’immersion dans les structures de soin d’une durée de 3 semaines, après réussite des examens de fin d’année et un stage de médecine sociale en 2ème année d’une durée de 3 semaines également.</w:t>
      </w:r>
    </w:p>
    <w:p>
      <w:r>
        <w:rPr>
          <w:b w:val="0"/>
          <w:i w:val="0"/>
        </w:rPr>
        <w:t>La formation pratique comporte quatre variétés de stages :</w:t>
      </w:r>
    </w:p>
    <w:p>
      <w:pPr>
        <w:pStyle w:val="ListBullet"/>
      </w:pPr>
      <w:r>
        <w:t>Le stage de sémiologie — soins infirmiers.</w:t>
      </w:r>
    </w:p>
    <w:p>
      <w:pPr>
        <w:pStyle w:val="ListBullet"/>
      </w:pPr>
      <w:r>
        <w:t>Le stage d’externat :</w:t>
      </w:r>
    </w:p>
    <w:p>
      <w:pPr>
        <w:pStyle w:val="ListBullet2"/>
      </w:pPr>
      <w:r>
        <w:t>Stages fondamentaux de passage obligatoires : stage fondamental de médecine, stage fondamental de chirurgie, stage fondamental de pédiatrie et stage fondamental de gynéco-obstétrique</w:t>
      </w:r>
    </w:p>
    <w:p>
      <w:pPr>
        <w:pStyle w:val="ListBullet2"/>
      </w:pPr>
      <w:r>
        <w:t>Stages de spécialités.</w:t>
      </w:r>
    </w:p>
    <w:p>
      <w:pPr>
        <w:pStyle w:val="ListBullet"/>
      </w:pPr>
      <w:r>
        <w:t>Le stage d’externat plein temps.</w:t>
      </w:r>
    </w:p>
    <w:p>
      <w:pPr>
        <w:pStyle w:val="ListBullet"/>
      </w:pPr>
      <w:r>
        <w:t>Le stage interné.</w:t>
      </w:r>
    </w:p>
    <w:p>
      <w:pPr>
        <w:pStyle w:val="Heading2"/>
      </w:pPr>
      <w:r>
        <w:t>A. Le stage de sémiologie — soins infirmiers</w:t>
      </w:r>
    </w:p>
    <w:p>
      <w:r>
        <w:rPr>
          <w:b w:val="0"/>
          <w:i w:val="0"/>
        </w:rPr>
        <w:t>Ce stage se déroule les matinées, durant le 5ème semestre des études médicales. Il commence début septembre et se termine en octobre. Les étudiants sont répartis par groupes, encadrés par un responsable de stage. Ce stage se déroule dans les services hospitaliers. Les objectifs du stage sont mis à la disposition des étudiants au début du stage. Des séances d’apprentissage des objectifs sont organisées par tous les services. La présence durant ce stage est obligatoire.</w:t>
      </w:r>
    </w:p>
    <w:p>
      <w:pPr>
        <w:pStyle w:val="Heading2"/>
      </w:pPr>
      <w:r>
        <w:t>B. Le stage d’externat</w:t>
      </w:r>
    </w:p>
    <w:p>
      <w:r>
        <w:rPr>
          <w:b w:val="0"/>
          <w:i w:val="0"/>
        </w:rPr>
        <w:t>Ce stage se déroule du 5ème au 10ème semestre des études médicales. Il comprend 4 stages fondamentaux : Médecine, Chirurgie, Pédiatrie et Gynécologie-Obstétrique (environ deux mois chacun) et des stages complémentaires (de durée variable de 6 à 8 semaines).</w:t>
      </w:r>
    </w:p>
    <w:p>
      <w:r>
        <w:rPr>
          <w:b w:val="0"/>
          <w:i w:val="0"/>
        </w:rPr>
        <w:t>Ces stages se déroulent dans les différents services du C.H.U de Marrakech et l’hôpital militaire de Marrakech.</w:t>
      </w:r>
    </w:p>
    <w:p>
      <w:pPr>
        <w:pStyle w:val="Subhead"/>
      </w:pPr>
      <w:r>
        <w:t>Le cursus proposé est le suivant</w:t>
      </w:r>
    </w:p>
    <w:p>
      <w:pPr>
        <w:spacing w:after="40"/>
      </w:pPr>
      <w:r>
        <w:rPr>
          <w:b/>
          <w:i w:val="0"/>
        </w:rPr>
        <w:t>3ème année :</w:t>
      </w:r>
    </w:p>
    <w:p>
      <w:pPr>
        <w:pStyle w:val="ListBullet2"/>
      </w:pPr>
      <w:r>
        <w:t>Stage de soins infirmiers et de sémiologie : 6 semaines.</w:t>
      </w:r>
    </w:p>
    <w:p>
      <w:pPr>
        <w:pStyle w:val="ListBullet2"/>
      </w:pPr>
      <w:r>
        <w:t>Deux stages fondamentaux de 2 mois : Médecine et Chirurgie.</w:t>
      </w:r>
    </w:p>
    <w:p>
      <w:pPr>
        <w:pStyle w:val="ListBullet2"/>
      </w:pPr>
      <w:r>
        <w:t>Deux stages complémentaires de 6 à 8 semaines.</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8" w:type="dxa"/>
        <w:tblLayout w:type="fixed"/>
      </w:tblPr>
      <w:tblGrid>
        <w:gridCol w:w="4819"/>
        <w:gridCol w:w="4819"/>
      </w:tblGrid>
      <w:tr>
        <w:trPr>
          <w:tblHeader/>
        </w:trPr>
        <w:tc>
          <w:tcPr>
            <w:tcW w:type="dxa" w:w="4819"/>
            <w:shd w:val="clear" w:color="auto" w:fill="1F4E79"/>
          </w:tcPr>
          <w:p>
            <w:pPr>
              <w:pStyle w:val="CellText"/>
            </w:pPr>
            <w:r>
              <w:rPr>
                <w:b/>
                <w:color w:val="FFFFFF"/>
              </w:rPr>
              <w:t>Services de médecine</w:t>
            </w:r>
          </w:p>
        </w:tc>
        <w:tc>
          <w:tcPr>
            <w:tcW w:type="dxa" w:w="4819"/>
            <w:shd w:val="clear" w:color="auto" w:fill="1F4E79"/>
          </w:tcPr>
          <w:p>
            <w:pPr>
              <w:pStyle w:val="CellText"/>
            </w:pPr>
            <w:r>
              <w:rPr>
                <w:b/>
                <w:color w:val="FFFFFF"/>
              </w:rPr>
              <w:t>Services de chirurgie</w:t>
            </w:r>
          </w:p>
        </w:tc>
      </w:tr>
      <w:tr>
        <w:trPr>
          <w:cantSplit/>
        </w:trPr>
        <w:tc>
          <w:tcPr>
            <w:tcW w:type="dxa" w:w="4819"/>
          </w:tcPr>
          <w:p>
            <w:pPr>
              <w:pStyle w:val="CellText"/>
            </w:pPr>
            <w:r>
              <w:rPr>
                <w:b w:val="0"/>
              </w:rPr>
              <w:t>Gastro-entérologie · Pneumologie · Neurologie · Médecine interne · Maladies infectieuses · Cardiologie</w:t>
            </w:r>
          </w:p>
        </w:tc>
        <w:tc>
          <w:tcPr>
            <w:tcW w:type="dxa" w:w="4819"/>
          </w:tcPr>
          <w:p>
            <w:pPr>
              <w:pStyle w:val="CellText"/>
            </w:pPr>
            <w:r>
              <w:rPr>
                <w:b w:val="0"/>
              </w:rPr>
              <w:t>Chirurgie viscérale · Neurochirurgie · Traumatologie</w:t>
            </w:r>
          </w:p>
        </w:tc>
      </w:tr>
    </w:tbl>
    <w:p>
      <w:pPr>
        <w:spacing w:after="40"/>
      </w:pPr>
    </w:p>
    <w:p>
      <w:pPr>
        <w:spacing w:after="40"/>
      </w:pPr>
      <w:r>
        <w:rPr>
          <w:b/>
          <w:i w:val="0"/>
        </w:rPr>
        <w:t>4ème année :</w:t>
      </w:r>
    </w:p>
    <w:p>
      <w:r>
        <w:rPr>
          <w:b w:val="0"/>
          <w:i w:val="0"/>
        </w:rPr>
        <w:t>Les stages sont réalisés dans les services de Pédiatrie A et Pédiatrie B. Les autres services sont représentés dans le tableau ci-dessous.</w:t>
      </w:r>
    </w:p>
    <w:p>
      <w:pPr>
        <w:pStyle w:val="ListBullet2"/>
      </w:pPr>
      <w:r>
        <w:t>Stage fondamental de Pédiatrie de 2 mois.</w:t>
      </w:r>
    </w:p>
    <w:p>
      <w:pPr>
        <w:pStyle w:val="ListBullet2"/>
      </w:pPr>
      <w:r>
        <w:t>Quatre stages complémentaires de 2 mois.</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8" w:type="dxa"/>
        <w:tblLayout w:type="fixed"/>
      </w:tblPr>
      <w:tblGrid>
        <w:gridCol w:w="4819"/>
        <w:gridCol w:w="4819"/>
      </w:tblGrid>
      <w:tr>
        <w:trPr>
          <w:tblHeader/>
        </w:trPr>
        <w:tc>
          <w:tcPr>
            <w:tcW w:type="dxa" w:w="4819"/>
            <w:shd w:val="clear" w:color="auto" w:fill="1F4E79"/>
          </w:tcPr>
          <w:p>
            <w:pPr>
              <w:pStyle w:val="CellText"/>
            </w:pPr>
            <w:r>
              <w:rPr>
                <w:b/>
                <w:color w:val="FFFFFF"/>
              </w:rPr>
              <w:t>Services de médecine</w:t>
            </w:r>
          </w:p>
        </w:tc>
        <w:tc>
          <w:tcPr>
            <w:tcW w:type="dxa" w:w="4819"/>
            <w:shd w:val="clear" w:color="auto" w:fill="1F4E79"/>
          </w:tcPr>
          <w:p>
            <w:pPr>
              <w:pStyle w:val="CellText"/>
            </w:pPr>
            <w:r>
              <w:rPr>
                <w:b/>
                <w:color w:val="FFFFFF"/>
              </w:rPr>
              <w:t>Services de chirurgie</w:t>
            </w:r>
          </w:p>
        </w:tc>
      </w:tr>
      <w:tr>
        <w:trPr>
          <w:cantSplit/>
        </w:trPr>
        <w:tc>
          <w:tcPr>
            <w:tcW w:type="dxa" w:w="4819"/>
          </w:tcPr>
          <w:p>
            <w:pPr>
              <w:pStyle w:val="CellText"/>
            </w:pPr>
            <w:r>
              <w:rPr>
                <w:b w:val="0"/>
              </w:rPr>
              <w:t>Néonatologie · Urgences pédiatriques · Hématologie · Oncologie · Oncologie pédiatrique · Dermatologie · Rhumatologie · Néphrologie · Radiologie</w:t>
            </w:r>
          </w:p>
        </w:tc>
        <w:tc>
          <w:tcPr>
            <w:tcW w:type="dxa" w:w="4819"/>
          </w:tcPr>
          <w:p>
            <w:pPr>
              <w:pStyle w:val="CellText"/>
            </w:pPr>
            <w:r>
              <w:rPr>
                <w:b w:val="0"/>
              </w:rPr>
              <w:t>Chirurgie pédiatrique · Urologie · Chirurgie cardio-vasculaire · Chirurgie vasculaire · Chirurgie thoracique</w:t>
            </w:r>
          </w:p>
        </w:tc>
      </w:tr>
    </w:tbl>
    <w:p>
      <w:pPr>
        <w:spacing w:after="40"/>
      </w:pPr>
    </w:p>
    <w:p>
      <w:pPr>
        <w:spacing w:after="40"/>
      </w:pPr>
      <w:r>
        <w:rPr>
          <w:b/>
          <w:i w:val="0"/>
        </w:rPr>
        <w:t>5ème année :</w:t>
      </w:r>
    </w:p>
    <w:p>
      <w:pPr>
        <w:pStyle w:val="ListBullet2"/>
      </w:pPr>
      <w:r>
        <w:t>Stage fondamental de Gynécologie-obstétrique de 2 mois</w:t>
      </w:r>
    </w:p>
    <w:p>
      <w:pPr>
        <w:pStyle w:val="ListBullet2"/>
      </w:pPr>
      <w:r>
        <w:t>Quatre stages complémentaires de 2 mois</w:t>
      </w:r>
    </w:p>
    <w:p>
      <w:r>
        <w:rPr>
          <w:b w:val="0"/>
          <w:i w:val="0"/>
        </w:rPr>
        <w:t>Les autres services sont dans le tableau ci-dessous :</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8" w:type="dxa"/>
        <w:tblLayout w:type="fixed"/>
      </w:tblPr>
      <w:tblGrid>
        <w:gridCol w:w="4819"/>
        <w:gridCol w:w="4819"/>
      </w:tblGrid>
      <w:tr>
        <w:trPr>
          <w:tblHeader/>
        </w:trPr>
        <w:tc>
          <w:tcPr>
            <w:tcW w:type="dxa" w:w="4819"/>
            <w:shd w:val="clear" w:color="auto" w:fill="1F4E79"/>
          </w:tcPr>
          <w:p>
            <w:pPr>
              <w:pStyle w:val="CellText"/>
            </w:pPr>
            <w:r>
              <w:rPr>
                <w:b/>
                <w:color w:val="FFFFFF"/>
              </w:rPr>
              <w:t>Services de médecine</w:t>
            </w:r>
          </w:p>
        </w:tc>
        <w:tc>
          <w:tcPr>
            <w:tcW w:type="dxa" w:w="4819"/>
            <w:shd w:val="clear" w:color="auto" w:fill="1F4E79"/>
          </w:tcPr>
          <w:p>
            <w:pPr>
              <w:pStyle w:val="CellText"/>
            </w:pPr>
            <w:r>
              <w:rPr>
                <w:b/>
                <w:color w:val="FFFFFF"/>
              </w:rPr>
              <w:t>Services de chirurgie</w:t>
            </w:r>
          </w:p>
        </w:tc>
      </w:tr>
      <w:tr>
        <w:trPr>
          <w:cantSplit/>
        </w:trPr>
        <w:tc>
          <w:tcPr>
            <w:tcW w:type="dxa" w:w="4819"/>
          </w:tcPr>
          <w:p>
            <w:pPr>
              <w:pStyle w:val="CellText"/>
            </w:pPr>
            <w:r>
              <w:rPr>
                <w:b w:val="0"/>
              </w:rPr>
              <w:t>Endocrinologie · Psychiatrie · Néphrologie · Réanimation médico-chirurgicale · Laboratoire, génétique</w:t>
            </w:r>
          </w:p>
        </w:tc>
        <w:tc>
          <w:tcPr>
            <w:tcW w:type="dxa" w:w="4819"/>
          </w:tcPr>
          <w:p>
            <w:pPr>
              <w:pStyle w:val="CellText"/>
            </w:pPr>
            <w:r>
              <w:rPr>
                <w:b w:val="0"/>
              </w:rPr>
              <w:t>Ophtalmologie · ORL · Chirurgie maxillo-faciale · Chirurgie vasculaire · Chirurgie plastique</w:t>
            </w:r>
          </w:p>
        </w:tc>
      </w:tr>
    </w:tbl>
    <w:p>
      <w:pPr>
        <w:spacing w:after="40"/>
      </w:pPr>
    </w:p>
    <w:p>
      <w:pPr>
        <w:pStyle w:val="ListBullet"/>
      </w:pPr>
      <w:r>
        <w:rPr>
          <w:b/>
        </w:rPr>
        <w:t xml:space="preserve">Services de chirurgie : </w:t>
      </w:r>
      <w:r>
        <w:t>Chirurgie viscérale, Traumatologie, Neurochirurgie, Chirurgie cardio-vasculaire, Chirurgie maxillo-faciale, Chirurgie plastique, ORL, Chirurgie thoracique.</w:t>
      </w:r>
    </w:p>
    <w:p>
      <w:pPr>
        <w:pStyle w:val="ListBullet"/>
      </w:pPr>
      <w:r>
        <w:rPr>
          <w:b/>
        </w:rPr>
        <w:t xml:space="preserve">Services de L’enfant : </w:t>
      </w:r>
      <w:r>
        <w:t>Néonatologie, Pédiatrie A et B, Chirurgie pédiatrique A et B, Oncologie pédiatrique, Urgences pédiatriques.</w:t>
      </w:r>
    </w:p>
    <w:p>
      <w:pPr>
        <w:pStyle w:val="ListBullet"/>
      </w:pPr>
      <w:r>
        <w:t>Centres de santé de la ville de Marrakech.</w:t>
      </w:r>
    </w:p>
    <w:p>
      <w:pPr>
        <w:pStyle w:val="Heading2"/>
      </w:pPr>
      <w:r>
        <w:t>C. Le stage d’externat plein temps</w:t>
      </w:r>
    </w:p>
    <w:p>
      <w:r>
        <w:rPr>
          <w:b w:val="0"/>
          <w:i w:val="0"/>
        </w:rPr>
        <w:t>Le stage d’externat plein temps permet à l’étudiant de confronter ses connaissances théoriques aux réalités quotidiennes dans les différents services. L’étudiant aura la responsabilité des malades sous la direction d’un enseignant. l lui permet également de rattraper les objectifs non validés au cours des stages d’externat.</w:t>
      </w:r>
    </w:p>
    <w:p>
      <w:pPr>
        <w:pStyle w:val="Heading2"/>
      </w:pPr>
      <w:r>
        <w:t>D. Le stage interné</w:t>
      </w:r>
    </w:p>
    <w:p>
      <w:r>
        <w:rPr>
          <w:b w:val="0"/>
          <w:i w:val="0"/>
        </w:rPr>
        <w:t>Le stage interné se déroule les 13ème et 14ème semestre des études médicales dans les formations sanitaires agrées en dehors du CHU. Il dure une année. Pour accéder à ce stage l’étudiant doit valider tous les stages antérieurs.</w:t>
      </w:r>
    </w:p>
    <w:p>
      <w:r>
        <w:rPr>
          <w:b w:val="0"/>
          <w:i w:val="0"/>
        </w:rPr>
        <w:t>La répartition et l’affectation ont lieu à la faculté en présence d’un représentant du ministère de la santé. Le choix des postes attribués par le ministère se fait par ordre de mérite. L’affectation à ce stage est faite selon les besoins du ministère de la santé dans les hôpitaux du royaume.</w:t>
      </w:r>
    </w:p>
    <w:p>
      <w:r>
        <w:rPr>
          <w:b w:val="0"/>
          <w:i w:val="0"/>
        </w:rPr>
        <w:t>Le stage interné comprend un stage de médecine et de centre de santé, un stage de chirurgie, un stage de gynécologie obstétrique et un stage de pédiatrie.</w:t>
      </w:r>
    </w:p>
    <w:p>
      <w:r>
        <w:rPr>
          <w:b w:val="0"/>
          <w:i w:val="0"/>
        </w:rPr>
        <w:t>La validation de ces stages est obligatoire pour se présenter aux examens cliniques.</w:t>
      </w:r>
    </w:p>
    <w:p>
      <w:pPr>
        <w:pStyle w:val="Heading1"/>
      </w:pPr>
      <w:r>
        <w:t>VI — L’évaluation des stages hospitaliers</w:t>
      </w:r>
    </w:p>
    <w:p>
      <w:pPr>
        <w:pStyle w:val="Heading2"/>
      </w:pPr>
      <w:r>
        <w:t>A. Rappel des dispositions réglementaires</w:t>
      </w:r>
    </w:p>
    <w:p>
      <w:pPr>
        <w:pStyle w:val="ListBullet"/>
      </w:pPr>
      <w:r>
        <w:t>Un stage non validé doit être revalidé dans sa totalité.</w:t>
      </w:r>
    </w:p>
    <w:p>
      <w:pPr>
        <w:pStyle w:val="ListBullet"/>
      </w:pPr>
      <w:r>
        <w:t>La revalidation d’un stage ne peut se faire parallèlement au déroulement d’un autre stage.</w:t>
      </w:r>
    </w:p>
    <w:p>
      <w:pPr>
        <w:pStyle w:val="ListBullet"/>
      </w:pPr>
      <w:r>
        <w:t>Les étudiants devant revalider leur stage doivent s’inscrire auprès du service de scolarité-stages. IIs seront répartis en fonction de la capacité d’accueil du service où le stage n’a pu être validé.</w:t>
      </w:r>
    </w:p>
    <w:p>
      <w:pPr>
        <w:pStyle w:val="ListBullet"/>
      </w:pPr>
      <w:r>
        <w:t>Ne peuvent être admis au stage interné que les externes ayant validé tous les stages, de même que la liste des gestes pratiques communs des objectifs des stages.</w:t>
      </w:r>
    </w:p>
    <w:p>
      <w:pPr>
        <w:pStyle w:val="Heading2"/>
      </w:pPr>
      <w:r>
        <w:t>B. Critères et modalités de validation</w:t>
      </w:r>
    </w:p>
    <w:p>
      <w:pPr>
        <w:pStyle w:val="Heading3"/>
      </w:pPr>
      <w:r>
        <w:t>a — Règles générales</w:t>
      </w:r>
    </w:p>
    <w:p>
      <w:pPr>
        <w:pStyle w:val="ListBullet"/>
      </w:pPr>
      <w:r>
        <w:t>La notation est sur 100</w:t>
      </w:r>
    </w:p>
    <w:p>
      <w:pPr>
        <w:pStyle w:val="ListBullet"/>
      </w:pPr>
      <w:r>
        <w:t>L’évaluation périodique (Attitudes, assiduité et activités de stage) est notée sur 50 points.</w:t>
      </w:r>
    </w:p>
    <w:p>
      <w:pPr>
        <w:pStyle w:val="ListBullet"/>
      </w:pPr>
      <w:r>
        <w:t>L’évaluation finale par ECOS (examen clinique objectif et structuré) est notée sur 40 points.</w:t>
      </w:r>
    </w:p>
    <w:p>
      <w:pPr>
        <w:pStyle w:val="Heading3"/>
      </w:pPr>
      <w:r>
        <w:t>b — L’évaluation du stage repose sur quatre volets</w:t>
      </w:r>
    </w:p>
    <w:p>
      <w:pPr>
        <w:pStyle w:val="Heading4"/>
      </w:pPr>
      <w:r>
        <w:t>1. L’assiduité</w:t>
      </w:r>
    </w:p>
    <w:p>
      <w:r>
        <w:rPr>
          <w:b w:val="0"/>
          <w:i w:val="0"/>
        </w:rPr>
        <w:t>L’assiduité est considérée comme élément d’admissibilité pour la validation. L’évaluation de l’assiduité repose sur le nombre d’absences.</w:t>
      </w:r>
    </w:p>
    <w:p>
      <w:r>
        <w:rPr>
          <w:b w:val="0"/>
          <w:i w:val="0"/>
        </w:rPr>
        <w:t>Est considérée comme absence l’arrivée de l’étudiant au-delà de 15 min après l’horaire de début de l’activité du service. Cet horaire est fixé par le chef du service.</w:t>
      </w:r>
    </w:p>
    <w:p>
      <w:r>
        <w:rPr>
          <w:b w:val="0"/>
          <w:i w:val="0"/>
        </w:rPr>
        <w:t>Est considéré comme non assidu, donc non admissible pour la validation de son stage tout étudiant ayant cumulé plus de 2 absences non justifiées ou des absences justifiées représentant plus de 10% jours ouvrables de la durée de stage.</w:t>
      </w:r>
    </w:p>
    <w:p>
      <w:r>
        <w:rPr>
          <w:b w:val="0"/>
          <w:i w:val="0"/>
        </w:rPr>
        <w:t>Une absence est dite justifiée dans 3 situations :</w:t>
      </w:r>
    </w:p>
    <w:p>
      <w:pPr>
        <w:pStyle w:val="ListBullet"/>
      </w:pPr>
      <w:r>
        <w:t>Absence pour maladie avec un certificat médical déposé dans les premières 48 h du premier jour de l’absence sans dépassé une durée d’absence supérieur ou égale à 10% jours ouvrables de la durée de stage.</w:t>
      </w:r>
    </w:p>
    <w:p>
      <w:pPr>
        <w:pStyle w:val="ListBullet"/>
      </w:pPr>
      <w:r>
        <w:t>Décès d’un parent de premier degré.</w:t>
      </w:r>
    </w:p>
    <w:p>
      <w:pPr>
        <w:pStyle w:val="ListBullet"/>
      </w:pPr>
      <w:r>
        <w:t>Mariage, après avoir averti le responsable de stage.</w:t>
      </w:r>
    </w:p>
    <w:p>
      <w:r>
        <w:rPr>
          <w:b w:val="0"/>
          <w:i w:val="0"/>
        </w:rPr>
        <w:t>La durée d’absence pour le décès et le mariage est fixée à 3 jours.</w:t>
      </w:r>
    </w:p>
    <w:p>
      <w:r>
        <w:rPr>
          <w:b w:val="0"/>
          <w:i w:val="0"/>
        </w:rPr>
        <w:t>Une seule absence non justifiée au cours de la garde invalide automatiquement le stage.</w:t>
      </w:r>
    </w:p>
    <w:p>
      <w:r>
        <w:rPr>
          <w:b w:val="0"/>
          <w:i w:val="0"/>
        </w:rPr>
        <w:t>Aucune note n’est attribuée à l’assiduité étant donné que c’est un élément d’admissibilité.</w:t>
      </w:r>
    </w:p>
    <w:p>
      <w:pPr>
        <w:pStyle w:val="Heading4"/>
      </w:pPr>
      <w:r>
        <w:t>2. Comportement</w:t>
      </w:r>
    </w:p>
    <w:p>
      <w:r>
        <w:rPr>
          <w:b w:val="0"/>
          <w:i w:val="0"/>
        </w:rPr>
        <w:t>Une note sur 20 est attribuée au comportement. Trois composantes rentrent dans l’évaluation du comportement de l’étudiant dans le stage :</w:t>
      </w:r>
    </w:p>
    <w:p>
      <w:pPr>
        <w:pStyle w:val="ListBullet"/>
      </w:pPr>
      <w:r>
        <w:t>La tenue vestimentaire : sur une note de 5.</w:t>
      </w:r>
    </w:p>
    <w:p>
      <w:pPr>
        <w:pStyle w:val="ListBullet"/>
      </w:pPr>
      <w:r>
        <w:t>L’intégration au sein de l’équipe : sur une note de 10.</w:t>
      </w:r>
    </w:p>
    <w:p>
      <w:pPr>
        <w:pStyle w:val="ListBullet"/>
      </w:pPr>
      <w:r>
        <w:t>Le comportement vis-à-vis des patients : sur une note de 5.</w:t>
      </w:r>
    </w:p>
    <w:p>
      <w:r>
        <w:rPr>
          <w:b w:val="0"/>
          <w:i w:val="0"/>
        </w:rPr>
        <w:t>Le comportement de l’étudiant est évalué par le tuteur puis validé par le référent de stage ou le chef de service.</w:t>
      </w:r>
    </w:p>
    <w:p>
      <w:pPr>
        <w:keepNext/>
        <w:spacing w:after="60"/>
      </w:pPr>
      <w:r>
        <w:rPr>
          <w:b/>
          <w:i w:val="0"/>
        </w:rPr>
        <w:t>Tableau : proposition d’une grille d’évaluation du comportement des étudiants au stage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6" w:type="dxa"/>
        <w:tblLayout w:type="fixed"/>
      </w:tblPr>
      <w:tblGrid>
        <w:gridCol w:w="2053"/>
        <w:gridCol w:w="4106"/>
        <w:gridCol w:w="1140"/>
        <w:gridCol w:w="1197"/>
        <w:gridCol w:w="1140"/>
      </w:tblGrid>
      <w:tr>
        <w:trPr>
          <w:tblHeader/>
        </w:trPr>
        <w:tc>
          <w:tcPr>
            <w:tcW w:type="dxa" w:w="2053"/>
            <w:shd w:val="clear" w:color="auto" w:fill="1F4E79"/>
          </w:tcPr>
          <w:p>
            <w:pPr>
              <w:pStyle w:val="CellText"/>
            </w:pPr>
            <w:r>
              <w:rPr>
                <w:b/>
                <w:color w:val="FFFFFF"/>
              </w:rPr>
              <w:t>Rubrique</w:t>
            </w:r>
          </w:p>
        </w:tc>
        <w:tc>
          <w:tcPr>
            <w:tcW w:type="dxa" w:w="4106"/>
            <w:shd w:val="clear" w:color="auto" w:fill="1F4E79"/>
          </w:tcPr>
          <w:p>
            <w:pPr>
              <w:pStyle w:val="CellText"/>
            </w:pPr>
            <w:r>
              <w:rPr>
                <w:b/>
                <w:color w:val="FFFFFF"/>
              </w:rPr>
              <w:t>Critère</w:t>
            </w:r>
          </w:p>
        </w:tc>
        <w:tc>
          <w:tcPr>
            <w:tcW w:type="dxa" w:w="1140"/>
            <w:shd w:val="clear" w:color="auto" w:fill="1F4E79"/>
          </w:tcPr>
          <w:p>
            <w:pPr>
              <w:pStyle w:val="CellText"/>
            </w:pPr>
            <w:r>
              <w:rPr>
                <w:b/>
                <w:color w:val="FFFFFF"/>
              </w:rPr>
              <w:t>Inadéquat</w:t>
            </w:r>
          </w:p>
        </w:tc>
        <w:tc>
          <w:tcPr>
            <w:tcW w:type="dxa" w:w="1197"/>
            <w:shd w:val="clear" w:color="auto" w:fill="1F4E79"/>
          </w:tcPr>
          <w:p>
            <w:pPr>
              <w:pStyle w:val="CellText"/>
            </w:pPr>
            <w:r>
              <w:rPr>
                <w:b/>
                <w:color w:val="FFFFFF"/>
              </w:rPr>
              <w:t>Acceptable</w:t>
            </w:r>
          </w:p>
        </w:tc>
        <w:tc>
          <w:tcPr>
            <w:tcW w:type="dxa" w:w="1140"/>
            <w:shd w:val="clear" w:color="auto" w:fill="1F4E79"/>
          </w:tcPr>
          <w:p>
            <w:pPr>
              <w:pStyle w:val="CellText"/>
            </w:pPr>
            <w:r>
              <w:rPr>
                <w:b/>
                <w:color w:val="FFFFFF"/>
              </w:rPr>
              <w:t>Excellent</w:t>
            </w:r>
          </w:p>
        </w:tc>
      </w:tr>
      <w:tr>
        <w:trPr>
          <w:cantSplit/>
        </w:trPr>
        <w:tc>
          <w:tcPr>
            <w:tcW w:type="dxa" w:w="2053"/>
            <w:shd w:val="clear" w:color="auto" w:fill="DCE9F5"/>
          </w:tcPr>
          <w:p>
            <w:pPr>
              <w:pStyle w:val="CellText"/>
            </w:pPr>
            <w:r>
              <w:rPr>
                <w:b/>
              </w:rPr>
              <w:t>Présentation</w:t>
            </w:r>
          </w:p>
        </w:tc>
        <w:tc>
          <w:tcPr>
            <w:tcW w:type="dxa" w:w="4106"/>
          </w:tcPr>
          <w:p>
            <w:pPr>
              <w:pStyle w:val="CellText"/>
            </w:pPr>
            <w:r>
              <w:rPr>
                <w:b w:val="0"/>
              </w:rPr>
              <w:t>Tenue vestimentaire</w:t>
            </w:r>
          </w:p>
        </w:tc>
        <w:tc>
          <w:tcPr>
            <w:tcW w:type="dxa" w:w="1140"/>
          </w:tcPr>
          <w:p>
            <w:pPr>
              <w:pStyle w:val="CellText"/>
              <w:jc w:val="center"/>
            </w:pPr>
            <w:r>
              <w:rPr>
                <w:b w:val="0"/>
              </w:rPr>
              <w:t>0</w:t>
            </w:r>
          </w:p>
        </w:tc>
        <w:tc>
          <w:tcPr>
            <w:tcW w:type="dxa" w:w="1197"/>
          </w:tcPr>
          <w:p>
            <w:pPr>
              <w:pStyle w:val="CellText"/>
              <w:jc w:val="center"/>
            </w:pPr>
            <w:r>
              <w:rPr>
                <w:b w:val="0"/>
              </w:rPr>
              <w:t>1</w:t>
            </w:r>
          </w:p>
        </w:tc>
        <w:tc>
          <w:tcPr>
            <w:tcW w:type="dxa" w:w="1140"/>
          </w:tcPr>
          <w:p>
            <w:pPr>
              <w:pStyle w:val="CellText"/>
              <w:jc w:val="center"/>
            </w:pPr>
            <w:r>
              <w:rPr>
                <w:b w:val="0"/>
              </w:rPr>
              <w:t>—</w:t>
            </w:r>
          </w:p>
        </w:tc>
      </w:tr>
      <w:tr>
        <w:trPr>
          <w:cantSplit/>
        </w:trPr>
        <w:tc>
          <w:tcPr>
            <w:tcW w:type="dxa" w:w="2053"/>
            <w:shd w:val="clear" w:color="auto" w:fill="DCE9F5"/>
          </w:tcPr>
          <w:p>
            <w:pPr>
              <w:pStyle w:val="CellText"/>
            </w:pPr>
            <w:r>
              <w:rPr>
                <w:b/>
              </w:rPr>
            </w:r>
          </w:p>
        </w:tc>
        <w:tc>
          <w:tcPr>
            <w:tcW w:type="dxa" w:w="4106"/>
          </w:tcPr>
          <w:p>
            <w:pPr>
              <w:pStyle w:val="CellText"/>
            </w:pPr>
            <w:r>
              <w:rPr>
                <w:b w:val="0"/>
              </w:rPr>
              <w:t>Hygiène corporelle</w:t>
            </w:r>
          </w:p>
        </w:tc>
        <w:tc>
          <w:tcPr>
            <w:tcW w:type="dxa" w:w="1140"/>
          </w:tcPr>
          <w:p>
            <w:pPr>
              <w:pStyle w:val="CellText"/>
              <w:jc w:val="center"/>
            </w:pPr>
            <w:r>
              <w:rPr>
                <w:b w:val="0"/>
              </w:rPr>
              <w:t>0</w:t>
            </w:r>
          </w:p>
        </w:tc>
        <w:tc>
          <w:tcPr>
            <w:tcW w:type="dxa" w:w="1197"/>
          </w:tcPr>
          <w:p>
            <w:pPr>
              <w:pStyle w:val="CellText"/>
              <w:jc w:val="center"/>
            </w:pPr>
            <w:r>
              <w:rPr>
                <w:b w:val="0"/>
              </w:rPr>
              <w:t>1</w:t>
            </w:r>
          </w:p>
        </w:tc>
        <w:tc>
          <w:tcPr>
            <w:tcW w:type="dxa" w:w="1140"/>
          </w:tcPr>
          <w:p>
            <w:pPr>
              <w:pStyle w:val="CellText"/>
              <w:jc w:val="center"/>
            </w:pPr>
            <w:r>
              <w:rPr>
                <w:b w:val="0"/>
              </w:rPr>
              <w:t>2</w:t>
            </w:r>
          </w:p>
        </w:tc>
      </w:tr>
      <w:tr>
        <w:trPr>
          <w:cantSplit/>
        </w:trPr>
        <w:tc>
          <w:tcPr>
            <w:tcW w:type="dxa" w:w="2053"/>
            <w:shd w:val="clear" w:color="auto" w:fill="DCE9F5"/>
          </w:tcPr>
          <w:p>
            <w:pPr>
              <w:pStyle w:val="CellText"/>
            </w:pPr>
            <w:r>
              <w:rPr>
                <w:b/>
              </w:rPr>
              <w:t>Intégration au sein de l’équipe</w:t>
            </w:r>
          </w:p>
        </w:tc>
        <w:tc>
          <w:tcPr>
            <w:tcW w:type="dxa" w:w="4106"/>
          </w:tcPr>
          <w:p>
            <w:pPr>
              <w:pStyle w:val="CellText"/>
            </w:pPr>
            <w:r>
              <w:rPr>
                <w:b w:val="0"/>
              </w:rPr>
              <w:t>Relation avec le personnel médical</w:t>
            </w:r>
          </w:p>
        </w:tc>
        <w:tc>
          <w:tcPr>
            <w:tcW w:type="dxa" w:w="1140"/>
          </w:tcPr>
          <w:p>
            <w:pPr>
              <w:pStyle w:val="CellText"/>
              <w:jc w:val="center"/>
            </w:pPr>
            <w:r>
              <w:rPr>
                <w:b w:val="0"/>
              </w:rPr>
              <w:t>0</w:t>
            </w:r>
          </w:p>
        </w:tc>
        <w:tc>
          <w:tcPr>
            <w:tcW w:type="dxa" w:w="1197"/>
          </w:tcPr>
          <w:p>
            <w:pPr>
              <w:pStyle w:val="CellText"/>
              <w:jc w:val="center"/>
            </w:pPr>
            <w:r>
              <w:rPr>
                <w:b w:val="0"/>
              </w:rPr>
              <w:t>1</w:t>
            </w:r>
          </w:p>
        </w:tc>
        <w:tc>
          <w:tcPr>
            <w:tcW w:type="dxa" w:w="1140"/>
          </w:tcPr>
          <w:p>
            <w:pPr>
              <w:pStyle w:val="CellText"/>
              <w:jc w:val="center"/>
            </w:pPr>
            <w:r>
              <w:rPr>
                <w:b w:val="0"/>
              </w:rPr>
              <w:t>2</w:t>
            </w:r>
          </w:p>
        </w:tc>
      </w:tr>
      <w:tr>
        <w:trPr>
          <w:cantSplit/>
        </w:trPr>
        <w:tc>
          <w:tcPr>
            <w:tcW w:type="dxa" w:w="2053"/>
            <w:shd w:val="clear" w:color="auto" w:fill="DCE9F5"/>
          </w:tcPr>
          <w:p>
            <w:pPr>
              <w:pStyle w:val="CellText"/>
            </w:pPr>
            <w:r>
              <w:rPr>
                <w:b/>
              </w:rPr>
            </w:r>
          </w:p>
        </w:tc>
        <w:tc>
          <w:tcPr>
            <w:tcW w:type="dxa" w:w="4106"/>
          </w:tcPr>
          <w:p>
            <w:pPr>
              <w:pStyle w:val="CellText"/>
            </w:pPr>
            <w:r>
              <w:rPr>
                <w:b w:val="0"/>
              </w:rPr>
              <w:t>Relation avec le personnel paramédical</w:t>
            </w:r>
          </w:p>
        </w:tc>
        <w:tc>
          <w:tcPr>
            <w:tcW w:type="dxa" w:w="1140"/>
          </w:tcPr>
          <w:p>
            <w:pPr>
              <w:pStyle w:val="CellText"/>
              <w:jc w:val="center"/>
            </w:pPr>
            <w:r>
              <w:rPr>
                <w:b w:val="0"/>
              </w:rPr>
              <w:t>0</w:t>
            </w:r>
          </w:p>
        </w:tc>
        <w:tc>
          <w:tcPr>
            <w:tcW w:type="dxa" w:w="1197"/>
          </w:tcPr>
          <w:p>
            <w:pPr>
              <w:pStyle w:val="CellText"/>
              <w:jc w:val="center"/>
            </w:pPr>
            <w:r>
              <w:rPr>
                <w:b w:val="0"/>
              </w:rPr>
              <w:t>1</w:t>
            </w:r>
          </w:p>
        </w:tc>
        <w:tc>
          <w:tcPr>
            <w:tcW w:type="dxa" w:w="1140"/>
          </w:tcPr>
          <w:p>
            <w:pPr>
              <w:pStyle w:val="CellText"/>
              <w:jc w:val="center"/>
            </w:pPr>
            <w:r>
              <w:rPr>
                <w:b w:val="0"/>
              </w:rPr>
              <w:t>2</w:t>
            </w:r>
          </w:p>
        </w:tc>
      </w:tr>
      <w:tr>
        <w:trPr>
          <w:cantSplit/>
        </w:trPr>
        <w:tc>
          <w:tcPr>
            <w:tcW w:type="dxa" w:w="2053"/>
            <w:shd w:val="clear" w:color="auto" w:fill="DCE9F5"/>
          </w:tcPr>
          <w:p>
            <w:pPr>
              <w:pStyle w:val="CellText"/>
            </w:pPr>
            <w:r>
              <w:rPr>
                <w:b/>
              </w:rPr>
            </w:r>
          </w:p>
        </w:tc>
        <w:tc>
          <w:tcPr>
            <w:tcW w:type="dxa" w:w="4106"/>
          </w:tcPr>
          <w:p>
            <w:pPr>
              <w:pStyle w:val="CellText"/>
            </w:pPr>
            <w:r>
              <w:rPr>
                <w:b w:val="0"/>
              </w:rPr>
              <w:t>Respect des règles et habitudes du service</w:t>
            </w:r>
          </w:p>
        </w:tc>
        <w:tc>
          <w:tcPr>
            <w:tcW w:type="dxa" w:w="1140"/>
          </w:tcPr>
          <w:p>
            <w:pPr>
              <w:pStyle w:val="CellText"/>
              <w:jc w:val="center"/>
            </w:pPr>
            <w:r>
              <w:rPr>
                <w:b w:val="0"/>
              </w:rPr>
              <w:t>0</w:t>
            </w:r>
          </w:p>
        </w:tc>
        <w:tc>
          <w:tcPr>
            <w:tcW w:type="dxa" w:w="1197"/>
          </w:tcPr>
          <w:p>
            <w:pPr>
              <w:pStyle w:val="CellText"/>
              <w:jc w:val="center"/>
            </w:pPr>
            <w:r>
              <w:rPr>
                <w:b w:val="0"/>
              </w:rPr>
              <w:t>1</w:t>
            </w:r>
          </w:p>
        </w:tc>
        <w:tc>
          <w:tcPr>
            <w:tcW w:type="dxa" w:w="1140"/>
          </w:tcPr>
          <w:p>
            <w:pPr>
              <w:pStyle w:val="CellText"/>
              <w:jc w:val="center"/>
            </w:pPr>
            <w:r>
              <w:rPr>
                <w:b w:val="0"/>
              </w:rPr>
              <w:t>2</w:t>
            </w:r>
          </w:p>
        </w:tc>
      </w:tr>
      <w:tr>
        <w:trPr>
          <w:cantSplit/>
        </w:trPr>
        <w:tc>
          <w:tcPr>
            <w:tcW w:type="dxa" w:w="2053"/>
            <w:shd w:val="clear" w:color="auto" w:fill="DCE9F5"/>
          </w:tcPr>
          <w:p>
            <w:pPr>
              <w:pStyle w:val="CellText"/>
            </w:pPr>
            <w:r>
              <w:rPr>
                <w:b/>
              </w:rPr>
            </w:r>
          </w:p>
        </w:tc>
        <w:tc>
          <w:tcPr>
            <w:tcW w:type="dxa" w:w="4106"/>
          </w:tcPr>
          <w:p>
            <w:pPr>
              <w:pStyle w:val="CellText"/>
            </w:pPr>
            <w:r>
              <w:rPr>
                <w:b w:val="0"/>
              </w:rPr>
              <w:t>Respect des locaux et du matériel du service</w:t>
            </w:r>
          </w:p>
        </w:tc>
        <w:tc>
          <w:tcPr>
            <w:tcW w:type="dxa" w:w="1140"/>
          </w:tcPr>
          <w:p>
            <w:pPr>
              <w:pStyle w:val="CellText"/>
              <w:jc w:val="center"/>
            </w:pPr>
            <w:r>
              <w:rPr>
                <w:b w:val="0"/>
              </w:rPr>
              <w:t>0</w:t>
            </w:r>
          </w:p>
        </w:tc>
        <w:tc>
          <w:tcPr>
            <w:tcW w:type="dxa" w:w="1197"/>
          </w:tcPr>
          <w:p>
            <w:pPr>
              <w:pStyle w:val="CellText"/>
              <w:jc w:val="center"/>
            </w:pPr>
            <w:r>
              <w:rPr>
                <w:b w:val="0"/>
              </w:rPr>
              <w:t>1</w:t>
            </w:r>
          </w:p>
        </w:tc>
        <w:tc>
          <w:tcPr>
            <w:tcW w:type="dxa" w:w="1140"/>
          </w:tcPr>
          <w:p>
            <w:pPr>
              <w:pStyle w:val="CellText"/>
              <w:jc w:val="center"/>
            </w:pPr>
            <w:r>
              <w:rPr>
                <w:b w:val="0"/>
              </w:rPr>
              <w:t>2</w:t>
            </w:r>
          </w:p>
        </w:tc>
      </w:tr>
      <w:tr>
        <w:trPr>
          <w:cantSplit/>
        </w:trPr>
        <w:tc>
          <w:tcPr>
            <w:tcW w:type="dxa" w:w="2053"/>
            <w:shd w:val="clear" w:color="auto" w:fill="DCE9F5"/>
          </w:tcPr>
          <w:p>
            <w:pPr>
              <w:pStyle w:val="CellText"/>
            </w:pPr>
            <w:r>
              <w:rPr>
                <w:b/>
              </w:rPr>
            </w:r>
          </w:p>
        </w:tc>
        <w:tc>
          <w:tcPr>
            <w:tcW w:type="dxa" w:w="4106"/>
          </w:tcPr>
          <w:p>
            <w:pPr>
              <w:pStyle w:val="CellText"/>
            </w:pPr>
            <w:r>
              <w:rPr>
                <w:b w:val="0"/>
              </w:rPr>
              <w:t>Sens de responsabilité</w:t>
            </w:r>
          </w:p>
        </w:tc>
        <w:tc>
          <w:tcPr>
            <w:tcW w:type="dxa" w:w="1140"/>
          </w:tcPr>
          <w:p>
            <w:pPr>
              <w:pStyle w:val="CellText"/>
              <w:jc w:val="center"/>
            </w:pPr>
            <w:r>
              <w:rPr>
                <w:b w:val="0"/>
              </w:rPr>
              <w:t>0</w:t>
            </w:r>
          </w:p>
        </w:tc>
        <w:tc>
          <w:tcPr>
            <w:tcW w:type="dxa" w:w="1197"/>
          </w:tcPr>
          <w:p>
            <w:pPr>
              <w:pStyle w:val="CellText"/>
              <w:jc w:val="center"/>
            </w:pPr>
            <w:r>
              <w:rPr>
                <w:b w:val="0"/>
              </w:rPr>
              <w:t>1</w:t>
            </w:r>
          </w:p>
        </w:tc>
        <w:tc>
          <w:tcPr>
            <w:tcW w:type="dxa" w:w="1140"/>
          </w:tcPr>
          <w:p>
            <w:pPr>
              <w:pStyle w:val="CellText"/>
              <w:jc w:val="center"/>
            </w:pPr>
            <w:r>
              <w:rPr>
                <w:b w:val="0"/>
              </w:rPr>
              <w:t>2</w:t>
            </w:r>
          </w:p>
        </w:tc>
      </w:tr>
      <w:tr>
        <w:trPr>
          <w:cantSplit/>
        </w:trPr>
        <w:tc>
          <w:tcPr>
            <w:tcW w:type="dxa" w:w="2053"/>
            <w:shd w:val="clear" w:color="auto" w:fill="DCE9F5"/>
          </w:tcPr>
          <w:p>
            <w:pPr>
              <w:pStyle w:val="CellText"/>
            </w:pPr>
            <w:r>
              <w:rPr>
                <w:b/>
              </w:rPr>
              <w:t>Relation avec les patients</w:t>
            </w:r>
          </w:p>
        </w:tc>
        <w:tc>
          <w:tcPr>
            <w:tcW w:type="dxa" w:w="4106"/>
          </w:tcPr>
          <w:p>
            <w:pPr>
              <w:pStyle w:val="CellText"/>
            </w:pPr>
            <w:r>
              <w:rPr>
                <w:b w:val="0"/>
              </w:rPr>
              <w:t>Attitude respectueuse et empathique envers les patients</w:t>
            </w:r>
          </w:p>
        </w:tc>
        <w:tc>
          <w:tcPr>
            <w:tcW w:type="dxa" w:w="1140"/>
          </w:tcPr>
          <w:p>
            <w:pPr>
              <w:pStyle w:val="CellText"/>
              <w:jc w:val="center"/>
            </w:pPr>
            <w:r>
              <w:rPr>
                <w:b w:val="0"/>
              </w:rPr>
              <w:t>0</w:t>
            </w:r>
          </w:p>
        </w:tc>
        <w:tc>
          <w:tcPr>
            <w:tcW w:type="dxa" w:w="1197"/>
          </w:tcPr>
          <w:p>
            <w:pPr>
              <w:pStyle w:val="CellText"/>
              <w:jc w:val="center"/>
            </w:pPr>
            <w:r>
              <w:rPr>
                <w:b w:val="0"/>
              </w:rPr>
              <w:t>1</w:t>
            </w:r>
          </w:p>
        </w:tc>
        <w:tc>
          <w:tcPr>
            <w:tcW w:type="dxa" w:w="1140"/>
          </w:tcPr>
          <w:p>
            <w:pPr>
              <w:pStyle w:val="CellText"/>
              <w:jc w:val="center"/>
            </w:pPr>
            <w:r>
              <w:rPr>
                <w:b w:val="0"/>
              </w:rPr>
              <w:t>2</w:t>
            </w:r>
          </w:p>
        </w:tc>
      </w:tr>
      <w:tr>
        <w:trPr>
          <w:cantSplit/>
        </w:trPr>
        <w:tc>
          <w:tcPr>
            <w:tcW w:type="dxa" w:w="2053"/>
            <w:shd w:val="clear" w:color="auto" w:fill="DCE9F5"/>
          </w:tcPr>
          <w:p>
            <w:pPr>
              <w:pStyle w:val="CellText"/>
            </w:pPr>
            <w:r>
              <w:rPr>
                <w:b/>
              </w:rPr>
            </w:r>
          </w:p>
        </w:tc>
        <w:tc>
          <w:tcPr>
            <w:tcW w:type="dxa" w:w="4106"/>
          </w:tcPr>
          <w:p>
            <w:pPr>
              <w:pStyle w:val="CellText"/>
            </w:pPr>
            <w:r>
              <w:rPr>
                <w:b w:val="0"/>
              </w:rPr>
              <w:t>Respect des règles dans l’annonce des diagnostics</w:t>
            </w:r>
          </w:p>
        </w:tc>
        <w:tc>
          <w:tcPr>
            <w:tcW w:type="dxa" w:w="1140"/>
          </w:tcPr>
          <w:p>
            <w:pPr>
              <w:pStyle w:val="CellText"/>
              <w:jc w:val="center"/>
            </w:pPr>
            <w:r>
              <w:rPr>
                <w:b w:val="0"/>
              </w:rPr>
              <w:t>0</w:t>
            </w:r>
          </w:p>
        </w:tc>
        <w:tc>
          <w:tcPr>
            <w:tcW w:type="dxa" w:w="1197"/>
          </w:tcPr>
          <w:p>
            <w:pPr>
              <w:pStyle w:val="CellText"/>
              <w:jc w:val="center"/>
            </w:pPr>
            <w:r>
              <w:rPr>
                <w:b w:val="0"/>
              </w:rPr>
              <w:t>1</w:t>
            </w:r>
          </w:p>
        </w:tc>
        <w:tc>
          <w:tcPr>
            <w:tcW w:type="dxa" w:w="1140"/>
          </w:tcPr>
          <w:p>
            <w:pPr>
              <w:pStyle w:val="CellText"/>
              <w:jc w:val="center"/>
            </w:pPr>
            <w:r>
              <w:rPr>
                <w:b w:val="0"/>
              </w:rPr>
              <w:t>2</w:t>
            </w:r>
          </w:p>
        </w:tc>
      </w:tr>
      <w:tr>
        <w:trPr>
          <w:cantSplit/>
        </w:trPr>
        <w:tc>
          <w:tcPr>
            <w:tcW w:type="dxa" w:w="2053"/>
            <w:shd w:val="clear" w:color="auto" w:fill="DCE9F5"/>
          </w:tcPr>
          <w:p>
            <w:pPr>
              <w:pStyle w:val="CellText"/>
            </w:pPr>
            <w:r>
              <w:rPr>
                <w:b/>
              </w:rPr>
            </w:r>
          </w:p>
        </w:tc>
        <w:tc>
          <w:tcPr>
            <w:tcW w:type="dxa" w:w="4106"/>
          </w:tcPr>
          <w:p>
            <w:pPr>
              <w:pStyle w:val="CellText"/>
            </w:pPr>
            <w:r>
              <w:rPr>
                <w:b w:val="0"/>
              </w:rPr>
              <w:t>Habileté à informer les patients concernant leur état et les actes qu’ils vont subir</w:t>
            </w:r>
          </w:p>
        </w:tc>
        <w:tc>
          <w:tcPr>
            <w:tcW w:type="dxa" w:w="1140"/>
          </w:tcPr>
          <w:p>
            <w:pPr>
              <w:pStyle w:val="CellText"/>
              <w:jc w:val="center"/>
            </w:pPr>
            <w:r>
              <w:rPr>
                <w:b w:val="0"/>
              </w:rPr>
              <w:t>—</w:t>
            </w:r>
          </w:p>
        </w:tc>
        <w:tc>
          <w:tcPr>
            <w:tcW w:type="dxa" w:w="1197"/>
          </w:tcPr>
          <w:p>
            <w:pPr>
              <w:pStyle w:val="CellText"/>
              <w:jc w:val="center"/>
            </w:pPr>
            <w:r>
              <w:rPr>
                <w:b w:val="0"/>
              </w:rPr>
              <w:t>—</w:t>
            </w:r>
          </w:p>
        </w:tc>
        <w:tc>
          <w:tcPr>
            <w:tcW w:type="dxa" w:w="1140"/>
          </w:tcPr>
          <w:p>
            <w:pPr>
              <w:pStyle w:val="CellText"/>
              <w:jc w:val="center"/>
            </w:pPr>
            <w:r>
              <w:rPr>
                <w:b w:val="0"/>
              </w:rPr>
              <w:t>—</w:t>
            </w:r>
          </w:p>
        </w:tc>
      </w:tr>
    </w:tbl>
    <w:p>
      <w:pPr>
        <w:spacing w:after="40"/>
      </w:pPr>
    </w:p>
    <w:p>
      <w:pPr>
        <w:pStyle w:val="Heading4"/>
      </w:pPr>
      <w:r>
        <w:t>4. Notation des activités dans le stage : 40 points</w:t>
      </w:r>
    </w:p>
    <w:p>
      <w:r>
        <w:rPr>
          <w:b w:val="0"/>
          <w:i w:val="0"/>
        </w:rPr>
        <w:t>L’évaluation sanctionnelle au cours du stage se fait en tenant compte des objectifs du carnet de stage. L’attribution des notes se répartit selon le tableau suivant :</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6" w:type="dxa"/>
        <w:tblLayout w:type="fixed"/>
      </w:tblPr>
      <w:tblGrid>
        <w:gridCol w:w="2040"/>
        <w:gridCol w:w="6576"/>
        <w:gridCol w:w="1020"/>
      </w:tblGrid>
      <w:tr>
        <w:trPr>
          <w:tblHeader/>
        </w:trPr>
        <w:tc>
          <w:tcPr>
            <w:tcW w:type="dxa" w:w="2040"/>
            <w:shd w:val="clear" w:color="auto" w:fill="1F4E79"/>
          </w:tcPr>
          <w:p>
            <w:pPr>
              <w:pStyle w:val="CellText"/>
            </w:pPr>
            <w:r>
              <w:rPr>
                <w:b/>
                <w:color w:val="FFFFFF"/>
              </w:rPr>
              <w:t>Rubrique</w:t>
            </w:r>
          </w:p>
        </w:tc>
        <w:tc>
          <w:tcPr>
            <w:tcW w:type="dxa" w:w="6576"/>
            <w:shd w:val="clear" w:color="auto" w:fill="1F4E79"/>
          </w:tcPr>
          <w:p>
            <w:pPr>
              <w:pStyle w:val="CellText"/>
            </w:pPr>
            <w:r>
              <w:rPr>
                <w:b/>
                <w:color w:val="FFFFFF"/>
              </w:rPr>
              <w:t>Détail</w:t>
            </w:r>
          </w:p>
        </w:tc>
        <w:tc>
          <w:tcPr>
            <w:tcW w:type="dxa" w:w="1020"/>
            <w:shd w:val="clear" w:color="auto" w:fill="1F4E79"/>
          </w:tcPr>
          <w:p>
            <w:pPr>
              <w:pStyle w:val="CellText"/>
            </w:pPr>
            <w:r>
              <w:rPr>
                <w:b/>
                <w:color w:val="FFFFFF"/>
              </w:rPr>
              <w:t>Points</w:t>
            </w:r>
          </w:p>
        </w:tc>
      </w:tr>
      <w:tr>
        <w:trPr>
          <w:cantSplit/>
        </w:trPr>
        <w:tc>
          <w:tcPr>
            <w:tcW w:type="dxa" w:w="2040"/>
            <w:shd w:val="clear" w:color="auto" w:fill="DCE9F5"/>
          </w:tcPr>
          <w:p>
            <w:pPr>
              <w:pStyle w:val="CellText"/>
            </w:pPr>
            <w:r>
              <w:rPr>
                <w:b/>
              </w:rPr>
              <w:t>Examen clinique et observations</w:t>
            </w:r>
          </w:p>
        </w:tc>
        <w:tc>
          <w:tcPr>
            <w:tcW w:type="dxa" w:w="6576"/>
          </w:tcPr>
          <w:p>
            <w:pPr>
              <w:pStyle w:val="CellText"/>
            </w:pPr>
            <w:r>
              <w:rPr>
                <w:b w:val="0"/>
              </w:rPr>
              <w:t>Examen clinique de patient et rédaction d’observation avec interprétation des examens complémentaires.</w:t>
            </w:r>
          </w:p>
          <w:p>
            <w:pPr>
              <w:pStyle w:val="CellText"/>
            </w:pPr>
            <w:r>
              <w:rPr>
                <w:b w:val="0"/>
              </w:rPr>
              <w:t>Observations par stage de … semaines.</w:t>
            </w:r>
          </w:p>
        </w:tc>
        <w:tc>
          <w:tcPr>
            <w:tcW w:type="dxa" w:w="1020"/>
          </w:tcPr>
          <w:p>
            <w:pPr>
              <w:pStyle w:val="CellText"/>
              <w:jc w:val="center"/>
            </w:pPr>
            <w:r>
              <w:rPr>
                <w:b w:val="0"/>
              </w:rPr>
              <w:t>10</w:t>
            </w:r>
          </w:p>
        </w:tc>
      </w:tr>
      <w:tr>
        <w:trPr>
          <w:cantSplit/>
        </w:trPr>
        <w:tc>
          <w:tcPr>
            <w:tcW w:type="dxa" w:w="2040"/>
            <w:shd w:val="clear" w:color="auto" w:fill="DCE9F5"/>
          </w:tcPr>
          <w:p>
            <w:pPr>
              <w:pStyle w:val="CellText"/>
            </w:pPr>
            <w:r>
              <w:rPr>
                <w:b/>
              </w:rPr>
              <w:t>Soins et gestes</w:t>
            </w:r>
          </w:p>
        </w:tc>
        <w:tc>
          <w:tcPr>
            <w:tcW w:type="dxa" w:w="6576"/>
          </w:tcPr>
          <w:p>
            <w:pPr>
              <w:pStyle w:val="CellText"/>
            </w:pPr>
            <w:r>
              <w:rPr>
                <w:b w:val="0"/>
              </w:rPr>
              <w:t>Soins et gestes (à évaluer sur le carnet de stage) :</w:t>
            </w:r>
          </w:p>
          <w:p>
            <w:pPr>
              <w:pStyle w:val="CellText"/>
            </w:pPr>
            <w:r>
              <w:rPr>
                <w:b w:val="0"/>
              </w:rPr>
              <w:t>0 point : non acquis · 1 point : en cours d’acquisition · 2 points : acquis.</w:t>
            </w:r>
          </w:p>
          <w:p>
            <w:pPr>
              <w:pStyle w:val="CellText"/>
            </w:pPr>
            <w:r>
              <w:rPr>
                <w:b w:val="0"/>
              </w:rPr>
              <w:t>Le total des points sera converti sur dix points (règle de trois tenant compte du total des points maximum pour chaque spécialité : total des points obtenus × 10).</w:t>
            </w:r>
          </w:p>
        </w:tc>
        <w:tc>
          <w:tcPr>
            <w:tcW w:type="dxa" w:w="1020"/>
          </w:tcPr>
          <w:p>
            <w:pPr>
              <w:pStyle w:val="CellText"/>
              <w:jc w:val="center"/>
            </w:pPr>
            <w:r>
              <w:rPr>
                <w:b w:val="0"/>
              </w:rPr>
              <w:t>10</w:t>
            </w:r>
          </w:p>
        </w:tc>
      </w:tr>
      <w:tr>
        <w:trPr>
          <w:cantSplit/>
        </w:trPr>
        <w:tc>
          <w:tcPr>
            <w:tcW w:type="dxa" w:w="2040"/>
            <w:shd w:val="clear" w:color="auto" w:fill="DCE9F5"/>
          </w:tcPr>
          <w:p>
            <w:pPr>
              <w:pStyle w:val="CellText"/>
            </w:pPr>
            <w:r>
              <w:rPr>
                <w:b/>
              </w:rPr>
              <w:t>Résumés d’observation</w:t>
            </w:r>
          </w:p>
        </w:tc>
        <w:tc>
          <w:tcPr>
            <w:tcW w:type="dxa" w:w="6576"/>
          </w:tcPr>
          <w:p>
            <w:pPr>
              <w:pStyle w:val="CellText"/>
            </w:pPr>
            <w:r>
              <w:rPr>
                <w:b w:val="0"/>
              </w:rPr>
              <w:t>Élaboration par chaque étudiant d’un ou deux résumés structurés d’observation à partir d’un dossier complet de patient les derniers jours de stage.</w:t>
            </w:r>
          </w:p>
          <w:p>
            <w:pPr>
              <w:pStyle w:val="CellText"/>
            </w:pPr>
            <w:r>
              <w:rPr>
                <w:b w:val="0"/>
              </w:rPr>
              <w:t>Le dossier est choisi par l’encadreur selon la liste des pathologies courantes et urgentes présente dans le carnet de stage.</w:t>
            </w:r>
          </w:p>
        </w:tc>
        <w:tc>
          <w:tcPr>
            <w:tcW w:type="dxa" w:w="1020"/>
          </w:tcPr>
          <w:p>
            <w:pPr>
              <w:pStyle w:val="CellText"/>
              <w:jc w:val="center"/>
            </w:pPr>
            <w:r>
              <w:rPr>
                <w:b w:val="0"/>
              </w:rPr>
              <w:t>10</w:t>
            </w:r>
          </w:p>
        </w:tc>
      </w:tr>
      <w:tr>
        <w:trPr>
          <w:cantSplit/>
        </w:trPr>
        <w:tc>
          <w:tcPr>
            <w:tcW w:type="dxa" w:w="2040"/>
            <w:shd w:val="clear" w:color="auto" w:fill="DCE9F5"/>
          </w:tcPr>
          <w:p>
            <w:pPr>
              <w:pStyle w:val="CellText"/>
            </w:pPr>
            <w:r>
              <w:rPr>
                <w:b/>
              </w:rPr>
              <w:t>Validation des gardes</w:t>
            </w:r>
          </w:p>
        </w:tc>
        <w:tc>
          <w:tcPr>
            <w:tcW w:type="dxa" w:w="6576"/>
          </w:tcPr>
          <w:p>
            <w:pPr>
              <w:pStyle w:val="CellText"/>
            </w:pPr>
            <w:r>
              <w:rPr>
                <w:b w:val="0"/>
              </w:rPr>
              <w:t>Compte-rendu de garde (rapport de chaque garde transmis au responsable de stage).</w:t>
            </w:r>
          </w:p>
          <w:p>
            <w:pPr>
              <w:pStyle w:val="CellText"/>
            </w:pPr>
            <w:r>
              <w:rPr>
                <w:b w:val="0"/>
              </w:rPr>
              <w:t>Nombre de gardes à préciser par spécialité.</w:t>
            </w:r>
          </w:p>
        </w:tc>
        <w:tc>
          <w:tcPr>
            <w:tcW w:type="dxa" w:w="1020"/>
          </w:tcPr>
          <w:p>
            <w:pPr>
              <w:pStyle w:val="CellText"/>
              <w:jc w:val="center"/>
            </w:pPr>
            <w:r>
              <w:rPr>
                <w:b w:val="0"/>
              </w:rPr>
              <w:t>10</w:t>
            </w:r>
          </w:p>
        </w:tc>
      </w:tr>
    </w:tbl>
    <w:p>
      <w:pPr>
        <w:spacing w:after="40"/>
      </w:pPr>
    </w:p>
    <w:p>
      <w:pPr>
        <w:pStyle w:val="Heading3"/>
      </w:pPr>
      <w:r>
        <w:t>c — L’évaluation de la fin du stage</w:t>
      </w:r>
    </w:p>
    <w:p>
      <w:r>
        <w:rPr>
          <w:b w:val="0"/>
          <w:i w:val="0"/>
        </w:rPr>
        <w:t>… comme objectif l’utilisation du système d’ECOS.</w:t>
      </w:r>
    </w:p>
    <w:p>
      <w:r>
        <w:rPr>
          <w:b w:val="0"/>
          <w:i w:val="0"/>
        </w:rPr>
        <w:t>La mise en place du système d’ECOS est attribuée à une sous-commission dédiée.</w:t>
      </w:r>
    </w:p>
    <w:p>
      <w:pPr>
        <w:pStyle w:val="Heading2"/>
      </w:pPr>
      <w:r>
        <w:t>C. L’importance du stage hospitalier</w:t>
      </w:r>
    </w:p>
    <w:p>
      <w:r>
        <w:rPr>
          <w:b w:val="0"/>
          <w:i w:val="0"/>
        </w:rPr>
        <w:t>Les stages sont pris en considération pour le passage d’une année à l’autre : Vu l’importance des stages hospitaliers dans la formation médicale de l’étudiant, le décret de réforme des études médicales de 1983 a prévu cette clause pour inciter les étudiants à ne pas favoriser les connaissances théoriques par rapport à la formation pratique.</w:t>
      </w:r>
    </w:p>
    <w:p>
      <w:pPr>
        <w:pStyle w:val="Heading1"/>
      </w:pPr>
      <w:r>
        <w:t>VII — Les objectifs des stages hospitaliers</w:t>
      </w:r>
    </w:p>
    <w:p>
      <w:r>
        <w:rPr>
          <w:b w:val="0"/>
          <w:i/>
        </w:rPr>
        <w:t>Pour chaque stage, le tableau d’objectifs est destiné à être complété dans le carnet de stage : les colonnes « Date » et « Validation » sont à renseigner par l’étudiant et son encadrant.</w:t>
      </w:r>
    </w:p>
    <w:p>
      <w:pPr>
        <w:pStyle w:val="Heading2"/>
      </w:pPr>
      <w:r>
        <w:t>A. Les objectifs des stages hospitaliers de la fin de la 1ère et la 2ème année</w:t>
      </w:r>
    </w:p>
    <w:p>
      <w:pPr>
        <w:pStyle w:val="Heading3"/>
      </w:pPr>
      <w:r>
        <w:t>Stage D’immersion dans les structures de soin 1ère année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Connaitre l’organisation de soin d’une structure santé</w:t>
            </w:r>
          </w:p>
          <w:p>
            <w:pPr>
              <w:pStyle w:val="CellText"/>
            </w:pPr>
            <w:r>
              <w:rPr>
                <w:b w:val="0"/>
              </w:rPr>
              <w:t>Connaitre la responsabilité du médecin envers de le patient</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Connaitre les circuits et les modalités de prise en charge d’un patient</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Se mettre en contact avec le patient: depuis son admission jusqu’à sa sortie de la structure hospitalière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Expérimenter la relation patient-médecin</w:t>
            </w:r>
          </w:p>
          <w:p>
            <w:pPr>
              <w:pStyle w:val="CellText"/>
            </w:pPr>
            <w:r>
              <w:rPr>
                <w:b w:val="0"/>
              </w:rPr>
              <w:t>Etre sensibilisé au vécu du patient et du médecin</w:t>
            </w:r>
          </w:p>
          <w:p>
            <w:pPr>
              <w:pStyle w:val="CellText"/>
            </w:pPr>
            <w:r>
              <w:rPr>
                <w:b w:val="0"/>
              </w:rPr>
              <w:t>S’initier au travail interdisciplinaire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Aider l’étudiant à réfléchir sur le professionnalisme médical et à soutenir sa motivation pour les études médicales</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Assister aux différentes activités du service.</w:t>
            </w:r>
          </w:p>
        </w:tc>
        <w:tc>
          <w:tcPr>
            <w:tcW w:type="dxa" w:w="1474"/>
            <w:shd w:val="clear" w:color="auto" w:fill="F7F9FB"/>
          </w:tcPr>
          <w:p>
            <w:pPr>
              <w:pStyle w:val="CellText"/>
            </w:pPr>
          </w:p>
        </w:tc>
        <w:tc>
          <w:tcPr>
            <w:tcW w:type="dxa" w:w="1814"/>
            <w:shd w:val="clear" w:color="auto" w:fill="F7F9FB"/>
          </w:tcPr>
          <w:p>
            <w:pPr>
              <w:pStyle w:val="CellText"/>
            </w:pPr>
          </w:p>
        </w:tc>
      </w:tr>
    </w:tbl>
    <w:p>
      <w:pPr>
        <w:spacing w:after="40"/>
      </w:pPr>
    </w:p>
    <w:p>
      <w:pPr>
        <w:pStyle w:val="Heading3"/>
      </w:pPr>
      <w:r>
        <w:t>Stage de médecine sociale — 2ème année</w:t>
      </w:r>
    </w:p>
    <w:p>
      <w:r>
        <w:rPr>
          <w:b w:val="0"/>
          <w:i w:val="0"/>
        </w:rPr>
        <w:t>Dans le cadre de réforme médical, le stage de médecine sociale destiné pour les étudiants de 2ème année de médecine, est en cours de validation par la commission pédagogique.</w:t>
      </w:r>
    </w:p>
    <w:p>
      <w:r>
        <w:rPr>
          <w:b w:val="0"/>
          <w:i w:val="0"/>
        </w:rPr>
        <w:t>Ces objectifs seront élaborés et appliqués durant l’année universitaire 2017-2018.</w:t>
      </w:r>
    </w:p>
    <w:p>
      <w:pPr>
        <w:pStyle w:val="Heading2"/>
      </w:pPr>
      <w:r>
        <w:t>B. Les objectifs de stage de sémiologie soins infirmiers</w:t>
      </w:r>
    </w:p>
    <w:p>
      <w:pPr>
        <w:pStyle w:val="Heading3"/>
      </w:pPr>
      <w:r>
        <w:t>Stage de sémiologie et des soins infirmiers</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1814"/>
            <w:gridSpan w:val="3"/>
            <w:shd w:val="clear" w:color="auto" w:fill="DCE9F5"/>
          </w:tcPr>
          <w:p>
            <w:pPr>
              <w:pStyle w:val="CellText"/>
              <w:keepNext/>
            </w:pPr>
            <w:r>
              <w:rPr>
                <w:b/>
                <w:color w:val="1F4E79"/>
              </w:rPr>
              <w:t>Sémiologie</w:t>
            </w:r>
          </w:p>
        </w:tc>
      </w:tr>
      <w:tr>
        <w:trPr>
          <w:cantSplit/>
          <w:trHeight w:val="425"/>
        </w:trPr>
        <w:tc>
          <w:tcPr>
            <w:tcW w:type="dxa" w:w="6349"/>
          </w:tcPr>
          <w:p>
            <w:pPr>
              <w:pStyle w:val="CellText"/>
            </w:pPr>
            <w:r>
              <w:rPr>
                <w:b w:val="0"/>
              </w:rPr>
              <w:t>Pratiquer un examen cardiaque chez un adulte normal</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Pratiquer un examen vasculaire chez un adulte normal</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Pratiquer un examen pleuro-pulmonaire chez un adulte norma</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Pratiquer un examen abdomino-pelvien chez un adulte norma</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Effectuer un examen programmé d’une articulation périphérique.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EËfectuer un examen programmé du rachis chez un adulte.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Pratiquer un examen neurologique chez un patient normal</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Pratiquer l’examen des aires ganglionnaires chez un adulte normale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Pratiquer un examen cutanéomuqueux</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Mener un interrogatoire orienté en fonction du motif de consultation chez un adulte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Rédiger une observation clinique</w:t>
            </w:r>
          </w:p>
        </w:tc>
        <w:tc>
          <w:tcPr>
            <w:tcW w:type="dxa" w:w="1474"/>
          </w:tcPr>
          <w:p>
            <w:pPr>
              <w:pStyle w:val="CellText"/>
            </w:pPr>
          </w:p>
        </w:tc>
        <w:tc>
          <w:tcPr>
            <w:tcW w:type="dxa" w:w="1814"/>
          </w:tcPr>
          <w:p>
            <w:pPr>
              <w:pStyle w:val="CellText"/>
            </w:pPr>
          </w:p>
        </w:tc>
      </w:tr>
      <w:tr>
        <w:trPr>
          <w:cantSplit/>
          <w:trHeight w:val="425"/>
        </w:trPr>
        <w:tc>
          <w:tcPr>
            <w:tcW w:type="dxa" w:w="1814"/>
            <w:gridSpan w:val="3"/>
            <w:shd w:val="clear" w:color="auto" w:fill="DCE9F5"/>
          </w:tcPr>
          <w:p>
            <w:pPr>
              <w:pStyle w:val="CellText"/>
              <w:keepNext/>
            </w:pPr>
            <w:r>
              <w:rPr>
                <w:b/>
                <w:color w:val="1F4E79"/>
              </w:rPr>
              <w:t>Soins infirmiers</w:t>
            </w:r>
          </w:p>
        </w:tc>
      </w:tr>
      <w:tr>
        <w:trPr>
          <w:cantSplit/>
          <w:trHeight w:val="425"/>
        </w:trPr>
        <w:tc>
          <w:tcPr>
            <w:tcW w:type="dxa" w:w="6349"/>
          </w:tcPr>
          <w:p>
            <w:pPr>
              <w:pStyle w:val="CellText"/>
            </w:pPr>
            <w:r>
              <w:rPr>
                <w:b w:val="0"/>
              </w:rPr>
              <w:t>Effectuer un abord veineux périphérique pour prélèvement sanguin et perfusion intraveineuse.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Prendre les constantes chez un patient adulte (pouls, fréquence respiratoire, pression artérielle, température)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Pratiquer/ simuler une injection intramusculaire et/ou sous cutanée et/ou intradermique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Faire un pansement chez un patient adulte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Réaliser un prélèvement des urines pour ECBU</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Faire et interpréter des examens aux bandelettes réactives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Tenir une feuille de température ou une fiche de surveillance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Placer ou simuler la mise en place d’une sonde gastrique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Placer ou simuler la mise en place en place d’une sonde urinaire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Faire du nursing à un patient adulte hospitalisé</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Surveiller une transfusion sanguine</w:t>
            </w:r>
          </w:p>
        </w:tc>
        <w:tc>
          <w:tcPr>
            <w:tcW w:type="dxa" w:w="1474"/>
          </w:tcPr>
          <w:p>
            <w:pPr>
              <w:pStyle w:val="CellText"/>
            </w:pPr>
          </w:p>
        </w:tc>
        <w:tc>
          <w:tcPr>
            <w:tcW w:type="dxa" w:w="1814"/>
          </w:tcPr>
          <w:p>
            <w:pPr>
              <w:pStyle w:val="CellText"/>
            </w:pPr>
          </w:p>
        </w:tc>
      </w:tr>
    </w:tbl>
    <w:p>
      <w:pPr>
        <w:spacing w:after="40"/>
      </w:pPr>
    </w:p>
    <w:p>
      <w:pPr>
        <w:pStyle w:val="Heading2"/>
      </w:pPr>
      <w:r>
        <w:t>C. Les objectifs de stage fondamental en Médecine et Chirurgie</w:t>
      </w:r>
    </w:p>
    <w:p>
      <w:pPr>
        <w:pStyle w:val="Heading3"/>
      </w:pPr>
      <w:r>
        <w:t>Stage fondamental de médecine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1814"/>
            <w:gridSpan w:val="3"/>
            <w:shd w:val="clear" w:color="auto" w:fill="DCE9F5"/>
          </w:tcPr>
          <w:p>
            <w:pPr>
              <w:pStyle w:val="CellText"/>
              <w:keepNext/>
            </w:pPr>
            <w:r>
              <w:rPr>
                <w:b/>
                <w:color w:val="1F4E79"/>
              </w:rPr>
              <w:t>Démarches diagnostiques : ARC</w:t>
            </w:r>
          </w:p>
        </w:tc>
      </w:tr>
      <w:tr>
        <w:trPr>
          <w:cantSplit/>
          <w:trHeight w:val="425"/>
        </w:trPr>
        <w:tc>
          <w:tcPr>
            <w:tcW w:type="dxa" w:w="6349"/>
          </w:tcPr>
          <w:p>
            <w:pPr>
              <w:pStyle w:val="CellText"/>
            </w:pPr>
            <w:r>
              <w:rPr>
                <w:b w:val="0"/>
              </w:rPr>
              <w:t>Démarche diagnostique devant une dyspnée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Démarche diagnostique devant une douleur thoracique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Démarche diagnostique devant des hémoptysies</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Démarche diagnostique devant un syndrome oedémato- ascitique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Démarche diagnostique devant des arthrites/arthralgies</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Démarche diagnostique devant une hémorragie digestive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Démarche diagnostique devant une hépatomégalie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Démarche diagnostique devant une diarrhée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Démarche diagnostique devant un déficit moteur</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Démarche diagnostique devant des céphalées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Démarche diagnostique devant un syndrome méningé</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Interpréter une radiographie thoracique de face d’une adulte normal</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Interpréter une numération formule sanguine d’un sujet normal</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Interpréter les résultats cytobactériologiques et chimiques d’un liquide céphalo-rachidien</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Interpréter l’hémogramme d’un patient anémique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Interpréter l’hémogramme d’un patient présentant un syndrome infectieux</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Interpréter la fonction rénale d’un patient présentant une insuffisance rénale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Interpréter un examen cytobactériologique des urines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Interpréter le bilan hépatique d’un patient présentant une cytolyse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Interpréter le bilan hépatique d’un patient présentant une cholestase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Etablir la démarche devant un accident d’exposition aux sangs</w:t>
            </w:r>
          </w:p>
        </w:tc>
        <w:tc>
          <w:tcPr>
            <w:tcW w:type="dxa" w:w="1474"/>
          </w:tcPr>
          <w:p>
            <w:pPr>
              <w:pStyle w:val="CellText"/>
            </w:pPr>
          </w:p>
        </w:tc>
        <w:tc>
          <w:tcPr>
            <w:tcW w:type="dxa" w:w="1814"/>
          </w:tcPr>
          <w:p>
            <w:pPr>
              <w:pStyle w:val="CellText"/>
            </w:pPr>
          </w:p>
        </w:tc>
      </w:tr>
    </w:tbl>
    <w:p>
      <w:pPr>
        <w:spacing w:after="40"/>
      </w:pPr>
    </w:p>
    <w:p>
      <w:pPr>
        <w:pStyle w:val="Heading3"/>
      </w:pPr>
      <w:r>
        <w:t>Stage fondamental de chirurgie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Rechercher une hépatomégalie, une splénomégalie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Identifier cliniquement une grosse vésicule biliaire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un clapotage à jeun.</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Reconnaitre un empattement abdominal</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une contracture abdominale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Identifier une masse abdominale et préciser ces caractères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Identifier un météorisme abdominal</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Palper un globe vésical</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Identifier et préciser les caractères d’une hernie inguinale, crurale, de la ligne blanche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Reconnaître une éventration</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Identifier une collection liquidienne des parties molles</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Identifier un panaris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Identifier une gangrène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Identifier un comblement et /ou une sensibilité du cul de sac de Douglas.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Rechercher une complication vasculo-nerveux d’un membre traumatisé</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Evaluer le score de Glasgow chez un patient ayant des troubles de conscience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les signes cliniques d’une hypertension intracrâanienne chez un patient céphalalgique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Apprécier au toucher rectal le volume et les caractéristiques de la prostate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Apprécier les pouls périphériques</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Reconnaître et situer les varices des membres inférieurs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Examiner le corps thyroïde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Faire une démarche diagnostique devant une masse abdominale,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Faire une démarche diagnostique devant une hémorragie digestive.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Réaliser l’incision et le drainage d’un abcès chaud superficiel des parties molles.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Pratiquer une anesthésie locale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Faire des points de sutures cutanés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Faire un lavage chirurgical des mains</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Porter correctement une casaque et des gants stériles</w:t>
            </w:r>
          </w:p>
        </w:tc>
        <w:tc>
          <w:tcPr>
            <w:tcW w:type="dxa" w:w="1474"/>
            <w:shd w:val="clear" w:color="auto" w:fill="F7F9FB"/>
          </w:tcPr>
          <w:p>
            <w:pPr>
              <w:pStyle w:val="CellText"/>
            </w:pPr>
          </w:p>
        </w:tc>
        <w:tc>
          <w:tcPr>
            <w:tcW w:type="dxa" w:w="1814"/>
            <w:shd w:val="clear" w:color="auto" w:fill="F7F9FB"/>
          </w:tcPr>
          <w:p>
            <w:pPr>
              <w:pStyle w:val="CellText"/>
            </w:pPr>
          </w:p>
        </w:tc>
      </w:tr>
    </w:tbl>
    <w:p>
      <w:pPr>
        <w:spacing w:after="40"/>
      </w:pPr>
    </w:p>
    <w:p>
      <w:pPr>
        <w:pStyle w:val="Heading2"/>
      </w:pPr>
      <w:r>
        <w:t>D. Les objectifs spécifiques dans les services de Médecine</w:t>
      </w:r>
    </w:p>
    <w:p>
      <w:pPr>
        <w:pStyle w:val="Heading3"/>
      </w:pPr>
      <w:r>
        <w:t>Service de rhumatologie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Mener l’anamnèse chez un patient atteint d’une affection rhumatologique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Effectuer un examen programmé d’une articulation périphérique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Effectuer un examen programmé du rachis</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Reconnaitre une synovite au cours d’un rhumatisme inflammatoire chronique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les principales déformations articulaires</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Reconnaitre une raideur articulaire au cours d’un rhumatisme inflammatoire chronique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une raideur rachidienne chez un lombalgique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Identifier une scoliose chez un adulte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Rechercher un choc rotulien au niveau du genou</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Reconnaitre les déformations articulaires de la polyarthrite rhumatoïde a la phase d’état</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l’arthrose les signes radiologiques élémentaires de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Reconnaitre les signes radiologiques élémentaires de l’arthrite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Interpréter un examen d’ostéodensitométrie chez une patiente ostéoporotique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Assister à une ponction articulaire du genou</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Interpréter le bilan d’auto-immunité au cours d’une polyarthrite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Interpréter le bilan phosphocalcique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Interpréter un examen cytobactériologique du liquide articulaire au cours d’une mono-arthrite aigue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ARC : Prendre en charge une mono-arthrite aigue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ARC : Prendre en charge une polyarthrite aigue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ARC : Prendre en charge une lombosciatique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ARC : Prendre en charge une fracture vertébrale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ARC : Démarche diagnostique devant une douleur de l’épaule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ARC : Démarche diagnostique devant une douleur de la hanche</w:t>
            </w:r>
          </w:p>
        </w:tc>
        <w:tc>
          <w:tcPr>
            <w:tcW w:type="dxa" w:w="1474"/>
          </w:tcPr>
          <w:p>
            <w:pPr>
              <w:pStyle w:val="CellText"/>
            </w:pPr>
          </w:p>
        </w:tc>
        <w:tc>
          <w:tcPr>
            <w:tcW w:type="dxa" w:w="1814"/>
          </w:tcPr>
          <w:p>
            <w:pPr>
              <w:pStyle w:val="CellText"/>
            </w:pPr>
          </w:p>
        </w:tc>
      </w:tr>
    </w:tbl>
    <w:p>
      <w:pPr>
        <w:spacing w:after="40"/>
      </w:pPr>
    </w:p>
    <w:p>
      <w:pPr>
        <w:pStyle w:val="Heading3"/>
      </w:pPr>
      <w:r>
        <w:t>Service de cardiologie : 3ème année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Relever sur la base des données anamnestiques les facteurs du risqué cardio-vasculaire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Relever sur la base des données anamnestiques et physiques les signes d’hypertension artérielle systémique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Relever à partir de l’examen physique les signes périphériques de l’insuffisance cardiaque droite chez un patient se présentant pour des œdèmes des membres inferieurs</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Identifier les signes physiques de l’insuffisance cardiaque gauche chez un patient se présentant pour une dyspnée.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Surveiller cliniquement un patient hospitalisé pour une insuffisance cardiaque congestive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Surveiller cliniquement et électriquement un patient hospitalisé pour un infarctus du myocarde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Les souffles cardiaques</w:t>
            </w:r>
          </w:p>
        </w:tc>
        <w:tc>
          <w:tcPr>
            <w:tcW w:type="dxa" w:w="1474"/>
          </w:tcPr>
          <w:p>
            <w:pPr>
              <w:pStyle w:val="CellText"/>
            </w:pPr>
            <w:r>
              <w:rPr>
                <w:b w:val="0"/>
              </w:rPr>
              <w:t>Décrire les caractéristiques sthétacoustiques d’un souffle cardiaque retrouvé chez un patient porteur d’une insuffisance mitrale.</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Décrire les caractéristiques sthétacoustiques d’un roulement cardiaque retrouvé chez un patient Porteur d’un rétrécissement mitral.</w:t>
            </w:r>
          </w:p>
        </w:tc>
        <w:tc>
          <w:tcPr>
            <w:tcW w:type="dxa" w:w="1814"/>
            <w:shd w:val="clear" w:color="auto" w:fill="F7F9FB"/>
          </w:tcPr>
          <w:p>
            <w:pPr>
              <w:pStyle w:val="CellText"/>
            </w:pPr>
          </w:p>
        </w:tc>
      </w:tr>
      <w:tr>
        <w:trPr>
          <w:cantSplit/>
          <w:trHeight w:val="425"/>
        </w:trPr>
        <w:tc>
          <w:tcPr>
            <w:tcW w:type="dxa" w:w="6349"/>
          </w:tcPr>
          <w:p>
            <w:pPr>
              <w:pStyle w:val="CellText"/>
            </w:pPr>
          </w:p>
        </w:tc>
        <w:tc>
          <w:tcPr>
            <w:tcW w:type="dxa" w:w="1474"/>
          </w:tcPr>
          <w:p>
            <w:pPr>
              <w:pStyle w:val="CellText"/>
            </w:pPr>
            <w:r>
              <w:rPr>
                <w:b w:val="0"/>
              </w:rPr>
              <w:t>sthétacoustiques Décrire les caractéristiques d’un soufflé cardiaque retrouvé chez un patient porteur d’une insuffisance aortique.</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Décrire les caractéristiques sthétacoustiques d’un soufflé cardiaque retrouvé chez un patient porteur d’un rétrécissement aortique.</w:t>
            </w:r>
          </w:p>
        </w:tc>
        <w:tc>
          <w:tcPr>
            <w:tcW w:type="dxa" w:w="1814"/>
            <w:shd w:val="clear" w:color="auto" w:fill="F7F9FB"/>
          </w:tcPr>
          <w:p>
            <w:pPr>
              <w:pStyle w:val="CellText"/>
            </w:pPr>
          </w:p>
        </w:tc>
      </w:tr>
      <w:tr>
        <w:trPr>
          <w:cantSplit/>
          <w:trHeight w:val="425"/>
        </w:trPr>
        <w:tc>
          <w:tcPr>
            <w:tcW w:type="dxa" w:w="6349"/>
          </w:tcPr>
          <w:p>
            <w:pPr>
              <w:pStyle w:val="CellText"/>
            </w:pPr>
            <w:r>
              <w:rPr>
                <w:b w:val="0"/>
              </w:rPr>
              <w:t>ECG normal et pathologique</w:t>
            </w:r>
          </w:p>
        </w:tc>
        <w:tc>
          <w:tcPr>
            <w:tcW w:type="dxa" w:w="1474"/>
          </w:tcPr>
          <w:p>
            <w:pPr>
              <w:pStyle w:val="CellText"/>
            </w:pPr>
            <w:r>
              <w:rPr>
                <w:b w:val="0"/>
              </w:rPr>
              <w:t>Evoquer sur un tracé électrique un trouble de rythme/conduction.</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Vérifier un tracé électrique d’un patient adulte, le rythme cardiaque</w:t>
            </w:r>
          </w:p>
        </w:tc>
        <w:tc>
          <w:tcPr>
            <w:tcW w:type="dxa" w:w="1814"/>
            <w:shd w:val="clear" w:color="auto" w:fill="F7F9FB"/>
          </w:tcPr>
          <w:p>
            <w:pPr>
              <w:pStyle w:val="CellText"/>
            </w:pPr>
          </w:p>
        </w:tc>
      </w:tr>
      <w:tr>
        <w:trPr>
          <w:cantSplit/>
          <w:trHeight w:val="425"/>
        </w:trPr>
        <w:tc>
          <w:tcPr>
            <w:tcW w:type="dxa" w:w="6349"/>
          </w:tcPr>
          <w:p>
            <w:pPr>
              <w:pStyle w:val="CellText"/>
            </w:pPr>
          </w:p>
        </w:tc>
        <w:tc>
          <w:tcPr>
            <w:tcW w:type="dxa" w:w="1474"/>
          </w:tcPr>
          <w:p>
            <w:pPr>
              <w:pStyle w:val="CellText"/>
            </w:pPr>
            <w:r>
              <w:rPr>
                <w:b w:val="0"/>
              </w:rPr>
              <w:t>Calculer la fréquence cardiaque sur un ECG normal.</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Calculer l’axe du cœur sur un ECG normal.</w:t>
            </w:r>
          </w:p>
        </w:tc>
        <w:tc>
          <w:tcPr>
            <w:tcW w:type="dxa" w:w="1814"/>
            <w:shd w:val="clear" w:color="auto" w:fill="F7F9FB"/>
          </w:tcPr>
          <w:p>
            <w:pPr>
              <w:pStyle w:val="CellText"/>
            </w:pPr>
          </w:p>
        </w:tc>
      </w:tr>
      <w:tr>
        <w:trPr>
          <w:cantSplit/>
          <w:trHeight w:val="425"/>
        </w:trPr>
        <w:tc>
          <w:tcPr>
            <w:tcW w:type="dxa" w:w="6349"/>
          </w:tcPr>
          <w:p>
            <w:pPr>
              <w:pStyle w:val="CellText"/>
            </w:pPr>
          </w:p>
        </w:tc>
        <w:tc>
          <w:tcPr>
            <w:tcW w:type="dxa" w:w="1474"/>
          </w:tcPr>
          <w:p>
            <w:pPr>
              <w:pStyle w:val="CellText"/>
            </w:pPr>
            <w:r>
              <w:rPr>
                <w:b w:val="0"/>
              </w:rPr>
              <w:t>Identifier sur un tracé électrique d’un patient valvulaire, les signes des hypertrophies cavitaires.</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Identifier les anomalies électriques retrouvées chez un patient présentant un infarctus du myocarde à la phase aigüe.</w:t>
            </w:r>
          </w:p>
        </w:tc>
        <w:tc>
          <w:tcPr>
            <w:tcW w:type="dxa" w:w="1814"/>
            <w:shd w:val="clear" w:color="auto" w:fill="F7F9FB"/>
          </w:tcPr>
          <w:p>
            <w:pPr>
              <w:pStyle w:val="CellText"/>
            </w:pPr>
          </w:p>
        </w:tc>
      </w:tr>
      <w:tr>
        <w:trPr>
          <w:cantSplit/>
          <w:trHeight w:val="425"/>
        </w:trPr>
        <w:tc>
          <w:tcPr>
            <w:tcW w:type="dxa" w:w="6349"/>
          </w:tcPr>
          <w:p>
            <w:pPr>
              <w:pStyle w:val="CellText"/>
            </w:pPr>
          </w:p>
        </w:tc>
        <w:tc>
          <w:tcPr>
            <w:tcW w:type="dxa" w:w="1474"/>
          </w:tcPr>
          <w:p>
            <w:pPr>
              <w:pStyle w:val="CellText"/>
            </w:pPr>
            <w:r>
              <w:rPr>
                <w:b w:val="0"/>
              </w:rPr>
              <w:t>Déceler sur un tracé électrique, les troubles de la repolarisation chez un patient coronarien stable.</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Décrire l’aspect des arcs de la silhouette cardiaque sur une radiographie thoracique de face d’un sujet normal.</w:t>
            </w:r>
          </w:p>
        </w:tc>
        <w:tc>
          <w:tcPr>
            <w:tcW w:type="dxa" w:w="1814"/>
            <w:shd w:val="clear" w:color="auto" w:fill="F7F9FB"/>
          </w:tcPr>
          <w:p>
            <w:pPr>
              <w:pStyle w:val="CellText"/>
            </w:pPr>
          </w:p>
        </w:tc>
      </w:tr>
      <w:tr>
        <w:trPr>
          <w:cantSplit/>
          <w:trHeight w:val="425"/>
        </w:trPr>
        <w:tc>
          <w:tcPr>
            <w:tcW w:type="dxa" w:w="6349"/>
          </w:tcPr>
          <w:p>
            <w:pPr>
              <w:pStyle w:val="CellText"/>
            </w:pPr>
          </w:p>
        </w:tc>
        <w:tc>
          <w:tcPr>
            <w:tcW w:type="dxa" w:w="1474"/>
          </w:tcPr>
          <w:p>
            <w:pPr>
              <w:pStyle w:val="CellText"/>
            </w:pPr>
            <w:r>
              <w:rPr>
                <w:b w:val="0"/>
              </w:rPr>
              <w:t>Décrire sur une radiographie thoracique d’un patient valvulaire, les anomalies des arcs de la silhouette cardiaque.</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Reconnaitre sur une radiographie thoracique de face, le stade de l’insuffisance cardiaque</w:t>
            </w:r>
          </w:p>
        </w:tc>
        <w:tc>
          <w:tcPr>
            <w:tcW w:type="dxa" w:w="1814"/>
            <w:shd w:val="clear" w:color="auto" w:fill="F7F9FB"/>
          </w:tcPr>
          <w:p>
            <w:pPr>
              <w:pStyle w:val="CellText"/>
            </w:pPr>
          </w:p>
        </w:tc>
      </w:tr>
      <w:tr>
        <w:trPr>
          <w:cantSplit/>
          <w:trHeight w:val="425"/>
        </w:trPr>
        <w:tc>
          <w:tcPr>
            <w:tcW w:type="dxa" w:w="6349"/>
          </w:tcPr>
          <w:p>
            <w:pPr>
              <w:pStyle w:val="CellText"/>
            </w:pPr>
            <w:r>
              <w:rPr>
                <w:b w:val="0"/>
              </w:rPr>
              <w:t>ARC</w:t>
            </w:r>
          </w:p>
        </w:tc>
        <w:tc>
          <w:tcPr>
            <w:tcW w:type="dxa" w:w="1474"/>
          </w:tcPr>
          <w:p>
            <w:pPr>
              <w:pStyle w:val="CellText"/>
            </w:pPr>
            <w:r>
              <w:rPr>
                <w:b w:val="0"/>
              </w:rPr>
              <w:t>Démarche diagnostique devant une dyspnée</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Démarche diagnostique devant des douleurs thoraciques</w:t>
            </w:r>
          </w:p>
        </w:tc>
        <w:tc>
          <w:tcPr>
            <w:tcW w:type="dxa" w:w="1814"/>
            <w:shd w:val="clear" w:color="auto" w:fill="F7F9FB"/>
          </w:tcPr>
          <w:p>
            <w:pPr>
              <w:pStyle w:val="CellText"/>
            </w:pPr>
          </w:p>
        </w:tc>
      </w:tr>
      <w:tr>
        <w:trPr>
          <w:cantSplit/>
          <w:trHeight w:val="425"/>
        </w:trPr>
        <w:tc>
          <w:tcPr>
            <w:tcW w:type="dxa" w:w="6349"/>
          </w:tcPr>
          <w:p>
            <w:pPr>
              <w:pStyle w:val="CellText"/>
            </w:pPr>
          </w:p>
        </w:tc>
        <w:tc>
          <w:tcPr>
            <w:tcW w:type="dxa" w:w="1474"/>
          </w:tcPr>
          <w:p>
            <w:pPr>
              <w:pStyle w:val="CellText"/>
            </w:pPr>
            <w:r>
              <w:rPr>
                <w:b w:val="0"/>
              </w:rPr>
              <w:t>Démarche diagnostique devant une fièvre chez un patient cardiaque (fièvre + Souffle)</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Démarche diagnostique devant des œdèmes des membres inferieurs</w:t>
            </w:r>
          </w:p>
        </w:tc>
        <w:tc>
          <w:tcPr>
            <w:tcW w:type="dxa" w:w="1814"/>
            <w:shd w:val="clear" w:color="auto" w:fill="F7F9FB"/>
          </w:tcPr>
          <w:p>
            <w:pPr>
              <w:pStyle w:val="CellText"/>
            </w:pPr>
          </w:p>
        </w:tc>
      </w:tr>
      <w:tr>
        <w:trPr>
          <w:cantSplit/>
          <w:trHeight w:val="425"/>
        </w:trPr>
        <w:tc>
          <w:tcPr>
            <w:tcW w:type="dxa" w:w="6349"/>
          </w:tcPr>
          <w:p>
            <w:pPr>
              <w:pStyle w:val="CellText"/>
            </w:pPr>
          </w:p>
        </w:tc>
        <w:tc>
          <w:tcPr>
            <w:tcW w:type="dxa" w:w="1474"/>
          </w:tcPr>
          <w:p>
            <w:pPr>
              <w:pStyle w:val="CellText"/>
            </w:pPr>
            <w:r>
              <w:rPr>
                <w:b w:val="0"/>
              </w:rPr>
              <w:t>Démarche diagnostique devant un gros membre inferieur</w:t>
            </w:r>
          </w:p>
        </w:tc>
        <w:tc>
          <w:tcPr>
            <w:tcW w:type="dxa" w:w="1814"/>
          </w:tcPr>
          <w:p>
            <w:pPr>
              <w:pStyle w:val="CellText"/>
            </w:pPr>
          </w:p>
        </w:tc>
      </w:tr>
      <w:tr>
        <w:trPr>
          <w:cantSplit/>
          <w:trHeight w:val="425"/>
        </w:trPr>
        <w:tc>
          <w:tcPr>
            <w:tcW w:type="dxa" w:w="6349"/>
            <w:shd w:val="clear" w:color="auto" w:fill="F7F9FB"/>
          </w:tcPr>
          <w:p>
            <w:pPr>
              <w:pStyle w:val="CellText"/>
            </w:pPr>
            <w:r>
              <w:rPr>
                <w:b w:val="0"/>
              </w:rPr>
              <w:t>Surveiller cliniquement un patient hospitalisé pour une insuffisance cardiaque décompensée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Rédiger l’observation d’un patient hospitalisé pour insuffisance cardiaque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Rédiger l’observation d’un patient hospitalisé pour un infarctus de myocarde</w:t>
            </w:r>
          </w:p>
        </w:tc>
        <w:tc>
          <w:tcPr>
            <w:tcW w:type="dxa" w:w="1474"/>
            <w:shd w:val="clear" w:color="auto" w:fill="F7F9FB"/>
          </w:tcPr>
          <w:p>
            <w:pPr>
              <w:pStyle w:val="CellText"/>
            </w:pPr>
          </w:p>
        </w:tc>
        <w:tc>
          <w:tcPr>
            <w:tcW w:type="dxa" w:w="1814"/>
            <w:shd w:val="clear" w:color="auto" w:fill="F7F9FB"/>
          </w:tcPr>
          <w:p>
            <w:pPr>
              <w:pStyle w:val="CellText"/>
            </w:pPr>
          </w:p>
        </w:tc>
      </w:tr>
    </w:tbl>
    <w:p>
      <w:pPr>
        <w:spacing w:after="40"/>
      </w:pPr>
    </w:p>
    <w:p>
      <w:pPr>
        <w:pStyle w:val="Heading3"/>
      </w:pPr>
      <w:r>
        <w:t>Service de cardiologie : 6ème année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Rédiger l’observation d’un patient hospitalisé pour une endocardite infectieuse.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Rédiger l’observation d’un patient hospitalisé pour insuffisance cardiaque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Rédiger l’observation d’un patient hospitalisé pour un infarctus de myocarde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Rédiger l’observation d’un patient hospitalisé pour insuffisance cardiaque décompensée.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Rédiger l’observation d’un patient hospitalisé pour un infarctus de myocarde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Rédiger l’observation d’un patient hospitalisé pour un rhumatisme articulaire aigu</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Rédiger l’observation d’un patient hospitalisé pour une maladie veineuse thrombo-embolique.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Surveiller cliniquement un patient hospitalisé pour une insuffisance cardiaque décompensée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Surveiller cliniquement et biologiquement un patient hospitalisé pour une poussée de rhumatisme articulaire aigu</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Expliquer les moyens de prévention de l’endocardite infectieuse à un patient suivi pour une cardiopathie rhumatismale chronique.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Expliquer les moyens de prévention de la rechute rhumatismale chez un patient ayant des antécédents de rhumatisme articulaire aigu.</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Surveiller un patient sous traitement anticoagulant</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Expliquer les mesures hygiéno-diététiques à un patient à haut risque cardio-vasculaire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Expliquer le régime à un patient hypertendu</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Diagnostiquer par les données anamnestiques et physiques une urgence hypertensive.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Rédiger l’observation d’un patient hospitalisé pour insuffisance cardiaque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Rédiger l’observation d’un patient hospitalisé pour un infarctus de myocarde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Rédiger l’observation d’un patient hospitalisé pour insuffisance cardiaque décompensée.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Rédiger l’observation d’un patient hypertendu</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Surveiller cliniquement un patient hospitalisé pour une insuffisance cardiaque décompensée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ARC</w:t>
            </w:r>
          </w:p>
        </w:tc>
        <w:tc>
          <w:tcPr>
            <w:tcW w:type="dxa" w:w="1474"/>
          </w:tcPr>
          <w:p>
            <w:pPr>
              <w:pStyle w:val="CellText"/>
            </w:pPr>
            <w:r>
              <w:rPr>
                <w:b w:val="0"/>
              </w:rPr>
              <w:t>Démarche diagnostique devant une cyanose</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Démarche polyarthrite diagnostique survenant devant à la suite d’une infection une post-streptococcique.</w:t>
            </w:r>
          </w:p>
        </w:tc>
        <w:tc>
          <w:tcPr>
            <w:tcW w:type="dxa" w:w="1814"/>
            <w:shd w:val="clear" w:color="auto" w:fill="F7F9FB"/>
          </w:tcPr>
          <w:p>
            <w:pPr>
              <w:pStyle w:val="CellText"/>
            </w:pPr>
          </w:p>
        </w:tc>
      </w:tr>
    </w:tbl>
    <w:p>
      <w:pPr>
        <w:spacing w:after="40"/>
      </w:pPr>
    </w:p>
    <w:p>
      <w:pPr>
        <w:pStyle w:val="Heading3"/>
      </w:pPr>
      <w:r>
        <w:t>Service de dermatologie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Identifier les lesions élémentaires en dermatologie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Interpréter une sérologie syphilitique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ARC : Mener une enquête étiologique devant</w:t>
            </w:r>
          </w:p>
        </w:tc>
        <w:tc>
          <w:tcPr>
            <w:tcW w:type="dxa" w:w="1474"/>
          </w:tcPr>
          <w:p>
            <w:pPr>
              <w:pStyle w:val="CellText"/>
            </w:pPr>
            <w:r>
              <w:rPr>
                <w:b w:val="0"/>
              </w:rPr>
              <w:t>Un prurit chronique</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Une ulcération génitale</w:t>
            </w:r>
          </w:p>
        </w:tc>
        <w:tc>
          <w:tcPr>
            <w:tcW w:type="dxa" w:w="1814"/>
            <w:shd w:val="clear" w:color="auto" w:fill="F7F9FB"/>
          </w:tcPr>
          <w:p>
            <w:pPr>
              <w:pStyle w:val="CellText"/>
            </w:pPr>
          </w:p>
        </w:tc>
      </w:tr>
      <w:tr>
        <w:trPr>
          <w:cantSplit/>
          <w:trHeight w:val="425"/>
        </w:trPr>
        <w:tc>
          <w:tcPr>
            <w:tcW w:type="dxa" w:w="6349"/>
          </w:tcPr>
          <w:p>
            <w:pPr>
              <w:pStyle w:val="CellText"/>
            </w:pPr>
          </w:p>
        </w:tc>
        <w:tc>
          <w:tcPr>
            <w:tcW w:type="dxa" w:w="1474"/>
          </w:tcPr>
          <w:p>
            <w:pPr>
              <w:pStyle w:val="CellText"/>
            </w:pPr>
            <w:r>
              <w:rPr>
                <w:b w:val="0"/>
              </w:rPr>
              <w:t>Un érythème noueux</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Une jambe inflammatoire</w:t>
            </w:r>
          </w:p>
        </w:tc>
        <w:tc>
          <w:tcPr>
            <w:tcW w:type="dxa" w:w="1814"/>
            <w:shd w:val="clear" w:color="auto" w:fill="F7F9FB"/>
          </w:tcPr>
          <w:p>
            <w:pPr>
              <w:pStyle w:val="CellText"/>
            </w:pPr>
          </w:p>
        </w:tc>
      </w:tr>
      <w:tr>
        <w:trPr>
          <w:cantSplit/>
          <w:trHeight w:val="425"/>
        </w:trPr>
        <w:tc>
          <w:tcPr>
            <w:tcW w:type="dxa" w:w="6349"/>
          </w:tcPr>
          <w:p>
            <w:pPr>
              <w:pStyle w:val="CellText"/>
            </w:pPr>
            <w:r>
              <w:rPr>
                <w:b w:val="0"/>
              </w:rPr>
              <w:t>Identifier cliniquement des lésions pré-cancéreuses cutanéo-muqueuses</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Évoquer une tumeur maligne cutanée en se basant sur l’anamnèse et l’examen clinique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Rédiger une ordonnance pour</w:t>
            </w:r>
          </w:p>
        </w:tc>
        <w:tc>
          <w:tcPr>
            <w:tcW w:type="dxa" w:w="1474"/>
          </w:tcPr>
          <w:p>
            <w:pPr>
              <w:pStyle w:val="CellText"/>
            </w:pPr>
            <w:r>
              <w:rPr>
                <w:b w:val="0"/>
              </w:rPr>
              <w:t>Un adolescent atteint de l’acné</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Un enfant atteint d’une teigne</w:t>
            </w:r>
          </w:p>
        </w:tc>
        <w:tc>
          <w:tcPr>
            <w:tcW w:type="dxa" w:w="1814"/>
            <w:shd w:val="clear" w:color="auto" w:fill="F7F9FB"/>
          </w:tcPr>
          <w:p>
            <w:pPr>
              <w:pStyle w:val="CellText"/>
            </w:pPr>
          </w:p>
        </w:tc>
      </w:tr>
      <w:tr>
        <w:trPr>
          <w:cantSplit/>
          <w:trHeight w:val="425"/>
        </w:trPr>
        <w:tc>
          <w:tcPr>
            <w:tcW w:type="dxa" w:w="6349"/>
          </w:tcPr>
          <w:p>
            <w:pPr>
              <w:pStyle w:val="CellText"/>
            </w:pPr>
          </w:p>
        </w:tc>
        <w:tc>
          <w:tcPr>
            <w:tcW w:type="dxa" w:w="1474"/>
          </w:tcPr>
          <w:p>
            <w:pPr>
              <w:pStyle w:val="CellText"/>
            </w:pPr>
            <w:r>
              <w:rPr>
                <w:b w:val="0"/>
              </w:rPr>
              <w:t>Un patient atteint d’une gale</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Un patient atteint d’un psoriasis en plaque</w:t>
            </w:r>
          </w:p>
        </w:tc>
        <w:tc>
          <w:tcPr>
            <w:tcW w:type="dxa" w:w="1814"/>
            <w:shd w:val="clear" w:color="auto" w:fill="F7F9FB"/>
          </w:tcPr>
          <w:p>
            <w:pPr>
              <w:pStyle w:val="CellText"/>
            </w:pPr>
          </w:p>
        </w:tc>
      </w:tr>
      <w:tr>
        <w:trPr>
          <w:cantSplit/>
          <w:trHeight w:val="425"/>
        </w:trPr>
        <w:tc>
          <w:tcPr>
            <w:tcW w:type="dxa" w:w="6349"/>
          </w:tcPr>
          <w:p>
            <w:pPr>
              <w:pStyle w:val="CellText"/>
            </w:pPr>
          </w:p>
        </w:tc>
        <w:tc>
          <w:tcPr>
            <w:tcW w:type="dxa" w:w="1474"/>
          </w:tcPr>
          <w:p>
            <w:pPr>
              <w:pStyle w:val="CellText"/>
            </w:pPr>
            <w:r>
              <w:rPr>
                <w:b w:val="0"/>
              </w:rPr>
              <w:t>Un patient, atteint d’une ; infection bactérienne cutanée</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Un patient atteint d’une infection virale cutanée</w:t>
            </w:r>
          </w:p>
        </w:tc>
        <w:tc>
          <w:tcPr>
            <w:tcW w:type="dxa" w:w="1814"/>
            <w:shd w:val="clear" w:color="auto" w:fill="F7F9FB"/>
          </w:tcPr>
          <w:p>
            <w:pPr>
              <w:pStyle w:val="CellText"/>
            </w:pPr>
          </w:p>
        </w:tc>
      </w:tr>
      <w:tr>
        <w:trPr>
          <w:cantSplit/>
          <w:trHeight w:val="425"/>
        </w:trPr>
        <w:tc>
          <w:tcPr>
            <w:tcW w:type="dxa" w:w="6349"/>
          </w:tcPr>
          <w:p>
            <w:pPr>
              <w:pStyle w:val="CellText"/>
            </w:pPr>
          </w:p>
        </w:tc>
        <w:tc>
          <w:tcPr>
            <w:tcW w:type="dxa" w:w="1474"/>
          </w:tcPr>
          <w:p>
            <w:pPr>
              <w:pStyle w:val="CellText"/>
            </w:pPr>
            <w:r>
              <w:rPr>
                <w:b w:val="0"/>
              </w:rPr>
              <w:t>Un patient atteint d’une infection mycosique cutanée superficielle</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Un patient atteint d’un eczéma de contact</w:t>
            </w:r>
          </w:p>
        </w:tc>
        <w:tc>
          <w:tcPr>
            <w:tcW w:type="dxa" w:w="1814"/>
            <w:shd w:val="clear" w:color="auto" w:fill="F7F9FB"/>
          </w:tcPr>
          <w:p>
            <w:pPr>
              <w:pStyle w:val="CellText"/>
            </w:pPr>
          </w:p>
        </w:tc>
      </w:tr>
      <w:tr>
        <w:trPr>
          <w:cantSplit/>
          <w:trHeight w:val="425"/>
        </w:trPr>
        <w:tc>
          <w:tcPr>
            <w:tcW w:type="dxa" w:w="6349"/>
          </w:tcPr>
          <w:p>
            <w:pPr>
              <w:pStyle w:val="CellText"/>
            </w:pPr>
          </w:p>
        </w:tc>
        <w:tc>
          <w:tcPr>
            <w:tcW w:type="dxa" w:w="1474"/>
          </w:tcPr>
          <w:p>
            <w:pPr>
              <w:pStyle w:val="CellText"/>
            </w:pPr>
            <w:r>
              <w:rPr>
                <w:b w:val="0"/>
              </w:rPr>
              <w:t>Un patient atteint d’une urticaire aigue ou chronique</w:t>
            </w:r>
          </w:p>
        </w:tc>
        <w:tc>
          <w:tcPr>
            <w:tcW w:type="dxa" w:w="1814"/>
          </w:tcPr>
          <w:p>
            <w:pPr>
              <w:pStyle w:val="CellText"/>
            </w:pPr>
          </w:p>
        </w:tc>
      </w:tr>
      <w:tr>
        <w:trPr>
          <w:cantSplit/>
          <w:trHeight w:val="425"/>
        </w:trPr>
        <w:tc>
          <w:tcPr>
            <w:tcW w:type="dxa" w:w="6349"/>
            <w:shd w:val="clear" w:color="auto" w:fill="F7F9FB"/>
          </w:tcPr>
          <w:p>
            <w:pPr>
              <w:pStyle w:val="CellText"/>
            </w:pPr>
            <w:r>
              <w:rPr>
                <w:b w:val="0"/>
              </w:rPr>
              <w:t>Rechercher cliniquement des signes d’atypie d’un nævus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Planifier le traitement d’une IST</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Réaliser un pansement chez un patient atteint chronique d’ulcère de jambe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Réaliser un prélèvement bactériologique d’une lesion dermatologique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Réaliser un prélèvement parasitologique des squames et des cheveux</w:t>
            </w:r>
          </w:p>
        </w:tc>
        <w:tc>
          <w:tcPr>
            <w:tcW w:type="dxa" w:w="1474"/>
            <w:shd w:val="clear" w:color="auto" w:fill="F7F9FB"/>
          </w:tcPr>
          <w:p>
            <w:pPr>
              <w:pStyle w:val="CellText"/>
            </w:pPr>
          </w:p>
        </w:tc>
        <w:tc>
          <w:tcPr>
            <w:tcW w:type="dxa" w:w="1814"/>
            <w:shd w:val="clear" w:color="auto" w:fill="F7F9FB"/>
          </w:tcPr>
          <w:p>
            <w:pPr>
              <w:pStyle w:val="CellText"/>
            </w:pPr>
          </w:p>
        </w:tc>
      </w:tr>
    </w:tbl>
    <w:p>
      <w:pPr>
        <w:spacing w:after="40"/>
      </w:pPr>
    </w:p>
    <w:p>
      <w:pPr>
        <w:pStyle w:val="Heading3"/>
      </w:pPr>
      <w:r>
        <w:t>Service d’endocrinologie et maladies métaboliques</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1814"/>
            <w:gridSpan w:val="3"/>
            <w:shd w:val="clear" w:color="auto" w:fill="DCE9F5"/>
          </w:tcPr>
          <w:p>
            <w:pPr>
              <w:pStyle w:val="CellText"/>
              <w:keepNext/>
            </w:pPr>
            <w:r>
              <w:rPr>
                <w:b/>
                <w:color w:val="1F4E79"/>
              </w:rPr>
              <w:t>Diabétologie</w:t>
            </w:r>
          </w:p>
        </w:tc>
      </w:tr>
      <w:tr>
        <w:trPr>
          <w:cantSplit/>
          <w:trHeight w:val="425"/>
        </w:trPr>
        <w:tc>
          <w:tcPr>
            <w:tcW w:type="dxa" w:w="6349"/>
          </w:tcPr>
          <w:p>
            <w:pPr>
              <w:pStyle w:val="CellText"/>
            </w:pPr>
            <w:r>
              <w:rPr>
                <w:b w:val="0"/>
              </w:rPr>
              <w:t>Mesurer une glycémie capillaire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Confirmer sur un bilan biologique le diagnostic d’un diabète sucré chez un patient avec hyperglycémie de découverte récente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Relever d’après l’interrogatoire chez un patient diabétique les critères cliniques orientant vers diabète de type 2</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Relever d’après l’interrogatoire chez un patient diabétique les critères cliniques orientant vers diabète de type 1</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Préparer un chariot pour la correction d’une hypoglycémie chez un patient diabétique insulinotraité</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Relever à l’examen clinique chez un patient hospitalisé les signes confirmant une acidocétose diabétique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Élaborer une stratégie de correction d’une acidocétose diabétique chez un jeune patient diabétique de type 1</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Retrouver à l’anamnèse et à l’examen clinique les signes orientant vers ces complications du diabète :</w:t>
            </w:r>
          </w:p>
          <w:p>
            <w:pPr>
              <w:pStyle w:val="CellText"/>
            </w:pPr>
            <w:r>
              <w:rPr>
                <w:b w:val="0"/>
              </w:rPr>
              <w:t>Rétinopathie</w:t>
            </w:r>
          </w:p>
          <w:p>
            <w:pPr>
              <w:pStyle w:val="CellText"/>
            </w:pPr>
            <w:r>
              <w:rPr>
                <w:b w:val="0"/>
              </w:rPr>
              <w:t>Neuropathie périphérique dégénératives et autonome</w:t>
            </w:r>
          </w:p>
          <w:p>
            <w:pPr>
              <w:pStyle w:val="CellText"/>
            </w:pPr>
            <w:r>
              <w:rPr>
                <w:b w:val="0"/>
              </w:rPr>
              <w:t>Néphropathie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Dépister la neuropathie diabétique à l’aide d’un moncofilament chez un patient diabétique avec lesion chronique du pied</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Mener une séance d’éducation thérapeutique sur les techniques d’injection de l’insuline chez un patientdiabétique insulinotraité</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Rédiger un bon de demande de bilan de suivi trimestriel chez un diabétique</w:t>
            </w:r>
          </w:p>
        </w:tc>
        <w:tc>
          <w:tcPr>
            <w:tcW w:type="dxa" w:w="1474"/>
          </w:tcPr>
          <w:p>
            <w:pPr>
              <w:pStyle w:val="CellText"/>
            </w:pPr>
          </w:p>
        </w:tc>
        <w:tc>
          <w:tcPr>
            <w:tcW w:type="dxa" w:w="1814"/>
          </w:tcPr>
          <w:p>
            <w:pPr>
              <w:pStyle w:val="CellText"/>
            </w:pPr>
          </w:p>
        </w:tc>
      </w:tr>
      <w:tr>
        <w:trPr>
          <w:cantSplit/>
          <w:trHeight w:val="425"/>
        </w:trPr>
        <w:tc>
          <w:tcPr>
            <w:tcW w:type="dxa" w:w="1814"/>
            <w:gridSpan w:val="3"/>
            <w:shd w:val="clear" w:color="auto" w:fill="DCE9F5"/>
          </w:tcPr>
          <w:p>
            <w:pPr>
              <w:pStyle w:val="CellText"/>
              <w:keepNext/>
            </w:pPr>
            <w:r>
              <w:rPr>
                <w:b/>
                <w:color w:val="1F4E79"/>
              </w:rPr>
              <w:t>Endocrinologie</w:t>
            </w:r>
          </w:p>
        </w:tc>
      </w:tr>
      <w:tr>
        <w:trPr>
          <w:cantSplit/>
          <w:trHeight w:val="425"/>
        </w:trPr>
        <w:tc>
          <w:tcPr>
            <w:tcW w:type="dxa" w:w="6349"/>
          </w:tcPr>
          <w:p>
            <w:pPr>
              <w:pStyle w:val="CellText"/>
            </w:pPr>
            <w:r>
              <w:rPr>
                <w:b w:val="0"/>
              </w:rPr>
              <w:t>Identifier un goitre modéré à la palpation</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Relever à l’examen clinique les signes d’une hyperthyroïdie chez un patient adulte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Relever à l’examen clinique les signes d’une hypothyroïdie chez un patient adulte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Chercher les signes cliniques d’un hypercorticisme chez un</w:t>
            </w:r>
          </w:p>
          <w:p>
            <w:pPr>
              <w:pStyle w:val="CellText"/>
            </w:pPr>
            <w:r>
              <w:rPr>
                <w:b w:val="0"/>
              </w:rPr>
              <w:t>patient adulte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Rattacher des éléments anamnestiques et clinique à une insuffisance surrénalienne aigue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Interpréter un hypophysiogramme chez un patient avec insuffisance antéhypophysaire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Hypoglycémie chez le non diabétique (ARC)</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Obésité (ARC)</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Nodule thyroïdien (ARC)</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Retard de croissance staturale (ARC)</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Hypogonadisme (ARC)</w:t>
            </w:r>
          </w:p>
        </w:tc>
        <w:tc>
          <w:tcPr>
            <w:tcW w:type="dxa" w:w="1474"/>
          </w:tcPr>
          <w:p>
            <w:pPr>
              <w:pStyle w:val="CellText"/>
            </w:pPr>
          </w:p>
        </w:tc>
        <w:tc>
          <w:tcPr>
            <w:tcW w:type="dxa" w:w="1814"/>
          </w:tcPr>
          <w:p>
            <w:pPr>
              <w:pStyle w:val="CellText"/>
            </w:pPr>
          </w:p>
        </w:tc>
      </w:tr>
    </w:tbl>
    <w:p>
      <w:pPr>
        <w:spacing w:after="40"/>
      </w:pPr>
    </w:p>
    <w:p>
      <w:pPr>
        <w:pStyle w:val="Heading3"/>
      </w:pPr>
      <w:r>
        <w:t>Service de gastro-enterologie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Caractériser une hépatomégalie chez un cirrhotique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Reconnaitre une splénomégalie dans le cas d’un syndrome d’hypertension portale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cliniquement un ictère cholestatique d’origine médicale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Reconnaitre une ascite face à une distension abdominale chez un cirrhotique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Interpréter les résultats chimiques et cytologiques d’une ponction d’ascite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Reconnaitre le mode d’extériorisation d’une hémorragie digestive chez un cirrhotique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le mode d’extériorisation d’une hémorragie digestive chez un ulcéreux</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Reconnaître les signes de gravité d’une hémorragie digestive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Caractériser une épigastralgie lors d’un ulcère gastro-duodénal</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Caractériser une épigastralgie lors d’une pancréatite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Reconnaître les lésions proctologiques courantes : (fistule anale, fissure et Hémorroïdes)</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Caractériser une diarrhée chronique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ARC : Hémorragie digestive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ARC : Vomissements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ARC : Ascite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ARC : Ictère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ARC : Insuffisance hépatocellulaire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ARC : Diarrhée</w:t>
            </w:r>
          </w:p>
        </w:tc>
        <w:tc>
          <w:tcPr>
            <w:tcW w:type="dxa" w:w="1474"/>
            <w:shd w:val="clear" w:color="auto" w:fill="F7F9FB"/>
          </w:tcPr>
          <w:p>
            <w:pPr>
              <w:pStyle w:val="CellText"/>
            </w:pPr>
          </w:p>
        </w:tc>
        <w:tc>
          <w:tcPr>
            <w:tcW w:type="dxa" w:w="1814"/>
            <w:shd w:val="clear" w:color="auto" w:fill="F7F9FB"/>
          </w:tcPr>
          <w:p>
            <w:pPr>
              <w:pStyle w:val="CellText"/>
            </w:pPr>
          </w:p>
        </w:tc>
      </w:tr>
    </w:tbl>
    <w:p>
      <w:pPr>
        <w:spacing w:after="40"/>
      </w:pPr>
    </w:p>
    <w:p>
      <w:pPr>
        <w:pStyle w:val="Heading3"/>
      </w:pPr>
      <w:r>
        <w:t>Service d’hématologie clinique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Interpréter un hémogramme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Interpréter un bilan d’hémostase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Argumenter les indications d’un myélogramme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Argumenter les indications d’une biopsie ostéomédullaire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Élaborer la démarche diagnostique devant une pancytopénie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Élaborer la démarche diagnostique devant une thrombopénie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Élaborer la démarche diagnostique devant une anémie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Élaborer la démarche diagnostique devant une polyglobulie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Élaborer la démarche diagnostique devant une thrombocytose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Élaborer la démarche diagnostique devant une polynucléose neutrophile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Élaborer la démarche diagnostique devant une hyperlymphocytose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Élaborer la démarche diagnostique devant une lymphopénie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Élaborer la démarche diagnostique devant une neutropénie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Élaborer la démarche diagnostique devant une hyperéosinophilie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Élaborer la démarche diagnostique devant une adénopathie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Réaliser un acte transfusionnel</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Élaborer la démarche diagnostique et thérapeutique devant neutropénie febrile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Élaborer la démarche diagnostique et thérapeutique devant syndrome de lyse tumorale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Élaborer la démarche diagnostique et thérapeutique devant coagulation intravasculaire disséminée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Élaborer la conduite à tenir devant un hémophile qui saigne</w:t>
            </w:r>
          </w:p>
        </w:tc>
        <w:tc>
          <w:tcPr>
            <w:tcW w:type="dxa" w:w="1474"/>
            <w:shd w:val="clear" w:color="auto" w:fill="F7F9FB"/>
          </w:tcPr>
          <w:p>
            <w:pPr>
              <w:pStyle w:val="CellText"/>
            </w:pPr>
          </w:p>
        </w:tc>
        <w:tc>
          <w:tcPr>
            <w:tcW w:type="dxa" w:w="1814"/>
            <w:shd w:val="clear" w:color="auto" w:fill="F7F9FB"/>
          </w:tcPr>
          <w:p>
            <w:pPr>
              <w:pStyle w:val="CellText"/>
            </w:pPr>
          </w:p>
        </w:tc>
      </w:tr>
    </w:tbl>
    <w:p>
      <w:pPr>
        <w:spacing w:after="40"/>
      </w:pPr>
    </w:p>
    <w:p>
      <w:pPr>
        <w:pStyle w:val="Heading3"/>
      </w:pPr>
      <w:r>
        <w:t>Service de médecine interne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ARC</w:t>
            </w:r>
          </w:p>
        </w:tc>
        <w:tc>
          <w:tcPr>
            <w:tcW w:type="dxa" w:w="1474"/>
          </w:tcPr>
          <w:p>
            <w:pPr>
              <w:pStyle w:val="CellText"/>
            </w:pPr>
            <w:r>
              <w:rPr>
                <w:b w:val="0"/>
              </w:rPr>
              <w:t>Anémie</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Purpura</w:t>
            </w:r>
          </w:p>
        </w:tc>
        <w:tc>
          <w:tcPr>
            <w:tcW w:type="dxa" w:w="1814"/>
            <w:shd w:val="clear" w:color="auto" w:fill="F7F9FB"/>
          </w:tcPr>
          <w:p>
            <w:pPr>
              <w:pStyle w:val="CellText"/>
            </w:pPr>
          </w:p>
        </w:tc>
      </w:tr>
      <w:tr>
        <w:trPr>
          <w:cantSplit/>
          <w:trHeight w:val="425"/>
        </w:trPr>
        <w:tc>
          <w:tcPr>
            <w:tcW w:type="dxa" w:w="6349"/>
          </w:tcPr>
          <w:p>
            <w:pPr>
              <w:pStyle w:val="CellText"/>
            </w:pPr>
          </w:p>
        </w:tc>
        <w:tc>
          <w:tcPr>
            <w:tcW w:type="dxa" w:w="1474"/>
          </w:tcPr>
          <w:p>
            <w:pPr>
              <w:pStyle w:val="CellText"/>
            </w:pPr>
            <w:r>
              <w:rPr>
                <w:b w:val="0"/>
              </w:rPr>
              <w:t>Adénopathie-splénomégalie</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Fièvre prolongée</w:t>
            </w:r>
          </w:p>
        </w:tc>
        <w:tc>
          <w:tcPr>
            <w:tcW w:type="dxa" w:w="1814"/>
            <w:shd w:val="clear" w:color="auto" w:fill="F7F9FB"/>
          </w:tcPr>
          <w:p>
            <w:pPr>
              <w:pStyle w:val="CellText"/>
            </w:pPr>
          </w:p>
        </w:tc>
      </w:tr>
      <w:tr>
        <w:trPr>
          <w:cantSplit/>
          <w:trHeight w:val="425"/>
        </w:trPr>
        <w:tc>
          <w:tcPr>
            <w:tcW w:type="dxa" w:w="6349"/>
          </w:tcPr>
          <w:p>
            <w:pPr>
              <w:pStyle w:val="CellText"/>
            </w:pPr>
          </w:p>
        </w:tc>
        <w:tc>
          <w:tcPr>
            <w:tcW w:type="dxa" w:w="1474"/>
          </w:tcPr>
          <w:p>
            <w:pPr>
              <w:pStyle w:val="CellText"/>
            </w:pPr>
            <w:r>
              <w:rPr>
                <w:b w:val="0"/>
              </w:rPr>
              <w:t>Amaigrissement</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Syndrome oedémateux</w:t>
            </w:r>
          </w:p>
        </w:tc>
        <w:tc>
          <w:tcPr>
            <w:tcW w:type="dxa" w:w="1814"/>
            <w:shd w:val="clear" w:color="auto" w:fill="F7F9FB"/>
          </w:tcPr>
          <w:p>
            <w:pPr>
              <w:pStyle w:val="CellText"/>
            </w:pPr>
          </w:p>
        </w:tc>
      </w:tr>
      <w:tr>
        <w:trPr>
          <w:cantSplit/>
          <w:trHeight w:val="425"/>
        </w:trPr>
        <w:tc>
          <w:tcPr>
            <w:tcW w:type="dxa" w:w="6349"/>
          </w:tcPr>
          <w:p>
            <w:pPr>
              <w:pStyle w:val="CellText"/>
            </w:pPr>
          </w:p>
        </w:tc>
        <w:tc>
          <w:tcPr>
            <w:tcW w:type="dxa" w:w="1474"/>
          </w:tcPr>
          <w:p>
            <w:pPr>
              <w:pStyle w:val="CellText"/>
            </w:pPr>
            <w:r>
              <w:rPr>
                <w:b w:val="0"/>
              </w:rPr>
              <w:t>Maladie thrombo-embolique veineuse</w:t>
            </w:r>
          </w:p>
        </w:tc>
        <w:tc>
          <w:tcPr>
            <w:tcW w:type="dxa" w:w="1814"/>
          </w:tcPr>
          <w:p>
            <w:pPr>
              <w:pStyle w:val="CellText"/>
            </w:pPr>
          </w:p>
        </w:tc>
      </w:tr>
      <w:tr>
        <w:trPr>
          <w:cantSplit/>
          <w:trHeight w:val="425"/>
        </w:trPr>
        <w:tc>
          <w:tcPr>
            <w:tcW w:type="dxa" w:w="6349"/>
            <w:shd w:val="clear" w:color="auto" w:fill="F7F9FB"/>
          </w:tcPr>
          <w:p>
            <w:pPr>
              <w:pStyle w:val="CellText"/>
            </w:pPr>
            <w:r>
              <w:rPr>
                <w:b w:val="0"/>
              </w:rPr>
              <w:t>Maladie systémique</w:t>
            </w:r>
          </w:p>
        </w:tc>
        <w:tc>
          <w:tcPr>
            <w:tcW w:type="dxa" w:w="1474"/>
            <w:shd w:val="clear" w:color="auto" w:fill="F7F9FB"/>
          </w:tcPr>
          <w:p>
            <w:pPr>
              <w:pStyle w:val="CellText"/>
            </w:pPr>
            <w:r>
              <w:rPr>
                <w:b w:val="0"/>
              </w:rPr>
              <w:t>Reconnaître les signes cliniques devant faire suspecter une maladie auto-immune (lupus systémique, myosites inflammatoires…)</w:t>
            </w:r>
          </w:p>
        </w:tc>
        <w:tc>
          <w:tcPr>
            <w:tcW w:type="dxa" w:w="1814"/>
            <w:shd w:val="clear" w:color="auto" w:fill="F7F9FB"/>
          </w:tcPr>
          <w:p>
            <w:pPr>
              <w:pStyle w:val="CellText"/>
            </w:pPr>
          </w:p>
        </w:tc>
      </w:tr>
      <w:tr>
        <w:trPr>
          <w:cantSplit/>
          <w:trHeight w:val="425"/>
        </w:trPr>
        <w:tc>
          <w:tcPr>
            <w:tcW w:type="dxa" w:w="6349"/>
          </w:tcPr>
          <w:p>
            <w:pPr>
              <w:pStyle w:val="CellText"/>
            </w:pPr>
          </w:p>
        </w:tc>
        <w:tc>
          <w:tcPr>
            <w:tcW w:type="dxa" w:w="1474"/>
          </w:tcPr>
          <w:p>
            <w:pPr>
              <w:pStyle w:val="CellText"/>
            </w:pPr>
            <w:r>
              <w:rPr>
                <w:b w:val="0"/>
              </w:rPr>
              <w:t>Reconnaitre les signes cliniques devant suspecter une vascularite (Behçet, artérite à cellules géantes…)</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Reconnaitre les signes cliniques devant suspecter une granulomatose (sarcoïdose, tuberculose…)</w:t>
            </w:r>
          </w:p>
        </w:tc>
        <w:tc>
          <w:tcPr>
            <w:tcW w:type="dxa" w:w="1814"/>
            <w:shd w:val="clear" w:color="auto" w:fill="F7F9FB"/>
          </w:tcPr>
          <w:p>
            <w:pPr>
              <w:pStyle w:val="CellText"/>
            </w:pPr>
          </w:p>
        </w:tc>
      </w:tr>
      <w:tr>
        <w:trPr>
          <w:cantSplit/>
          <w:trHeight w:val="425"/>
        </w:trPr>
        <w:tc>
          <w:tcPr>
            <w:tcW w:type="dxa" w:w="6349"/>
          </w:tcPr>
          <w:p>
            <w:pPr>
              <w:pStyle w:val="CellText"/>
            </w:pPr>
            <w:r>
              <w:rPr>
                <w:b w:val="0"/>
              </w:rPr>
              <w:t>Corticothérapie prolongée</w:t>
            </w:r>
          </w:p>
        </w:tc>
        <w:tc>
          <w:tcPr>
            <w:tcW w:type="dxa" w:w="1474"/>
          </w:tcPr>
          <w:p>
            <w:pPr>
              <w:pStyle w:val="CellText"/>
            </w:pPr>
            <w:r>
              <w:rPr>
                <w:b w:val="0"/>
              </w:rPr>
              <w:t>Reconnaître les complications d’une corticothérapie prolongée.</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Etablir les mesures de prévention et de surveillance</w:t>
            </w:r>
          </w:p>
        </w:tc>
        <w:tc>
          <w:tcPr>
            <w:tcW w:type="dxa" w:w="1814"/>
            <w:shd w:val="clear" w:color="auto" w:fill="F7F9FB"/>
          </w:tcPr>
          <w:p>
            <w:pPr>
              <w:pStyle w:val="CellText"/>
            </w:pPr>
          </w:p>
        </w:tc>
      </w:tr>
      <w:tr>
        <w:trPr>
          <w:cantSplit/>
          <w:trHeight w:val="425"/>
        </w:trPr>
        <w:tc>
          <w:tcPr>
            <w:tcW w:type="dxa" w:w="6349"/>
          </w:tcPr>
          <w:p>
            <w:pPr>
              <w:pStyle w:val="CellText"/>
            </w:pPr>
          </w:p>
        </w:tc>
        <w:tc>
          <w:tcPr>
            <w:tcW w:type="dxa" w:w="1474"/>
          </w:tcPr>
          <w:p>
            <w:pPr>
              <w:pStyle w:val="CellText"/>
            </w:pPr>
            <w:r>
              <w:rPr>
                <w:b w:val="0"/>
              </w:rPr>
              <w:t>Etablir les mesures d’accompagnement d’un traitement par corticoïdes.</w:t>
            </w:r>
          </w:p>
        </w:tc>
        <w:tc>
          <w:tcPr>
            <w:tcW w:type="dxa" w:w="1814"/>
          </w:tcPr>
          <w:p>
            <w:pPr>
              <w:pStyle w:val="CellText"/>
            </w:pPr>
          </w:p>
        </w:tc>
      </w:tr>
      <w:tr>
        <w:trPr>
          <w:cantSplit/>
          <w:trHeight w:val="425"/>
        </w:trPr>
        <w:tc>
          <w:tcPr>
            <w:tcW w:type="dxa" w:w="6349"/>
            <w:shd w:val="clear" w:color="auto" w:fill="F7F9FB"/>
          </w:tcPr>
          <w:p>
            <w:pPr>
              <w:pStyle w:val="CellText"/>
            </w:pPr>
            <w:r>
              <w:rPr>
                <w:b w:val="0"/>
              </w:rPr>
              <w:t>Gériatrie</w:t>
            </w:r>
          </w:p>
        </w:tc>
        <w:tc>
          <w:tcPr>
            <w:tcW w:type="dxa" w:w="1474"/>
            <w:shd w:val="clear" w:color="auto" w:fill="F7F9FB"/>
          </w:tcPr>
          <w:p>
            <w:pPr>
              <w:pStyle w:val="CellText"/>
            </w:pPr>
            <w:r>
              <w:rPr>
                <w:b w:val="0"/>
              </w:rPr>
              <w:t>Reconnaître les signes de gravité imposant une hospitalisation chez un patient âgé.</w:t>
            </w:r>
          </w:p>
        </w:tc>
        <w:tc>
          <w:tcPr>
            <w:tcW w:type="dxa" w:w="1814"/>
            <w:shd w:val="clear" w:color="auto" w:fill="F7F9FB"/>
          </w:tcPr>
          <w:p>
            <w:pPr>
              <w:pStyle w:val="CellText"/>
            </w:pPr>
          </w:p>
        </w:tc>
      </w:tr>
      <w:tr>
        <w:trPr>
          <w:cantSplit/>
          <w:trHeight w:val="425"/>
        </w:trPr>
        <w:tc>
          <w:tcPr>
            <w:tcW w:type="dxa" w:w="6349"/>
          </w:tcPr>
          <w:p>
            <w:pPr>
              <w:pStyle w:val="CellText"/>
            </w:pPr>
          </w:p>
        </w:tc>
        <w:tc>
          <w:tcPr>
            <w:tcW w:type="dxa" w:w="1474"/>
          </w:tcPr>
          <w:p>
            <w:pPr>
              <w:pStyle w:val="CellText"/>
            </w:pPr>
            <w:r>
              <w:rPr>
                <w:b w:val="0"/>
              </w:rPr>
              <w:t>Rationaliser les traitements de la personne âgée en fonction des particularités pharmacologiques gériatriques.</w:t>
            </w:r>
          </w:p>
        </w:tc>
        <w:tc>
          <w:tcPr>
            <w:tcW w:type="dxa" w:w="1814"/>
          </w:tcPr>
          <w:p>
            <w:pPr>
              <w:pStyle w:val="CellText"/>
            </w:pPr>
          </w:p>
        </w:tc>
      </w:tr>
      <w:tr>
        <w:trPr>
          <w:cantSplit/>
          <w:trHeight w:val="425"/>
        </w:trPr>
        <w:tc>
          <w:tcPr>
            <w:tcW w:type="dxa" w:w="6349"/>
            <w:shd w:val="clear" w:color="auto" w:fill="F7F9FB"/>
          </w:tcPr>
          <w:p>
            <w:pPr>
              <w:pStyle w:val="CellText"/>
            </w:pPr>
            <w:r>
              <w:rPr>
                <w:b w:val="0"/>
              </w:rPr>
              <w:t>Interprétation des examens</w:t>
            </w:r>
          </w:p>
        </w:tc>
        <w:tc>
          <w:tcPr>
            <w:tcW w:type="dxa" w:w="1474"/>
            <w:shd w:val="clear" w:color="auto" w:fill="F7F9FB"/>
          </w:tcPr>
          <w:p>
            <w:pPr>
              <w:pStyle w:val="CellText"/>
            </w:pPr>
            <w:r>
              <w:rPr>
                <w:b w:val="0"/>
              </w:rPr>
              <w:t>Analyser les examens para cliniques biologiques courants : Interpréter un hémogramme, un bilan de coagulation.…. une électrophorèse des protéines, des troubles ioniques : dyskaliémie, natrémie, métabolisme phosphocalcique, syndrome inflammatoire biologique, syndrome de malabsorption..)</w:t>
            </w:r>
          </w:p>
        </w:tc>
        <w:tc>
          <w:tcPr>
            <w:tcW w:type="dxa" w:w="1814"/>
            <w:shd w:val="clear" w:color="auto" w:fill="F7F9FB"/>
          </w:tcPr>
          <w:p>
            <w:pPr>
              <w:pStyle w:val="CellText"/>
            </w:pPr>
          </w:p>
        </w:tc>
      </w:tr>
      <w:tr>
        <w:trPr>
          <w:cantSplit/>
          <w:trHeight w:val="425"/>
        </w:trPr>
        <w:tc>
          <w:tcPr>
            <w:tcW w:type="dxa" w:w="6349"/>
          </w:tcPr>
          <w:p>
            <w:pPr>
              <w:pStyle w:val="CellText"/>
            </w:pPr>
          </w:p>
        </w:tc>
        <w:tc>
          <w:tcPr>
            <w:tcW w:type="dxa" w:w="1474"/>
          </w:tcPr>
          <w:p>
            <w:pPr>
              <w:pStyle w:val="CellText"/>
            </w:pPr>
            <w:r>
              <w:rPr>
                <w:b w:val="0"/>
              </w:rPr>
              <w:t>S’initier à l’interprétation des examens radiologiques simples : radiographie du thorax, radiographie du squelette.</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Ponction d’ascite</w:t>
            </w:r>
          </w:p>
        </w:tc>
        <w:tc>
          <w:tcPr>
            <w:tcW w:type="dxa" w:w="1814"/>
            <w:shd w:val="clear" w:color="auto" w:fill="F7F9FB"/>
          </w:tcPr>
          <w:p>
            <w:pPr>
              <w:pStyle w:val="CellText"/>
            </w:pPr>
          </w:p>
        </w:tc>
      </w:tr>
      <w:tr>
        <w:trPr>
          <w:cantSplit/>
          <w:trHeight w:val="425"/>
        </w:trPr>
        <w:tc>
          <w:tcPr>
            <w:tcW w:type="dxa" w:w="6349"/>
          </w:tcPr>
          <w:p>
            <w:pPr>
              <w:pStyle w:val="CellText"/>
            </w:pPr>
          </w:p>
        </w:tc>
        <w:tc>
          <w:tcPr>
            <w:tcW w:type="dxa" w:w="1474"/>
          </w:tcPr>
          <w:p>
            <w:pPr>
              <w:pStyle w:val="CellText"/>
            </w:pPr>
            <w:r>
              <w:rPr>
                <w:b w:val="0"/>
              </w:rPr>
              <w:t>Ponction pleurale.</w:t>
            </w:r>
          </w:p>
        </w:tc>
        <w:tc>
          <w:tcPr>
            <w:tcW w:type="dxa" w:w="1814"/>
          </w:tcPr>
          <w:p>
            <w:pPr>
              <w:pStyle w:val="CellText"/>
            </w:pPr>
          </w:p>
        </w:tc>
      </w:tr>
    </w:tbl>
    <w:p>
      <w:pPr>
        <w:spacing w:after="40"/>
      </w:pPr>
    </w:p>
    <w:p>
      <w:pPr>
        <w:pStyle w:val="Heading3"/>
      </w:pPr>
      <w:r>
        <w:t>Service de maladies infectieuses</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Reconnaître un syndrome méningé chez un patient qui consulte pour des céphalées</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Réaliser (en simulation) une ponction lombaire devant la suspicion d’une méningite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Interpréter une ponction lombaire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Prendre en charge un AES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Réaliser l’examen des urines par des bandelettes urinaires devant une suspicion d’infection urinaire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Expliquer à un malade le prélèvement d’urine pour la réalisation d’un ECBU</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Interpréter les résultats d’un ECBU</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Reconnaître les situations cliniques et paracliniques devant lesquelles il faut réaliser une sérologie VIH</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Réaliser le test rapide VIH devant la suspicion d’infection à VIH et interpréter son résultat</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Pratiquer l’hygiène des mains avant un soin</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Reconnaître une ADP devant une masse cervicale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Reconnaître un sepsis devant un patient fébrile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Prescrire les examens de 1er intention à réaliser devant une fièvre prolongée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Reconnaître une rickettsiose devant une éruption fébrile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Réunir les arguments épidémiologiques et cliniques en faveur de la leptospirose devant un ictère fébrile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Prendre en charge une morsure d’animal</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Reconnaître le tétanos devant un trismus</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Effectuer les soins nécessaires devant une plaie pour prévenir le tétanos</w:t>
            </w:r>
          </w:p>
        </w:tc>
        <w:tc>
          <w:tcPr>
            <w:tcW w:type="dxa" w:w="1474"/>
            <w:shd w:val="clear" w:color="auto" w:fill="F7F9FB"/>
          </w:tcPr>
          <w:p>
            <w:pPr>
              <w:pStyle w:val="CellText"/>
            </w:pPr>
          </w:p>
        </w:tc>
        <w:tc>
          <w:tcPr>
            <w:tcW w:type="dxa" w:w="1814"/>
            <w:shd w:val="clear" w:color="auto" w:fill="F7F9FB"/>
          </w:tcPr>
          <w:p>
            <w:pPr>
              <w:pStyle w:val="CellText"/>
            </w:pPr>
          </w:p>
        </w:tc>
      </w:tr>
    </w:tbl>
    <w:p>
      <w:pPr>
        <w:spacing w:after="40"/>
      </w:pPr>
    </w:p>
    <w:p>
      <w:pPr>
        <w:pStyle w:val="Heading3"/>
      </w:pPr>
      <w:r>
        <w:t>Service de néphrologie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Élaborer une courbe de suivi de la pression artérielle et du poids chez un patient présentant un syndrome œdémateux</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Interpréter la courbe de poids d’un patient présentant un syndrome œdémateux</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Reconnaître les signes en faveur de l’origine rénale d’un syndrome cœdémateux chez un sujet âgé</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Reconnaître la démarche diagnostique devant une anomalie de la bandelette urinaire chez une femme jeune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Reconnaître la démarche diagnostique devant une albuminurie positive chez un patient diabétique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Reconnaître les symptômes d’un syndrome glomérulaire chez un adulte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Poser l’indication d’une biopsie rénale devant un syndrome néphrotique chez un adulte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Poser l’indication d’une biopsie rénale devant un syndrome néphrétique aigu chez un grand enfant</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Rechercher le caractère secondaire d’une néphropathie chez une patiente avec un sédiment urinaire actif</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Reconnaître les signes en faveur du caractère chronique de l’insuffisance rénale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Évaluer la fonction rénale chez un sujet âgé</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Calculer le débit de filtration glomérulaire chez un adulte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Élaborer une courbe de suivi de protéinurie et de la fonction rénale chez un patient présentant une insuffisance rénale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Interpréter les images d’une échographie rénale chez un patient présentant une insuffisance rénale.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Interpréter l’ionogramme sanguin d’un patient insuffisant rénal</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Interpréter l’ionogramme urinaire chez un patient présentant une hypokaliémie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Prescrire un traitement symptomatique chez un patient présentant un syndrome néphrotique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Prescrire un traitement antihypertenseur chez un patient diabétique avec néphropathie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Raisonnement devant un syndrome œdémateux (ARC) Raisonnement devant une dyspnée (ARC)</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Poser l’indication d’une hémodialyse en urgence chez un patient insuffisant renal</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Poser l’indication d’une initiation à l’hémodialyse chez un patient insuffisant rénal chronique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Reconnaître une fistule artério-veineuse chez un hémodialysé chronique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Examiner une fistule artério-veineuse chez un hémodialysé chronique</w:t>
            </w:r>
          </w:p>
        </w:tc>
        <w:tc>
          <w:tcPr>
            <w:tcW w:type="dxa" w:w="1474"/>
          </w:tcPr>
          <w:p>
            <w:pPr>
              <w:pStyle w:val="CellText"/>
            </w:pPr>
          </w:p>
        </w:tc>
        <w:tc>
          <w:tcPr>
            <w:tcW w:type="dxa" w:w="1814"/>
          </w:tcPr>
          <w:p>
            <w:pPr>
              <w:pStyle w:val="CellText"/>
            </w:pPr>
          </w:p>
        </w:tc>
      </w:tr>
    </w:tbl>
    <w:p>
      <w:pPr>
        <w:spacing w:after="40"/>
      </w:pPr>
    </w:p>
    <w:p>
      <w:pPr>
        <w:pStyle w:val="Heading3"/>
      </w:pPr>
      <w:r>
        <w:t>Service de neurologie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Réaliser un examen neurologique chez l’adulte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Réaliser un test simple d’évaluation des fonctions cognitives chez un adulte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un syndrome cérébelleux chez un patient présentant des troubles de la marche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Reconnaitre un syndrome parkinsonian</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Poser le diagnostic d’un syndrome pyramidal chez un patient présentant un déficit moteur</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Établir le diagnostic d’un syndrome myogène chez un patient présentant un déficit moteur</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Poser le diagnostic d’un syndrome neurogène périphérique chez un patient ayant un déficit moteur ou sensitive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Poser le diagnostic d’un syndrome vestibulaire chez un patient présentant des vertiges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Établir le diagnostic d’épilepsie chez un patient ayant des phénomènes critiques</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Poser l’indication de l’électroencéphalographie chez un patient présentant une perte de connaissance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Interpréter les résultats du Liquide cérébrospinal chez un patient ayant un syndrome méningé</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Relever les anomalies radiologiques sur un scanner cérébral chez un patient présentant un AVC ischémique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Relever les anomalies radiologiques sur une IRM encéphalique chez un patient présentant une sclérose en plaque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ARC : Céphalées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ARC : Déficit moteur</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ARC : Déficit sensitive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ARC : Vertiges</w:t>
            </w:r>
          </w:p>
        </w:tc>
        <w:tc>
          <w:tcPr>
            <w:tcW w:type="dxa" w:w="1474"/>
          </w:tcPr>
          <w:p>
            <w:pPr>
              <w:pStyle w:val="CellText"/>
            </w:pPr>
          </w:p>
        </w:tc>
        <w:tc>
          <w:tcPr>
            <w:tcW w:type="dxa" w:w="1814"/>
          </w:tcPr>
          <w:p>
            <w:pPr>
              <w:pStyle w:val="CellText"/>
            </w:pPr>
          </w:p>
        </w:tc>
      </w:tr>
    </w:tbl>
    <w:p>
      <w:pPr>
        <w:spacing w:after="40"/>
      </w:pPr>
    </w:p>
    <w:p>
      <w:pPr>
        <w:pStyle w:val="Heading3"/>
      </w:pPr>
      <w:r>
        <w:t>Service de pneumophtisiologie - Stage en 3ème année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Réaliser un examen pleuro-pulmonaire chez un adulte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Interpréter une radiographie thoracique de face.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Décrire les différents syndromes radiologiques sur une radiographie thoracique de face (Pleural, pariétal, médiastinal, parenchymateux, emphysémateux)</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Interpréter les résultats d’une bacilloscopie d’un patient tuberculeux.</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Poser le diagnostic d’une bronchite aigue simple chez l’adulte.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Poser le diagnostic d’une pneumopathie communautaire chez l’adulte.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Évaluer la sévérité d’une pneumopathie communautaire chez l’adulte.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Poser le diagnostic d’une dilatation de bronches chez un adulte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Poser le diagnostic d’un carcinome bronchogénique chez un adulte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Reconnaitre un asthme chez un patient asthmatique.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Évaluer la gravité d’une crise d’asthme chez un patient asthmatique.</w:t>
            </w:r>
          </w:p>
        </w:tc>
        <w:tc>
          <w:tcPr>
            <w:tcW w:type="dxa" w:w="1474"/>
          </w:tcPr>
          <w:p>
            <w:pPr>
              <w:pStyle w:val="CellText"/>
            </w:pPr>
          </w:p>
        </w:tc>
        <w:tc>
          <w:tcPr>
            <w:tcW w:type="dxa" w:w="1814"/>
          </w:tcPr>
          <w:p>
            <w:pPr>
              <w:pStyle w:val="CellText"/>
            </w:pPr>
          </w:p>
        </w:tc>
      </w:tr>
      <w:tr>
        <w:trPr>
          <w:cantSplit/>
          <w:trHeight w:val="425"/>
        </w:trPr>
        <w:tc>
          <w:tcPr>
            <w:tcW w:type="dxa" w:w="1814"/>
            <w:gridSpan w:val="3"/>
            <w:shd w:val="clear" w:color="auto" w:fill="DCE9F5"/>
          </w:tcPr>
          <w:p>
            <w:pPr>
              <w:pStyle w:val="CellText"/>
              <w:keepNext/>
            </w:pPr>
            <w:r>
              <w:rPr>
                <w:b/>
                <w:color w:val="1F4E79"/>
              </w:rPr>
              <w:t>SERVICE DE PNEUMOPHTISIOLOGIE - Stage en 6eme année</w:t>
            </w:r>
          </w:p>
        </w:tc>
      </w:tr>
      <w:tr>
        <w:trPr>
          <w:cantSplit/>
          <w:trHeight w:val="425"/>
        </w:trPr>
        <w:tc>
          <w:tcPr>
            <w:tcW w:type="dxa" w:w="6349"/>
          </w:tcPr>
          <w:p>
            <w:pPr>
              <w:pStyle w:val="CellText"/>
            </w:pPr>
            <w:r>
              <w:rPr>
                <w:b w:val="0"/>
              </w:rPr>
              <w:t>Rédiger une ordonnance du traitement anti bacillaire d’une tuberculose pulmonaire de catégorie 1</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Déceler les effets indésirables d’un traitement anti-bacillaire chez un adulte.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Programmer la surveillance d’un traitement anti-bacillaire chez l’adulte.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Prescrire le traitement d’une crise d’asthme.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Prescrire le traitement de fond de l’asthme.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Expliquer l’usage des médicaments en inhalation et la chambre d’inhalation à un patient asthmatique.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Rédiger une ordonnance pour un patient porteur d’une pneumopathie communautaire.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Interpréter les données d’une gazométrie artérielle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Déterminer le stade de sévérité chez un patient BPCO</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Prescrire le traitement d’une BPCO chez l’adulte</w:t>
            </w:r>
          </w:p>
        </w:tc>
        <w:tc>
          <w:tcPr>
            <w:tcW w:type="dxa" w:w="1474"/>
            <w:shd w:val="clear" w:color="auto" w:fill="F7F9FB"/>
          </w:tcPr>
          <w:p>
            <w:pPr>
              <w:pStyle w:val="CellText"/>
            </w:pPr>
          </w:p>
        </w:tc>
        <w:tc>
          <w:tcPr>
            <w:tcW w:type="dxa" w:w="1814"/>
            <w:shd w:val="clear" w:color="auto" w:fill="F7F9FB"/>
          </w:tcPr>
          <w:p>
            <w:pPr>
              <w:pStyle w:val="CellText"/>
            </w:pPr>
          </w:p>
        </w:tc>
      </w:tr>
    </w:tbl>
    <w:p>
      <w:pPr>
        <w:spacing w:after="40"/>
      </w:pPr>
    </w:p>
    <w:p>
      <w:pPr>
        <w:pStyle w:val="Heading4"/>
      </w:pPr>
      <w:r>
        <w:t>Taches d’apprentissage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Assister à une spirométrie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Assister à une bronchoscopie souple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Assister à une consultation de pneumologie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Assister à une consultation d’allergologie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Assister à la consultation d’aide au sevrage tabagique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Assister à la réalisation d’une gazométrie artérielle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1814"/>
            <w:gridSpan w:val="3"/>
            <w:shd w:val="clear" w:color="auto" w:fill="DCE9F5"/>
          </w:tcPr>
          <w:p>
            <w:pPr>
              <w:pStyle w:val="CellText"/>
              <w:keepNext/>
            </w:pPr>
            <w:r>
              <w:rPr>
                <w:b/>
                <w:color w:val="1F4E79"/>
              </w:rPr>
              <w:t>Séances d’ARC</w:t>
            </w:r>
          </w:p>
        </w:tc>
      </w:tr>
      <w:tr>
        <w:trPr>
          <w:cantSplit/>
          <w:trHeight w:val="425"/>
        </w:trPr>
        <w:tc>
          <w:tcPr>
            <w:tcW w:type="dxa" w:w="6349"/>
          </w:tcPr>
          <w:p>
            <w:pPr>
              <w:pStyle w:val="CellText"/>
            </w:pPr>
            <w:r>
              <w:rPr>
                <w:b w:val="0"/>
              </w:rPr>
              <w:t>Élaborer une démarche diagnostique devant une Dyspnée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Élaborer une démarche diagnostique devant une Hémoptysie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Élaborer une démarche diagnostique devant une Toux chronique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Élaborer une démarche diagnostique devant une Douleur thoracique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Élaborer une démarche diagnostique devant une opacité suspecte chez un patient tabagique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Élaborer une démarche diagnostique devant une Dyspnée</w:t>
            </w:r>
          </w:p>
        </w:tc>
        <w:tc>
          <w:tcPr>
            <w:tcW w:type="dxa" w:w="1474"/>
            <w:shd w:val="clear" w:color="auto" w:fill="F7F9FB"/>
          </w:tcPr>
          <w:p>
            <w:pPr>
              <w:pStyle w:val="CellText"/>
            </w:pPr>
          </w:p>
        </w:tc>
        <w:tc>
          <w:tcPr>
            <w:tcW w:type="dxa" w:w="1814"/>
            <w:shd w:val="clear" w:color="auto" w:fill="F7F9FB"/>
          </w:tcPr>
          <w:p>
            <w:pPr>
              <w:pStyle w:val="CellText"/>
            </w:pPr>
          </w:p>
        </w:tc>
      </w:tr>
    </w:tbl>
    <w:p>
      <w:pPr>
        <w:spacing w:after="40"/>
      </w:pPr>
    </w:p>
    <w:p>
      <w:pPr>
        <w:pStyle w:val="Heading3"/>
      </w:pPr>
      <w:r>
        <w:t>Service de psychiatrie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Reconnaître les signes d’un Etat Dépressif Caractérisé chez un adulte jeune sans antécédents psychiatriques.</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Reconnaître les particularités d’un Etat Dépressif Caractérisé chez le sujet âgé.</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Justifier l’orientation psychiatrique d’un patient déprimé.</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Diagnostiquer un trouble panique chez un adulte jeune consultant pour des manifestations somatiques.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Dépister les conduites addictives chez un patient jeune consultant en médecine générale.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Reconnaître un abus de cannabis chez un sujet jeune consultant pour un changement de comportement.</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Reconnaître une dépendance au cannabis chez un sujet jeune consultant pour un changement de comportement.</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Reconnaître une crise suicidaire chez un patient consultant pour un changement de son comportement.</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Evaluer le potentiel suicidaire chez un patient consultant pour une crise suicidaire.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Reconnaître un syndrome confusionnel chez un sujet jeune se présentant pour trouble du comportement.</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Conduire un Traitement Antidépresseur chez un patient déprimé.</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Conduire un traitement anxiolytique Benzodiazépénique.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Reconnaître les signes précoces d’un syndrome malin des neuroleptiques chez un patient fébrile sous traitement antipsychotique.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Identifier les effets secondaires d’un traitement thymorégulateur chez un patient suivi en psychiatrie.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Identifier les effets secondaires d’un traitement antipsychotique chez un patient suivi en psychiatrie.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Pratiquer un entretien psychiatrique chez un patient schizophrène.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Pratiquer un entretien psychiatrique chez un patient ayant un trouble de l’humeur : accès dépressif et accès maniaque.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Pratiquer un entretien psychiatrique chez un patient présentant un trouble anxieux.</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Assister à une activité ergothérapique.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Assister à une séance de groupe de parole.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ARC : Conduite à tenir devant une agitation psychomotrice.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ARC : Conduite à tenir devant un état délirant aigu.</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ARC : Conduite à tenir devant une insomnie.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ARC : Conduite à tenir devant une anorexie.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ARC : Conduite à tenir devant un Délirium Tremens.</w:t>
            </w:r>
          </w:p>
        </w:tc>
        <w:tc>
          <w:tcPr>
            <w:tcW w:type="dxa" w:w="1474"/>
          </w:tcPr>
          <w:p>
            <w:pPr>
              <w:pStyle w:val="CellText"/>
            </w:pPr>
          </w:p>
        </w:tc>
        <w:tc>
          <w:tcPr>
            <w:tcW w:type="dxa" w:w="1814"/>
          </w:tcPr>
          <w:p>
            <w:pPr>
              <w:pStyle w:val="CellText"/>
            </w:pPr>
          </w:p>
        </w:tc>
      </w:tr>
    </w:tbl>
    <w:p>
      <w:pPr>
        <w:spacing w:after="40"/>
      </w:pPr>
    </w:p>
    <w:p>
      <w:pPr>
        <w:pStyle w:val="Heading3"/>
      </w:pPr>
      <w:r>
        <w:t>Service de médecine physique et réadaptation fonctionnelle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Reconnaitre les déficiences sensitivo- motrices chez un blessé médullaire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Expliquer l’auto-sondage et hétéro-sondage chez un blessé médullaire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Évaluer la gravité d’un blessé médullaire selon l’ASIA (American Spinal Injury Association).</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Annoncer le pronostic fonctionnel chez un blessé médullaire.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Évaluer la douleur selon les échelles d’évaluation chez un patient ayant une lombalgie.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Identifier les séquelles neuro orthopédiques chez un patient atteint d’un Accident vasculaire cérébral.</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les complications de décubitus chez un sujet alité.</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Évaluer le retentissement social et professionnel chez un handicapé.</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les séquelles neuro psychologiques chez un patient atteint d’un traumatisme crânien.</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Recommander les aides techniques et humaines chez un traumatisé crânien sévère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Chercher les déficiences chez un enfant atteint d’une infirmité motrice cérébrale.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Évaluer l’équilibre chez un patient atteint d’un syndrome cérébelleux</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Chercher les incapacités chez un patient ayant une fracture de membre inferieur.</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Évaluer la force musculaire chez un patient atteint d’une myopathie.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Pratiquer les moyens thérapeutiques non médicamenteux de la douleur chez un patient atteint d’un rhumatisme inflammatoire chronique.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Réaliser le bilan articulaire chez un malade polytraumatisé</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Réaliser le bilan de sensibilité chez un patient avec radiculalgie de member</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Expliquer l’auto rééducation à un patient : lombalgique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Expliquer l’auto rééducation à un patient : Arthrosique de membre inférieur</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Reconnaitre les troubles statiques du pied chez un patient neurologique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les troubles statiques du pied chez un patient diabétique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Reconnaitre une scoliose chez un patient ayant une déviation rachidienne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les principes thérapeutiques de rééducation chez un patient ayant une : Scoliose.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Reconnaitre les principes thérapeutiques de rééducation chez un patient ayant une : Capsulite retractile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les principes thérapeutiques de rééducation chez un patient ayant une : Tendinopathie de la coiffe des rotateurs</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Reconnaitre les principes thérapeutiques de rééducation chez un patient ayant une : Spondylarthrite ankylosante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les principes thérapeutiques de rééducation chez un patient ayant une : Fracture de membre inférieur</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Utiliser les moyens de gain de mobilité chez un patient porteur d’une prothèse.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Connaitre les différents appareillages chez un diabétique compliqué</w:t>
            </w:r>
          </w:p>
        </w:tc>
        <w:tc>
          <w:tcPr>
            <w:tcW w:type="dxa" w:w="1474"/>
          </w:tcPr>
          <w:p>
            <w:pPr>
              <w:pStyle w:val="CellText"/>
            </w:pPr>
          </w:p>
        </w:tc>
        <w:tc>
          <w:tcPr>
            <w:tcW w:type="dxa" w:w="1814"/>
          </w:tcPr>
          <w:p>
            <w:pPr>
              <w:pStyle w:val="CellText"/>
            </w:pPr>
          </w:p>
        </w:tc>
      </w:tr>
    </w:tbl>
    <w:p>
      <w:pPr>
        <w:spacing w:after="40"/>
      </w:pPr>
    </w:p>
    <w:p>
      <w:pPr>
        <w:pStyle w:val="Heading3"/>
      </w:pPr>
      <w:r>
        <w:t>Service de radiothérapie-oncologie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Examiner un nodule du sein suspect de malignité</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Examiner un col de l’utérus tumoral</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Examiner une adénopathie latéro cervicale lors d’un cancer de la sphère ORL</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Poser le diagnostic d’une ascite lors d’un cancer</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Poser le diagnostic d’une pleurésie lors d’un cancer</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Observation médicale en oncologie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Réaliser une observation médicale des cancers les plus fréquents :</w:t>
            </w:r>
          </w:p>
          <w:p>
            <w:pPr>
              <w:pStyle w:val="CellText"/>
            </w:pPr>
            <w:r>
              <w:rPr>
                <w:b w:val="0"/>
              </w:rPr>
              <w:t>Cancer de sein</w:t>
            </w:r>
          </w:p>
          <w:p>
            <w:pPr>
              <w:pStyle w:val="CellText"/>
            </w:pPr>
            <w:r>
              <w:rPr>
                <w:b w:val="0"/>
              </w:rPr>
              <w:t>Cancer de col de l’utérus</w:t>
            </w:r>
          </w:p>
          <w:p>
            <w:pPr>
              <w:pStyle w:val="CellText"/>
            </w:pPr>
            <w:r>
              <w:rPr>
                <w:b w:val="0"/>
              </w:rPr>
              <w:t>Cancer de l’estomac</w:t>
            </w:r>
          </w:p>
          <w:p>
            <w:pPr>
              <w:pStyle w:val="CellText"/>
            </w:pPr>
            <w:r>
              <w:rPr>
                <w:b w:val="0"/>
              </w:rPr>
              <w:t>Cancer du rectum</w:t>
            </w:r>
          </w:p>
          <w:p>
            <w:pPr>
              <w:pStyle w:val="CellText"/>
            </w:pPr>
            <w:r>
              <w:rPr>
                <w:b w:val="0"/>
              </w:rPr>
              <w:t>Cancer du poumon</w:t>
            </w:r>
          </w:p>
          <w:p>
            <w:pPr>
              <w:pStyle w:val="CellText"/>
            </w:pPr>
            <w:r>
              <w:rPr>
                <w:b w:val="0"/>
              </w:rPr>
              <w:t>Cancer ORL</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Élaborer une stratégie thérapeutique d’un :</w:t>
            </w:r>
          </w:p>
          <w:p>
            <w:pPr>
              <w:pStyle w:val="CellText"/>
            </w:pPr>
            <w:r>
              <w:rPr>
                <w:b w:val="0"/>
              </w:rPr>
              <w:t>Cancer du sein localisé ou métastatique</w:t>
            </w:r>
          </w:p>
          <w:p>
            <w:pPr>
              <w:pStyle w:val="CellText"/>
            </w:pPr>
            <w:r>
              <w:rPr>
                <w:b w:val="0"/>
              </w:rPr>
              <w:t>Cancer localisé ou localement avancé du col de l’utérus</w:t>
            </w:r>
          </w:p>
          <w:p>
            <w:pPr>
              <w:pStyle w:val="CellText"/>
            </w:pPr>
            <w:r>
              <w:rPr>
                <w:b w:val="0"/>
              </w:rPr>
              <w:t>Cancer du rectum</w:t>
            </w:r>
          </w:p>
          <w:p>
            <w:pPr>
              <w:pStyle w:val="CellText"/>
            </w:pPr>
            <w:r>
              <w:rPr>
                <w:b w:val="0"/>
              </w:rPr>
              <w:t>Cancer du poumon</w:t>
            </w:r>
          </w:p>
          <w:p>
            <w:pPr>
              <w:pStyle w:val="CellText"/>
            </w:pPr>
            <w:r>
              <w:rPr>
                <w:b w:val="0"/>
              </w:rPr>
              <w:t>Cancer du larynx</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les toxicités spécifiques et non spécifiques chez un patient sous antimitotiques</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Interpréter une numération formule sanguine d’un syndrome d’insuffisance médullaire post chimiothérapie.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Élaborer une démarche diagnostique chez un patient présentant une neutropénie fébrile post chimiothérapie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Prescrire un traitement anti émétique chez un patient sous chimiothérapie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les toxicités aigues et tardives chez un patient ayant eu une radiothérapie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Traitements palliatifs et soins de support</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Évaluer une douleur chronique chez un cancéreux adulte à l’aide de l’échelle visuelle analogique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Prescrire un traitement d’une douleur modérée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Rédiger une ordonnance à base de morphine chez un cancéreux</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Simuler une consultation d’annonce d’un diagnostic de cancer chez un patient adulte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Réalisation de gestes pratiques</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Réaliser une ponction d’ascite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Réaliser un méchage hémostatique pour cancer du col de l’utérus</w:t>
            </w:r>
          </w:p>
        </w:tc>
        <w:tc>
          <w:tcPr>
            <w:tcW w:type="dxa" w:w="1474"/>
          </w:tcPr>
          <w:p>
            <w:pPr>
              <w:pStyle w:val="CellText"/>
            </w:pPr>
          </w:p>
        </w:tc>
        <w:tc>
          <w:tcPr>
            <w:tcW w:type="dxa" w:w="1814"/>
          </w:tcPr>
          <w:p>
            <w:pPr>
              <w:pStyle w:val="CellText"/>
            </w:pPr>
          </w:p>
        </w:tc>
      </w:tr>
    </w:tbl>
    <w:p>
      <w:pPr>
        <w:spacing w:after="40"/>
      </w:pPr>
    </w:p>
    <w:p>
      <w:pPr>
        <w:pStyle w:val="Heading3"/>
      </w:pPr>
      <w:r>
        <w:t>Service de radiologie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Relever par l’interrogatoire les contres indications chez un patient adressé pour une exploration utilisant les rayons X.</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Relever par l’interrogatoire les contres indications chez un patient adressé pour une IRM.</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Imagerie thoracique</w:t>
            </w:r>
          </w:p>
        </w:tc>
        <w:tc>
          <w:tcPr>
            <w:tcW w:type="dxa" w:w="1474"/>
          </w:tcPr>
          <w:p>
            <w:pPr>
              <w:pStyle w:val="CellText"/>
            </w:pPr>
            <w:r>
              <w:rPr>
                <w:b w:val="0"/>
              </w:rPr>
              <w:t>Déceler par l’interrogatoire les contres indications avant toute injection de produit de contraste.</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Interpréter une radiographie pulmonaire normale de face et de profil chez l’adulte.</w:t>
            </w:r>
          </w:p>
        </w:tc>
        <w:tc>
          <w:tcPr>
            <w:tcW w:type="dxa" w:w="1814"/>
            <w:shd w:val="clear" w:color="auto" w:fill="F7F9FB"/>
          </w:tcPr>
          <w:p>
            <w:pPr>
              <w:pStyle w:val="CellText"/>
            </w:pPr>
          </w:p>
        </w:tc>
      </w:tr>
      <w:tr>
        <w:trPr>
          <w:cantSplit/>
          <w:trHeight w:val="425"/>
        </w:trPr>
        <w:tc>
          <w:tcPr>
            <w:tcW w:type="dxa" w:w="6349"/>
          </w:tcPr>
          <w:p>
            <w:pPr>
              <w:pStyle w:val="CellText"/>
            </w:pPr>
          </w:p>
        </w:tc>
        <w:tc>
          <w:tcPr>
            <w:tcW w:type="dxa" w:w="1474"/>
          </w:tcPr>
          <w:p>
            <w:pPr>
              <w:pStyle w:val="CellText"/>
            </w:pPr>
            <w:r>
              <w:rPr>
                <w:b w:val="0"/>
              </w:rPr>
              <w:t>Reconnaitre les signes sémiologiques d’un syndrome alvéolaire sur la radiographie pulmonaire de face.</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Reconnaître les signes sémiologiques d’un syndrome interstitiel sur une radiographie pulmonaire de face.</w:t>
            </w:r>
          </w:p>
        </w:tc>
        <w:tc>
          <w:tcPr>
            <w:tcW w:type="dxa" w:w="1814"/>
            <w:shd w:val="clear" w:color="auto" w:fill="F7F9FB"/>
          </w:tcPr>
          <w:p>
            <w:pPr>
              <w:pStyle w:val="CellText"/>
            </w:pPr>
          </w:p>
        </w:tc>
      </w:tr>
      <w:tr>
        <w:trPr>
          <w:cantSplit/>
          <w:trHeight w:val="425"/>
        </w:trPr>
        <w:tc>
          <w:tcPr>
            <w:tcW w:type="dxa" w:w="6349"/>
          </w:tcPr>
          <w:p>
            <w:pPr>
              <w:pStyle w:val="CellText"/>
            </w:pPr>
          </w:p>
        </w:tc>
        <w:tc>
          <w:tcPr>
            <w:tcW w:type="dxa" w:w="1474"/>
          </w:tcPr>
          <w:p>
            <w:pPr>
              <w:pStyle w:val="CellText"/>
            </w:pPr>
            <w:r>
              <w:rPr>
                <w:b w:val="0"/>
              </w:rPr>
              <w:t>Relever les signes radiologiques de malignité d’une opacité tumorale du parenchyme pulmonaire chez un patient non traité.</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Localiser une opacité médiastinale sur la radiographie standard de face.</w:t>
            </w:r>
          </w:p>
        </w:tc>
        <w:tc>
          <w:tcPr>
            <w:tcW w:type="dxa" w:w="1814"/>
            <w:shd w:val="clear" w:color="auto" w:fill="F7F9FB"/>
          </w:tcPr>
          <w:p>
            <w:pPr>
              <w:pStyle w:val="CellText"/>
            </w:pPr>
          </w:p>
        </w:tc>
      </w:tr>
      <w:tr>
        <w:trPr>
          <w:cantSplit/>
          <w:trHeight w:val="425"/>
        </w:trPr>
        <w:tc>
          <w:tcPr>
            <w:tcW w:type="dxa" w:w="6349"/>
          </w:tcPr>
          <w:p>
            <w:pPr>
              <w:pStyle w:val="CellText"/>
            </w:pPr>
          </w:p>
        </w:tc>
        <w:tc>
          <w:tcPr>
            <w:tcW w:type="dxa" w:w="1474"/>
          </w:tcPr>
          <w:p>
            <w:pPr>
              <w:pStyle w:val="CellText"/>
            </w:pPr>
            <w:r>
              <w:rPr>
                <w:b w:val="0"/>
              </w:rPr>
              <w:t>Identifier un épanchement pleural aérique ou liquidien sur un cliché standard et au scanner.</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Identifier un syndrome bronchique sur un cliché standard et sur un scanner.</w:t>
            </w:r>
          </w:p>
        </w:tc>
        <w:tc>
          <w:tcPr>
            <w:tcW w:type="dxa" w:w="1814"/>
            <w:shd w:val="clear" w:color="auto" w:fill="F7F9FB"/>
          </w:tcPr>
          <w:p>
            <w:pPr>
              <w:pStyle w:val="CellText"/>
            </w:pPr>
          </w:p>
        </w:tc>
      </w:tr>
      <w:tr>
        <w:trPr>
          <w:cantSplit/>
          <w:trHeight w:val="425"/>
        </w:trPr>
        <w:tc>
          <w:tcPr>
            <w:tcW w:type="dxa" w:w="6349"/>
          </w:tcPr>
          <w:p>
            <w:pPr>
              <w:pStyle w:val="CellText"/>
            </w:pPr>
          </w:p>
        </w:tc>
        <w:tc>
          <w:tcPr>
            <w:tcW w:type="dxa" w:w="1474"/>
          </w:tcPr>
          <w:p>
            <w:pPr>
              <w:pStyle w:val="CellText"/>
            </w:pPr>
            <w:r>
              <w:rPr>
                <w:b w:val="0"/>
              </w:rPr>
              <w:t>Reconnaître les signes sémiologiques d’une tuberculose pulmonaire sur un cliché standard chez l’immunocompétent.</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Reconnaître un emphysème sur une radiographie standard chez l’adulte.</w:t>
            </w:r>
          </w:p>
        </w:tc>
        <w:tc>
          <w:tcPr>
            <w:tcW w:type="dxa" w:w="1814"/>
            <w:shd w:val="clear" w:color="auto" w:fill="F7F9FB"/>
          </w:tcPr>
          <w:p>
            <w:pPr>
              <w:pStyle w:val="CellText"/>
            </w:pPr>
          </w:p>
        </w:tc>
      </w:tr>
      <w:tr>
        <w:trPr>
          <w:cantSplit/>
          <w:trHeight w:val="425"/>
        </w:trPr>
        <w:tc>
          <w:tcPr>
            <w:tcW w:type="dxa" w:w="6349"/>
          </w:tcPr>
          <w:p>
            <w:pPr>
              <w:pStyle w:val="CellText"/>
            </w:pPr>
          </w:p>
        </w:tc>
        <w:tc>
          <w:tcPr>
            <w:tcW w:type="dxa" w:w="1474"/>
          </w:tcPr>
          <w:p>
            <w:pPr>
              <w:pStyle w:val="CellText"/>
            </w:pPr>
            <w:r>
              <w:rPr>
                <w:b w:val="0"/>
              </w:rPr>
              <w:t>Différencier sur une radiographie thoracique de face une opacité pleuro-pariétale d’une opacité pulmonaire.</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ARC : Opacité excavée</w:t>
            </w:r>
          </w:p>
        </w:tc>
        <w:tc>
          <w:tcPr>
            <w:tcW w:type="dxa" w:w="1814"/>
            <w:shd w:val="clear" w:color="auto" w:fill="F7F9FB"/>
          </w:tcPr>
          <w:p>
            <w:pPr>
              <w:pStyle w:val="CellText"/>
            </w:pPr>
          </w:p>
        </w:tc>
      </w:tr>
      <w:tr>
        <w:trPr>
          <w:cantSplit/>
          <w:trHeight w:val="425"/>
        </w:trPr>
        <w:tc>
          <w:tcPr>
            <w:tcW w:type="dxa" w:w="6349"/>
          </w:tcPr>
          <w:p>
            <w:pPr>
              <w:pStyle w:val="CellText"/>
            </w:pPr>
            <w:r>
              <w:rPr>
                <w:b w:val="0"/>
              </w:rPr>
              <w:t>Imagerie</w:t>
            </w:r>
          </w:p>
          <w:p>
            <w:pPr>
              <w:pStyle w:val="CellText"/>
            </w:pPr>
            <w:r>
              <w:rPr>
                <w:b w:val="0"/>
              </w:rPr>
              <w:t>Digestive</w:t>
            </w:r>
          </w:p>
        </w:tc>
        <w:tc>
          <w:tcPr>
            <w:tcW w:type="dxa" w:w="1474"/>
          </w:tcPr>
          <w:p>
            <w:pPr>
              <w:pStyle w:val="CellText"/>
            </w:pPr>
            <w:r>
              <w:rPr>
                <w:b w:val="0"/>
              </w:rPr>
              <w:t>Interpréter un cliché d’ASP normal d’un adulte.</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Reconnaître les niveaux hydro-aériques d’origine grêlique et colique sur un ASP réalisé chez un patient debout.</w:t>
            </w:r>
          </w:p>
        </w:tc>
        <w:tc>
          <w:tcPr>
            <w:tcW w:type="dxa" w:w="1814"/>
            <w:shd w:val="clear" w:color="auto" w:fill="F7F9FB"/>
          </w:tcPr>
          <w:p>
            <w:pPr>
              <w:pStyle w:val="CellText"/>
            </w:pPr>
          </w:p>
        </w:tc>
      </w:tr>
      <w:tr>
        <w:trPr>
          <w:cantSplit/>
          <w:trHeight w:val="425"/>
        </w:trPr>
        <w:tc>
          <w:tcPr>
            <w:tcW w:type="dxa" w:w="6349"/>
          </w:tcPr>
          <w:p>
            <w:pPr>
              <w:pStyle w:val="CellText"/>
            </w:pPr>
          </w:p>
        </w:tc>
        <w:tc>
          <w:tcPr>
            <w:tcW w:type="dxa" w:w="1474"/>
          </w:tcPr>
          <w:p>
            <w:pPr>
              <w:pStyle w:val="CellText"/>
            </w:pPr>
            <w:r>
              <w:rPr>
                <w:b w:val="0"/>
              </w:rPr>
              <w:t>Reconnaître un pneumopéritoine sur un cliché standard réalisé en position debout.</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Reconnaitre les différents organes visibles sur un scanner abdominal normal.</w:t>
            </w:r>
          </w:p>
        </w:tc>
        <w:tc>
          <w:tcPr>
            <w:tcW w:type="dxa" w:w="1814"/>
            <w:shd w:val="clear" w:color="auto" w:fill="F7F9FB"/>
          </w:tcPr>
          <w:p>
            <w:pPr>
              <w:pStyle w:val="CellText"/>
            </w:pPr>
          </w:p>
        </w:tc>
      </w:tr>
      <w:tr>
        <w:trPr>
          <w:cantSplit/>
          <w:trHeight w:val="425"/>
        </w:trPr>
        <w:tc>
          <w:tcPr>
            <w:tcW w:type="dxa" w:w="6349"/>
          </w:tcPr>
          <w:p>
            <w:pPr>
              <w:pStyle w:val="CellText"/>
            </w:pPr>
            <w:r>
              <w:rPr>
                <w:b w:val="0"/>
              </w:rPr>
              <w:t>Imagerie</w:t>
            </w:r>
          </w:p>
          <w:p>
            <w:pPr>
              <w:pStyle w:val="CellText"/>
            </w:pPr>
            <w:r>
              <w:rPr>
                <w:b w:val="0"/>
              </w:rPr>
              <w:t>urologique</w:t>
            </w:r>
          </w:p>
        </w:tc>
        <w:tc>
          <w:tcPr>
            <w:tcW w:type="dxa" w:w="1474"/>
          </w:tcPr>
          <w:p>
            <w:pPr>
              <w:pStyle w:val="CellText"/>
            </w:pPr>
            <w:r>
              <w:rPr>
                <w:b w:val="0"/>
              </w:rPr>
              <w:t>Analyser un AUSP chez l’adulte.</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Reconnaître un calcul radio opaque sur AUSP chez un adulte.</w:t>
            </w:r>
          </w:p>
        </w:tc>
        <w:tc>
          <w:tcPr>
            <w:tcW w:type="dxa" w:w="1814"/>
            <w:shd w:val="clear" w:color="auto" w:fill="F7F9FB"/>
          </w:tcPr>
          <w:p>
            <w:pPr>
              <w:pStyle w:val="CellText"/>
            </w:pPr>
          </w:p>
        </w:tc>
      </w:tr>
      <w:tr>
        <w:trPr>
          <w:cantSplit/>
          <w:trHeight w:val="425"/>
        </w:trPr>
        <w:tc>
          <w:tcPr>
            <w:tcW w:type="dxa" w:w="6349"/>
          </w:tcPr>
          <w:p>
            <w:pPr>
              <w:pStyle w:val="CellText"/>
            </w:pPr>
            <w:r>
              <w:rPr>
                <w:b w:val="0"/>
              </w:rPr>
              <w:t>Neuro- radiologie</w:t>
            </w:r>
          </w:p>
        </w:tc>
        <w:tc>
          <w:tcPr>
            <w:tcW w:type="dxa" w:w="1474"/>
          </w:tcPr>
          <w:p>
            <w:pPr>
              <w:pStyle w:val="CellText"/>
            </w:pPr>
            <w:r>
              <w:rPr>
                <w:b w:val="0"/>
              </w:rPr>
              <w:t>Reconnaiître les différentes structures identifiables sur un scanner cérébral normal.</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Reconnaitre un AVCI et AVCH sur un scanner cérébral.</w:t>
            </w:r>
          </w:p>
        </w:tc>
        <w:tc>
          <w:tcPr>
            <w:tcW w:type="dxa" w:w="1814"/>
            <w:shd w:val="clear" w:color="auto" w:fill="F7F9FB"/>
          </w:tcPr>
          <w:p>
            <w:pPr>
              <w:pStyle w:val="CellText"/>
            </w:pPr>
          </w:p>
        </w:tc>
      </w:tr>
      <w:tr>
        <w:trPr>
          <w:cantSplit/>
          <w:trHeight w:val="425"/>
        </w:trPr>
        <w:tc>
          <w:tcPr>
            <w:tcW w:type="dxa" w:w="6349"/>
          </w:tcPr>
          <w:p>
            <w:pPr>
              <w:pStyle w:val="CellText"/>
            </w:pPr>
          </w:p>
        </w:tc>
        <w:tc>
          <w:tcPr>
            <w:tcW w:type="dxa" w:w="1474"/>
          </w:tcPr>
          <w:p>
            <w:pPr>
              <w:pStyle w:val="CellText"/>
            </w:pPr>
            <w:r>
              <w:rPr>
                <w:b w:val="0"/>
              </w:rPr>
              <w:t>Déceler sur un scanner les différentes lésions post traumatiques de l’encéphale.</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Interpréter une radiographie normale du rachis de l’adulte.</w:t>
            </w:r>
          </w:p>
        </w:tc>
        <w:tc>
          <w:tcPr>
            <w:tcW w:type="dxa" w:w="1814"/>
            <w:shd w:val="clear" w:color="auto" w:fill="F7F9FB"/>
          </w:tcPr>
          <w:p>
            <w:pPr>
              <w:pStyle w:val="CellText"/>
            </w:pPr>
          </w:p>
        </w:tc>
      </w:tr>
      <w:tr>
        <w:trPr>
          <w:cantSplit/>
          <w:trHeight w:val="425"/>
        </w:trPr>
        <w:tc>
          <w:tcPr>
            <w:tcW w:type="dxa" w:w="6349"/>
          </w:tcPr>
          <w:p>
            <w:pPr>
              <w:pStyle w:val="CellText"/>
            </w:pPr>
          </w:p>
        </w:tc>
        <w:tc>
          <w:tcPr>
            <w:tcW w:type="dxa" w:w="1474"/>
          </w:tcPr>
          <w:p>
            <w:pPr>
              <w:pStyle w:val="CellText"/>
            </w:pPr>
            <w:r>
              <w:rPr>
                <w:b w:val="0"/>
              </w:rPr>
              <w:t>Déceler les signes de l’arthrose rachidienne sur la radiographie standard.</w:t>
            </w:r>
          </w:p>
        </w:tc>
        <w:tc>
          <w:tcPr>
            <w:tcW w:type="dxa" w:w="1814"/>
          </w:tcPr>
          <w:p>
            <w:pPr>
              <w:pStyle w:val="CellText"/>
            </w:pPr>
          </w:p>
        </w:tc>
      </w:tr>
      <w:tr>
        <w:trPr>
          <w:cantSplit/>
          <w:trHeight w:val="425"/>
        </w:trPr>
        <w:tc>
          <w:tcPr>
            <w:tcW w:type="dxa" w:w="6349"/>
            <w:shd w:val="clear" w:color="auto" w:fill="F7F9FB"/>
          </w:tcPr>
          <w:p>
            <w:pPr>
              <w:pStyle w:val="CellText"/>
            </w:pPr>
            <w:r>
              <w:rPr>
                <w:b w:val="0"/>
              </w:rPr>
              <w:t>Radiologie Ostéo-</w:t>
            </w:r>
          </w:p>
          <w:p>
            <w:pPr>
              <w:pStyle w:val="CellText"/>
            </w:pPr>
            <w:r>
              <w:rPr>
                <w:b w:val="0"/>
              </w:rPr>
              <w:t>articulaire</w:t>
            </w:r>
          </w:p>
        </w:tc>
        <w:tc>
          <w:tcPr>
            <w:tcW w:type="dxa" w:w="1474"/>
            <w:shd w:val="clear" w:color="auto" w:fill="F7F9FB"/>
          </w:tcPr>
          <w:p>
            <w:pPr>
              <w:pStyle w:val="CellText"/>
            </w:pPr>
            <w:r>
              <w:rPr>
                <w:b w:val="0"/>
              </w:rPr>
              <w:t>Interpréter une radiographie articulaire chez un adulte.</w:t>
            </w:r>
          </w:p>
        </w:tc>
        <w:tc>
          <w:tcPr>
            <w:tcW w:type="dxa" w:w="1814"/>
            <w:shd w:val="clear" w:color="auto" w:fill="F7F9FB"/>
          </w:tcPr>
          <w:p>
            <w:pPr>
              <w:pStyle w:val="CellText"/>
            </w:pPr>
          </w:p>
        </w:tc>
      </w:tr>
      <w:tr>
        <w:trPr>
          <w:cantSplit/>
          <w:trHeight w:val="425"/>
        </w:trPr>
        <w:tc>
          <w:tcPr>
            <w:tcW w:type="dxa" w:w="6349"/>
          </w:tcPr>
          <w:p>
            <w:pPr>
              <w:pStyle w:val="CellText"/>
            </w:pPr>
          </w:p>
        </w:tc>
        <w:tc>
          <w:tcPr>
            <w:tcW w:type="dxa" w:w="1474"/>
          </w:tcPr>
          <w:p>
            <w:pPr>
              <w:pStyle w:val="CellText"/>
            </w:pPr>
            <w:r>
              <w:rPr>
                <w:b w:val="0"/>
              </w:rPr>
              <w:t>Reconnaître les signes radiologiques du mal de pott sur un cliché standard.</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Reconnaître les signes d’arthrose sur une radiographie standard.</w:t>
            </w:r>
          </w:p>
        </w:tc>
        <w:tc>
          <w:tcPr>
            <w:tcW w:type="dxa" w:w="1814"/>
            <w:shd w:val="clear" w:color="auto" w:fill="F7F9FB"/>
          </w:tcPr>
          <w:p>
            <w:pPr>
              <w:pStyle w:val="CellText"/>
            </w:pPr>
          </w:p>
        </w:tc>
      </w:tr>
      <w:tr>
        <w:trPr>
          <w:cantSplit/>
          <w:trHeight w:val="425"/>
        </w:trPr>
        <w:tc>
          <w:tcPr>
            <w:tcW w:type="dxa" w:w="6349"/>
          </w:tcPr>
          <w:p>
            <w:pPr>
              <w:pStyle w:val="CellText"/>
            </w:pPr>
          </w:p>
        </w:tc>
        <w:tc>
          <w:tcPr>
            <w:tcW w:type="dxa" w:w="1474"/>
          </w:tcPr>
          <w:p>
            <w:pPr>
              <w:pStyle w:val="CellText"/>
            </w:pPr>
            <w:r>
              <w:rPr>
                <w:b w:val="0"/>
              </w:rPr>
              <w:t>ARC : ostéolyse osseuse</w:t>
            </w:r>
          </w:p>
        </w:tc>
        <w:tc>
          <w:tcPr>
            <w:tcW w:type="dxa" w:w="1814"/>
          </w:tcPr>
          <w:p>
            <w:pPr>
              <w:pStyle w:val="CellText"/>
            </w:pPr>
          </w:p>
        </w:tc>
      </w:tr>
      <w:tr>
        <w:trPr>
          <w:cantSplit/>
          <w:trHeight w:val="425"/>
        </w:trPr>
        <w:tc>
          <w:tcPr>
            <w:tcW w:type="dxa" w:w="6349"/>
            <w:shd w:val="clear" w:color="auto" w:fill="F7F9FB"/>
          </w:tcPr>
          <w:p>
            <w:pPr>
              <w:pStyle w:val="CellText"/>
            </w:pPr>
            <w:r>
              <w:rPr>
                <w:b w:val="0"/>
              </w:rPr>
              <w:t>Imagerie De la femme</w:t>
            </w:r>
          </w:p>
        </w:tc>
        <w:tc>
          <w:tcPr>
            <w:tcW w:type="dxa" w:w="1474"/>
            <w:shd w:val="clear" w:color="auto" w:fill="F7F9FB"/>
          </w:tcPr>
          <w:p>
            <w:pPr>
              <w:pStyle w:val="CellText"/>
            </w:pPr>
            <w:r>
              <w:rPr>
                <w:b w:val="0"/>
              </w:rPr>
              <w:t>Interpréter une hystérosalpingographie normale.</w:t>
            </w:r>
          </w:p>
        </w:tc>
        <w:tc>
          <w:tcPr>
            <w:tcW w:type="dxa" w:w="1814"/>
            <w:shd w:val="clear" w:color="auto" w:fill="F7F9FB"/>
          </w:tcPr>
          <w:p>
            <w:pPr>
              <w:pStyle w:val="CellText"/>
            </w:pPr>
          </w:p>
        </w:tc>
      </w:tr>
      <w:tr>
        <w:trPr>
          <w:cantSplit/>
          <w:trHeight w:val="425"/>
        </w:trPr>
        <w:tc>
          <w:tcPr>
            <w:tcW w:type="dxa" w:w="6349"/>
          </w:tcPr>
          <w:p>
            <w:pPr>
              <w:pStyle w:val="CellText"/>
            </w:pPr>
          </w:p>
        </w:tc>
        <w:tc>
          <w:tcPr>
            <w:tcW w:type="dxa" w:w="1474"/>
          </w:tcPr>
          <w:p>
            <w:pPr>
              <w:pStyle w:val="CellText"/>
            </w:pPr>
            <w:r>
              <w:rPr>
                <w:b w:val="0"/>
              </w:rPr>
              <w:t>Analyser une mammographie normale chez la femme jeune et la femme âgée.</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ARC : Nodule mammaire sur la mammographie.</w:t>
            </w:r>
          </w:p>
        </w:tc>
        <w:tc>
          <w:tcPr>
            <w:tcW w:type="dxa" w:w="1814"/>
            <w:shd w:val="clear" w:color="auto" w:fill="F7F9FB"/>
          </w:tcPr>
          <w:p>
            <w:pPr>
              <w:pStyle w:val="CellText"/>
            </w:pPr>
          </w:p>
        </w:tc>
      </w:tr>
      <w:tr>
        <w:trPr>
          <w:cantSplit/>
          <w:trHeight w:val="425"/>
        </w:trPr>
        <w:tc>
          <w:tcPr>
            <w:tcW w:type="dxa" w:w="6349"/>
          </w:tcPr>
          <w:p>
            <w:pPr>
              <w:pStyle w:val="CellText"/>
            </w:pPr>
            <w:r>
              <w:rPr>
                <w:b w:val="0"/>
              </w:rPr>
              <w:t>Imagerie De l’enfant</w:t>
            </w:r>
          </w:p>
        </w:tc>
        <w:tc>
          <w:tcPr>
            <w:tcW w:type="dxa" w:w="1474"/>
          </w:tcPr>
          <w:p>
            <w:pPr>
              <w:pStyle w:val="CellText"/>
            </w:pPr>
            <w:r>
              <w:rPr>
                <w:b w:val="0"/>
              </w:rPr>
              <w:t>Interpréter un ASP chez le nouveau-né.</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Interpréter une radiographie thoracique chez l’enfant.</w:t>
            </w:r>
          </w:p>
        </w:tc>
        <w:tc>
          <w:tcPr>
            <w:tcW w:type="dxa" w:w="1814"/>
            <w:shd w:val="clear" w:color="auto" w:fill="F7F9FB"/>
          </w:tcPr>
          <w:p>
            <w:pPr>
              <w:pStyle w:val="CellText"/>
            </w:pPr>
          </w:p>
        </w:tc>
      </w:tr>
      <w:tr>
        <w:trPr>
          <w:cantSplit/>
          <w:trHeight w:val="425"/>
        </w:trPr>
        <w:tc>
          <w:tcPr>
            <w:tcW w:type="dxa" w:w="6349"/>
          </w:tcPr>
          <w:p>
            <w:pPr>
              <w:pStyle w:val="CellText"/>
            </w:pPr>
          </w:p>
        </w:tc>
        <w:tc>
          <w:tcPr>
            <w:tcW w:type="dxa" w:w="1474"/>
          </w:tcPr>
          <w:p>
            <w:pPr>
              <w:pStyle w:val="CellText"/>
            </w:pPr>
            <w:r>
              <w:rPr>
                <w:b w:val="0"/>
              </w:rPr>
              <w:t>Reconnaitre un reflux vésico-urétérale et sa stadification sur un UCG chez un enfant.</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Relever les signes d’ostéo-chondrite primitive de hanche sur la radiographie de hanche de l’enfant.</w:t>
            </w:r>
          </w:p>
        </w:tc>
        <w:tc>
          <w:tcPr>
            <w:tcW w:type="dxa" w:w="1814"/>
            <w:shd w:val="clear" w:color="auto" w:fill="F7F9FB"/>
          </w:tcPr>
          <w:p>
            <w:pPr>
              <w:pStyle w:val="CellText"/>
            </w:pPr>
          </w:p>
        </w:tc>
      </w:tr>
      <w:tr>
        <w:trPr>
          <w:cantSplit/>
          <w:trHeight w:val="425"/>
        </w:trPr>
        <w:tc>
          <w:tcPr>
            <w:tcW w:type="dxa" w:w="6349"/>
          </w:tcPr>
          <w:p>
            <w:pPr>
              <w:pStyle w:val="CellText"/>
            </w:pPr>
          </w:p>
        </w:tc>
        <w:tc>
          <w:tcPr>
            <w:tcW w:type="dxa" w:w="1474"/>
          </w:tcPr>
          <w:p>
            <w:pPr>
              <w:pStyle w:val="CellText"/>
            </w:pPr>
            <w:r>
              <w:rPr>
                <w:b w:val="0"/>
              </w:rPr>
              <w:t>Déceler les signes d’une LCH sur une radiographie du bassin chez un nourrisson de 4 mois.</w:t>
            </w:r>
          </w:p>
        </w:tc>
        <w:tc>
          <w:tcPr>
            <w:tcW w:type="dxa" w:w="1814"/>
          </w:tcPr>
          <w:p>
            <w:pPr>
              <w:pStyle w:val="CellText"/>
            </w:pPr>
          </w:p>
        </w:tc>
      </w:tr>
    </w:tbl>
    <w:p>
      <w:pPr>
        <w:spacing w:after="40"/>
      </w:pPr>
    </w:p>
    <w:p>
      <w:pPr>
        <w:pStyle w:val="Heading2"/>
      </w:pPr>
      <w:r>
        <w:t>E. Les objectifs spécifiques dans les services de chirurgie</w:t>
      </w:r>
    </w:p>
    <w:p>
      <w:pPr>
        <w:pStyle w:val="Heading3"/>
      </w:pPr>
      <w:r>
        <w:t>Service de chirurgie cardiovasculaire - Stage en 4ème Année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Relever sur la base des données anamnestiques les facteurs du risque cardio-vasculaire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Calculer l’index de pression systolique chez un artéritique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Déceler par l’interrogatoire et l’examen physique les signes en faveur d’une artériopathie oblitérantes des membres inférieurs chez un patient se présentant pour des claudications intermittentes.</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Reconnaitre un trouble trophique chez un patient suivi pour artériopathie oblitérantes des membres inférieures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une douleur ischémique de repos chez un patient artéritique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Réaliser un examen des pouls au niveau des membres inférieurs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une ischémie aigue chez un patient ayant une cardiopathie emboligène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Énumérer les moyens thérapeutiques de l’ischémie aigue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à l’auscultation cardiaque un roulement diastolique de rétrécissement mitral</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Reconnaitre à l’auscultation cardiaque un souffle en rayon de roue de communication interventriculaire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L’artériographie des membres</w:t>
            </w:r>
          </w:p>
          <w:p>
            <w:pPr>
              <w:pStyle w:val="CellText"/>
            </w:pPr>
            <w:r>
              <w:rPr>
                <w:b w:val="0"/>
              </w:rPr>
              <w:t>inférieurs</w:t>
            </w:r>
          </w:p>
        </w:tc>
        <w:tc>
          <w:tcPr>
            <w:tcW w:type="dxa" w:w="1474"/>
          </w:tcPr>
          <w:p>
            <w:pPr>
              <w:pStyle w:val="CellText"/>
            </w:pPr>
            <w:r>
              <w:rPr>
                <w:b w:val="0"/>
              </w:rPr>
              <w:t>Identifier les principales artères des membres inférieurs</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Reconnaitre une occlusion sur une artériographie</w:t>
            </w:r>
          </w:p>
        </w:tc>
        <w:tc>
          <w:tcPr>
            <w:tcW w:type="dxa" w:w="1814"/>
            <w:shd w:val="clear" w:color="auto" w:fill="F7F9FB"/>
          </w:tcPr>
          <w:p>
            <w:pPr>
              <w:pStyle w:val="CellText"/>
            </w:pPr>
          </w:p>
        </w:tc>
      </w:tr>
      <w:tr>
        <w:trPr>
          <w:cantSplit/>
          <w:trHeight w:val="425"/>
        </w:trPr>
        <w:tc>
          <w:tcPr>
            <w:tcW w:type="dxa" w:w="6349"/>
          </w:tcPr>
          <w:p>
            <w:pPr>
              <w:pStyle w:val="CellText"/>
            </w:pPr>
          </w:p>
        </w:tc>
        <w:tc>
          <w:tcPr>
            <w:tcW w:type="dxa" w:w="1474"/>
          </w:tcPr>
          <w:p>
            <w:pPr>
              <w:pStyle w:val="CellText"/>
            </w:pPr>
            <w:r>
              <w:rPr>
                <w:b w:val="0"/>
              </w:rPr>
              <w:t>Reconnaitre une sténose artérielle sur une artériographie</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cardiaque chez Décrire un l’aspect patient sur une des porteur radiographie arcs d’une de la silhouette valvulopathie thoracique de mitrale au stade chirurgicale</w:t>
            </w:r>
          </w:p>
        </w:tc>
        <w:tc>
          <w:tcPr>
            <w:tcW w:type="dxa" w:w="1814"/>
            <w:shd w:val="clear" w:color="auto" w:fill="F7F9FB"/>
          </w:tcPr>
          <w:p>
            <w:pPr>
              <w:pStyle w:val="CellText"/>
            </w:pPr>
          </w:p>
        </w:tc>
      </w:tr>
      <w:tr>
        <w:trPr>
          <w:cantSplit/>
          <w:trHeight w:val="425"/>
        </w:trPr>
        <w:tc>
          <w:tcPr>
            <w:tcW w:type="dxa" w:w="6349"/>
          </w:tcPr>
          <w:p>
            <w:pPr>
              <w:pStyle w:val="CellText"/>
            </w:pPr>
          </w:p>
        </w:tc>
        <w:tc>
          <w:tcPr>
            <w:tcW w:type="dxa" w:w="1474"/>
          </w:tcPr>
          <w:p>
            <w:pPr>
              <w:pStyle w:val="CellText"/>
            </w:pPr>
            <w:r>
              <w:rPr>
                <w:b w:val="0"/>
              </w:rPr>
              <w:t>Décrire l’aspect des arcs de la silhouette cardiaque sur et la vascularisation pulmonaire de chez un patient ayant une tétralogie de Fallot</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Reconnaitre Les fils d’aciers sur ; la les radiographie valves mécaniques du thorax chez patient opéré pour remplacement valvulaire mitral</w:t>
            </w:r>
          </w:p>
        </w:tc>
        <w:tc>
          <w:tcPr>
            <w:tcW w:type="dxa" w:w="1814"/>
            <w:shd w:val="clear" w:color="auto" w:fill="F7F9FB"/>
          </w:tcPr>
          <w:p>
            <w:pPr>
              <w:pStyle w:val="CellText"/>
            </w:pPr>
          </w:p>
        </w:tc>
      </w:tr>
      <w:tr>
        <w:trPr>
          <w:cantSplit/>
          <w:trHeight w:val="425"/>
        </w:trPr>
        <w:tc>
          <w:tcPr>
            <w:tcW w:type="dxa" w:w="6349"/>
          </w:tcPr>
          <w:p>
            <w:pPr>
              <w:pStyle w:val="CellText"/>
            </w:pPr>
          </w:p>
        </w:tc>
        <w:tc>
          <w:tcPr>
            <w:tcW w:type="dxa" w:w="1474"/>
          </w:tcPr>
          <w:p>
            <w:pPr>
              <w:pStyle w:val="CellText"/>
            </w:pPr>
            <w:r>
              <w:rPr>
                <w:b w:val="0"/>
              </w:rPr>
              <w:t>Interpréter une radiographie du thorax d’un patient porteur d’un shunt gauche droit</w:t>
            </w:r>
          </w:p>
        </w:tc>
        <w:tc>
          <w:tcPr>
            <w:tcW w:type="dxa" w:w="1814"/>
          </w:tcPr>
          <w:p>
            <w:pPr>
              <w:pStyle w:val="CellText"/>
            </w:pPr>
          </w:p>
        </w:tc>
      </w:tr>
      <w:tr>
        <w:trPr>
          <w:cantSplit/>
          <w:trHeight w:val="425"/>
        </w:trPr>
        <w:tc>
          <w:tcPr>
            <w:tcW w:type="dxa" w:w="6349"/>
            <w:shd w:val="clear" w:color="auto" w:fill="F7F9FB"/>
          </w:tcPr>
          <w:p>
            <w:pPr>
              <w:pStyle w:val="CellText"/>
            </w:pPr>
            <w:r>
              <w:rPr>
                <w:b w:val="0"/>
              </w:rPr>
              <w:t>ARC</w:t>
            </w:r>
          </w:p>
        </w:tc>
        <w:tc>
          <w:tcPr>
            <w:tcW w:type="dxa" w:w="1474"/>
            <w:shd w:val="clear" w:color="auto" w:fill="F7F9FB"/>
          </w:tcPr>
          <w:p>
            <w:pPr>
              <w:pStyle w:val="CellText"/>
            </w:pPr>
            <w:r>
              <w:rPr>
                <w:b w:val="0"/>
              </w:rPr>
              <w:t>Démarche diagnostique devant une claudication intermittente</w:t>
            </w:r>
          </w:p>
        </w:tc>
        <w:tc>
          <w:tcPr>
            <w:tcW w:type="dxa" w:w="1814"/>
            <w:shd w:val="clear" w:color="auto" w:fill="F7F9FB"/>
          </w:tcPr>
          <w:p>
            <w:pPr>
              <w:pStyle w:val="CellText"/>
            </w:pPr>
          </w:p>
        </w:tc>
      </w:tr>
      <w:tr>
        <w:trPr>
          <w:cantSplit/>
          <w:trHeight w:val="425"/>
        </w:trPr>
        <w:tc>
          <w:tcPr>
            <w:tcW w:type="dxa" w:w="6349"/>
          </w:tcPr>
          <w:p>
            <w:pPr>
              <w:pStyle w:val="CellText"/>
            </w:pPr>
          </w:p>
        </w:tc>
        <w:tc>
          <w:tcPr>
            <w:tcW w:type="dxa" w:w="1474"/>
          </w:tcPr>
          <w:p>
            <w:pPr>
              <w:pStyle w:val="CellText"/>
            </w:pPr>
            <w:r>
              <w:rPr>
                <w:b w:val="0"/>
              </w:rPr>
              <w:t>Démarche diagnostique devant des œdèmes des membres inferieurs</w:t>
            </w:r>
          </w:p>
        </w:tc>
        <w:tc>
          <w:tcPr>
            <w:tcW w:type="dxa" w:w="1814"/>
          </w:tcPr>
          <w:p>
            <w:pPr>
              <w:pStyle w:val="CellText"/>
            </w:pPr>
          </w:p>
        </w:tc>
      </w:tr>
      <w:tr>
        <w:trPr>
          <w:cantSplit/>
          <w:trHeight w:val="425"/>
        </w:trPr>
        <w:tc>
          <w:tcPr>
            <w:tcW w:type="dxa" w:w="6349"/>
            <w:shd w:val="clear" w:color="auto" w:fill="F7F9FB"/>
          </w:tcPr>
          <w:p>
            <w:pPr>
              <w:pStyle w:val="CellText"/>
            </w:pPr>
          </w:p>
        </w:tc>
        <w:tc>
          <w:tcPr>
            <w:tcW w:type="dxa" w:w="1474"/>
            <w:shd w:val="clear" w:color="auto" w:fill="F7F9FB"/>
          </w:tcPr>
          <w:p>
            <w:pPr>
              <w:pStyle w:val="CellText"/>
            </w:pPr>
            <w:r>
              <w:rPr>
                <w:b w:val="0"/>
              </w:rPr>
              <w:t>Démarche diagnostique devant un gros membre inferieur</w:t>
            </w:r>
          </w:p>
        </w:tc>
        <w:tc>
          <w:tcPr>
            <w:tcW w:type="dxa" w:w="1814"/>
            <w:shd w:val="clear" w:color="auto" w:fill="F7F9FB"/>
          </w:tcPr>
          <w:p>
            <w:pPr>
              <w:pStyle w:val="CellText"/>
            </w:pPr>
          </w:p>
        </w:tc>
      </w:tr>
      <w:tr>
        <w:trPr>
          <w:cantSplit/>
          <w:trHeight w:val="425"/>
        </w:trPr>
        <w:tc>
          <w:tcPr>
            <w:tcW w:type="dxa" w:w="6349"/>
          </w:tcPr>
          <w:p>
            <w:pPr>
              <w:pStyle w:val="CellText"/>
            </w:pPr>
            <w:r>
              <w:rPr>
                <w:b w:val="0"/>
              </w:rPr>
              <w:t>Surveiller cliniquement un patient hospitalisé en USI en post opératoire de chirurgie cardiaque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Rédiger l’observation d’un patient atteint d’AOMI</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Rédiger l’observation d’un patient hospitalisé pour cardiopathie Ischémique</w:t>
            </w:r>
          </w:p>
        </w:tc>
        <w:tc>
          <w:tcPr>
            <w:tcW w:type="dxa" w:w="1474"/>
          </w:tcPr>
          <w:p>
            <w:pPr>
              <w:pStyle w:val="CellText"/>
            </w:pPr>
          </w:p>
        </w:tc>
        <w:tc>
          <w:tcPr>
            <w:tcW w:type="dxa" w:w="1814"/>
          </w:tcPr>
          <w:p>
            <w:pPr>
              <w:pStyle w:val="CellText"/>
            </w:pPr>
          </w:p>
        </w:tc>
      </w:tr>
      <w:tr>
        <w:trPr>
          <w:cantSplit/>
          <w:trHeight w:val="425"/>
        </w:trPr>
        <w:tc>
          <w:tcPr>
            <w:tcW w:type="dxa" w:w="1814"/>
            <w:gridSpan w:val="3"/>
            <w:shd w:val="clear" w:color="auto" w:fill="DCE9F5"/>
          </w:tcPr>
          <w:p>
            <w:pPr>
              <w:pStyle w:val="CellText"/>
              <w:keepNext/>
            </w:pPr>
            <w:r>
              <w:rPr>
                <w:b/>
                <w:color w:val="1F4E79"/>
              </w:rPr>
              <w:t>SERVICE DE CHIRURGIE CARDIOVASCULAIRE - Stage en 6ème Année</w:t>
            </w:r>
          </w:p>
        </w:tc>
      </w:tr>
      <w:tr>
        <w:trPr>
          <w:cantSplit/>
          <w:trHeight w:val="425"/>
        </w:trPr>
        <w:tc>
          <w:tcPr>
            <w:tcW w:type="dxa" w:w="6349"/>
          </w:tcPr>
          <w:p>
            <w:pPr>
              <w:pStyle w:val="CellText"/>
            </w:pPr>
            <w:r>
              <w:rPr>
                <w:b w:val="0"/>
              </w:rPr>
              <w:t>Rédiger l’observation d’un patient hospitalisé pour une valvulaopathie au stade chirurgical</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Rédiger l’observation d’un patient hospitalisé pour insuffisance cardiaque décompensée.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Rédiger l’observation d’un patient hospitalisé pour varices MI</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Surveiller cliniquement un patient hospitalisé pour ischémie aigue MI</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Calculer l’index de pression systolique chez un artéritique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Prescrire une ordonnance chez un patient atteint d’AOMI.</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Expliquer les moyens physiques de réadaptation chez un claudicant</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Prescrire une contention élastique veineuse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Expliquer au patient sous antivitamine K le traitement, son but, les règles d’administration, les complications, la surveillance et le régime alimentaire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Expliquer le régime hyposodé à un patient en insuffisance cardiaque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les artères coronaires sur une coronarographie normale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ARC : Démarche diagnostique devant un ulcère de jambe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ARC : Démarche diagnostique devant varices MI</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ARC : Démarche diagnostique devant une masse battante abdominale</w:t>
            </w:r>
          </w:p>
        </w:tc>
        <w:tc>
          <w:tcPr>
            <w:tcW w:type="dxa" w:w="1474"/>
            <w:shd w:val="clear" w:color="auto" w:fill="F7F9FB"/>
          </w:tcPr>
          <w:p>
            <w:pPr>
              <w:pStyle w:val="CellText"/>
            </w:pPr>
          </w:p>
        </w:tc>
        <w:tc>
          <w:tcPr>
            <w:tcW w:type="dxa" w:w="1814"/>
            <w:shd w:val="clear" w:color="auto" w:fill="F7F9FB"/>
          </w:tcPr>
          <w:p>
            <w:pPr>
              <w:pStyle w:val="CellText"/>
            </w:pPr>
          </w:p>
        </w:tc>
      </w:tr>
    </w:tbl>
    <w:p>
      <w:pPr>
        <w:spacing w:after="40"/>
      </w:pPr>
    </w:p>
    <w:p>
      <w:pPr>
        <w:pStyle w:val="Heading3"/>
      </w:pPr>
      <w:r>
        <w:t>Chirurgie vasculaire périphérique - Stage en 4ème année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Réaliser un examen vasculaire chez un patient polyvasculaire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Poser le diagnostic d’une artériopathie oblitérante du membre inférieur</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Évaluer les autres localisations athéromateuses chez un patient polyvasculaire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Reconnaitre cliniquement une ischémie aigue et critique du membre inférieur</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Poser le diagnostic d’un anévrysme de l’aorte abdominale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Reconnaitre les signes cliniques en faveur de l’origine carotidienne d’un AVCI</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Évaluer les signes de gravité d’un traumatisme vasculaire chez l’adulte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Poser le diagnostic d’une insuffisance veineuse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le principe du traitement endovasculaire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Interpréter un examen radiologique de l’aorte, membre inférieur et TSA</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Assister aux différents types d’interventions pratiquées dans le service</w:t>
            </w:r>
          </w:p>
        </w:tc>
        <w:tc>
          <w:tcPr>
            <w:tcW w:type="dxa" w:w="1474"/>
          </w:tcPr>
          <w:p>
            <w:pPr>
              <w:pStyle w:val="CellText"/>
            </w:pPr>
          </w:p>
        </w:tc>
        <w:tc>
          <w:tcPr>
            <w:tcW w:type="dxa" w:w="1814"/>
          </w:tcPr>
          <w:p>
            <w:pPr>
              <w:pStyle w:val="CellText"/>
            </w:pPr>
          </w:p>
        </w:tc>
      </w:tr>
      <w:tr>
        <w:trPr>
          <w:cantSplit/>
          <w:trHeight w:val="425"/>
        </w:trPr>
        <w:tc>
          <w:tcPr>
            <w:tcW w:type="dxa" w:w="1814"/>
            <w:gridSpan w:val="3"/>
            <w:shd w:val="clear" w:color="auto" w:fill="DCE9F5"/>
          </w:tcPr>
          <w:p>
            <w:pPr>
              <w:pStyle w:val="CellText"/>
              <w:keepNext/>
            </w:pPr>
            <w:r>
              <w:rPr>
                <w:b/>
                <w:color w:val="1F4E79"/>
              </w:rPr>
              <w:t>CHIRURGIE VASCULAIRE PÉRIPHÉRIQUE - Stage en 6ème année</w:t>
            </w:r>
          </w:p>
        </w:tc>
      </w:tr>
      <w:tr>
        <w:trPr>
          <w:cantSplit/>
          <w:trHeight w:val="425"/>
        </w:trPr>
        <w:tc>
          <w:tcPr>
            <w:tcW w:type="dxa" w:w="6349"/>
          </w:tcPr>
          <w:p>
            <w:pPr>
              <w:pStyle w:val="CellText"/>
            </w:pPr>
            <w:r>
              <w:rPr>
                <w:b w:val="0"/>
              </w:rPr>
              <w:t>Rédiger un bilan préopératoire chez un patient polyvasculaire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Reconnaitre les complications de l’artériopathie oblitérante du membre inférieur</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Assurer la surveillance post-opératoire d’un opéré en chirurgie vasculaire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Reconnaitre le principe et complications des abords vasculaires pour hémodialyse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Rédiger une ordonnance d’un opéré en chirurgie vasculaire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Interpréter les différentes explorations radiologiques dans la pathologie de l’aorte abdominale et ses branches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Expliquer le principe thérapeutique d’une insuffisance veineuse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Poser le diagnostic d’un syndrome post-phlébitique.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1814"/>
            <w:gridSpan w:val="3"/>
            <w:shd w:val="clear" w:color="auto" w:fill="DCE9F5"/>
          </w:tcPr>
          <w:p>
            <w:pPr>
              <w:pStyle w:val="CellText"/>
              <w:keepNext/>
            </w:pPr>
            <w:r>
              <w:rPr>
                <w:b/>
                <w:color w:val="1F4E79"/>
              </w:rPr>
              <w:t>Séances d’ARC</w:t>
            </w:r>
          </w:p>
        </w:tc>
      </w:tr>
      <w:tr>
        <w:trPr>
          <w:cantSplit/>
          <w:trHeight w:val="425"/>
        </w:trPr>
        <w:tc>
          <w:tcPr>
            <w:tcW w:type="dxa" w:w="6349"/>
          </w:tcPr>
          <w:p>
            <w:pPr>
              <w:pStyle w:val="CellText"/>
            </w:pPr>
            <w:r>
              <w:rPr>
                <w:b w:val="0"/>
              </w:rPr>
              <w:t>Élaborer une démarche diagnostique devant une claudication intermittente MI</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Élaborer une démarche diagnostique devant une artérite diabétique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Élaborer une démarche diagnostique devant un gros membre inférieur</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Élaborer une démarche diagnostique devant un déficit moteur d’origine carotidienne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Élaborer une démarche diagnostique devant une masse battante</w:t>
            </w:r>
          </w:p>
        </w:tc>
        <w:tc>
          <w:tcPr>
            <w:tcW w:type="dxa" w:w="1474"/>
          </w:tcPr>
          <w:p>
            <w:pPr>
              <w:pStyle w:val="CellText"/>
            </w:pPr>
          </w:p>
        </w:tc>
        <w:tc>
          <w:tcPr>
            <w:tcW w:type="dxa" w:w="1814"/>
          </w:tcPr>
          <w:p>
            <w:pPr>
              <w:pStyle w:val="CellText"/>
            </w:pPr>
          </w:p>
        </w:tc>
      </w:tr>
    </w:tbl>
    <w:p>
      <w:pPr>
        <w:spacing w:after="40"/>
      </w:pPr>
    </w:p>
    <w:p>
      <w:pPr>
        <w:pStyle w:val="Heading3"/>
      </w:pPr>
      <w:r>
        <w:t>Service de chirurgie viscérale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Caractériser une douleur abdominale dans un contexte aigu.</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Reconnaître une défense abdominale chez un patient présentant une appendicite aigue.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un empattement abdominal chez un patient présentant un plastron appendiculaire.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Reconnaître une contracture abdominale chez un patient présentant une péritonite aigue généralisée.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une sensibilité du cul de sac de douglas chez un patient présentant une péritonite.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Reconnaitre un comblement du cul de sac de douglas chez un patient présentant un épanchement intra péritonéal.</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Faire un toucher rectal chez un patient présentant une tumeur rectale palpable.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Reconnaître un météorisme abdominal chez un patient présentant une occlusion intestinale aigüe.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une hernie simple chez un patient présentant une tuméfaction pariétale.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Reconnaitre une douleur d’origine biliaire chez un patient présentant une lithiase vésiculaire.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Palper une grosse vésicule chez un patient présentant un ictère néoplasique.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Reconnaitre une douleur d’origine pancréatique chez un patient présentant une pancréatite aigüe.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Caractériser une masse abdomino-pelvienne palpable chez un adulte.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Reconnaitre le caractère chirurgical d’un ictère chez un patient ictérique.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Assurer le suivi postopératoire d’un patient opéré de l’abdomen.</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Reconnaitre une infection de la paroi chez un patient opéré de l’abdomen.</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Savoir poser le diagnostic d’un abcès devant une tuméfaction douloureuse de la marge anale.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ARC : Démarche diagnostique devant une douleur abdominale aigue.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ARC : Démarche diagnostique devant un ictère rétentionnel.</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ARC : Démarche diagnostique devant une hémorragie digestive haute.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ARC : Démarche diagnostique devant une hémorragie digestive basse.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ARC : Démarche diagnostique devant une occlusion intestinale aigüe.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ARC : Démarche diagnostique devant une masse abdominale</w:t>
            </w:r>
          </w:p>
        </w:tc>
        <w:tc>
          <w:tcPr>
            <w:tcW w:type="dxa" w:w="1474"/>
          </w:tcPr>
          <w:p>
            <w:pPr>
              <w:pStyle w:val="CellText"/>
            </w:pPr>
          </w:p>
        </w:tc>
        <w:tc>
          <w:tcPr>
            <w:tcW w:type="dxa" w:w="1814"/>
          </w:tcPr>
          <w:p>
            <w:pPr>
              <w:pStyle w:val="CellText"/>
            </w:pPr>
          </w:p>
        </w:tc>
      </w:tr>
    </w:tbl>
    <w:p>
      <w:pPr>
        <w:spacing w:after="40"/>
      </w:pPr>
    </w:p>
    <w:p>
      <w:pPr>
        <w:pStyle w:val="Heading3"/>
      </w:pPr>
      <w:r>
        <w:t>Service de traumatologie-orthopédie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Identifier les signes cliniques d’une fracture de membre chez un traumatisé adulte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Identifier les signes cliniques d’une luxation chez un traumatisé adulte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Rechercher une complication Vx Nx d’une fracture / luxation</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Faire un examen programmé du genou : testing méniscal et ligamentaire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Reconnaître les différents stades de l’ouverture cutanée selon Cauchoix et Duparc chez un patient victime d’une fracture de jambe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Examiner un patient présentant une tumeur des parties molles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Examiner un patient présentant une tumeur osseuse (bénigne et maligne)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Décrire une fracture sur un cliché radiographique standard</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Décrire une luxation sur un cliché radiographique standard</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Réaliser un appareil plâtré / réduction/ immobilisation</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Faire un parage de plaie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Réduire une luxation de l’épaule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Réduire et immobiliser une fracture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Rechercher les signes radiologiques d’une tumeur osseuse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Réaliser le bilan d’une tumeur de l’appareil locomoteur (clinique, biologie, imagerie)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Identifier un syndrome de loge/ syndrome de Volkmann</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Rechercher une lésion tendineuse au cours d’une plaie de la main</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Rechercher une lésion nerveuse au cours d’une plaie de la main</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Faire l’examen clinique d’un patient présentant une infection de la main (un panaris, un phlegmon des gaines, ostéite)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Faire le diagnostic (clinique et imagerie) d’une ostéomyélite chronique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Identifier le matériel d’ostéosynthèse utilisé sur une radiographie de contrôle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ARC : épaule traumatique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ARC : genou traumatique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ARC : cheville traumatique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ARC : les complications d’une fracture (cal vicieux, pseudarthrose)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ARC : membre opéré tuméfié et chaud (thrombophlébite, Infection du site opératoire)</w:t>
            </w:r>
          </w:p>
        </w:tc>
        <w:tc>
          <w:tcPr>
            <w:tcW w:type="dxa" w:w="1474"/>
            <w:shd w:val="clear" w:color="auto" w:fill="F7F9FB"/>
          </w:tcPr>
          <w:p>
            <w:pPr>
              <w:pStyle w:val="CellText"/>
            </w:pPr>
          </w:p>
        </w:tc>
        <w:tc>
          <w:tcPr>
            <w:tcW w:type="dxa" w:w="1814"/>
            <w:shd w:val="clear" w:color="auto" w:fill="F7F9FB"/>
          </w:tcPr>
          <w:p>
            <w:pPr>
              <w:pStyle w:val="CellText"/>
            </w:pPr>
          </w:p>
        </w:tc>
      </w:tr>
    </w:tbl>
    <w:p>
      <w:pPr>
        <w:spacing w:after="40"/>
      </w:pPr>
    </w:p>
    <w:p>
      <w:pPr>
        <w:pStyle w:val="Heading3"/>
      </w:pPr>
      <w:r>
        <w:t>Service de neurochirurgie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Pratiquer un examen neurologique chez l’adulte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Pratiquer un examen neurologique chez l’enfant</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Évaluer le score de Glasgow chez un patient ayant des troubles de conscience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Évoquer le diagnostic d’un syndrome cérébelleux chez un patient présentant des troubles de l’équilibre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les signes cliniques d’une hypertension intracrânienne chez un patient céphalalgique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Reconnaitre les signes cliniques d’un engagement cérébral temporal chez un patient présentant un processus occupant expansif</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les signes cliniques d’un engagement cérébral amygdalien chez un patient présentant un processus occupant expansif</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Reconnaitre un syndrome de compression médullaire chez un patient présentant une impotence fonctionnelle des membres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une sciatique et préciser sa topographie chez un patient présentant des des douleurs des membres inférieurs</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Reconnaitre une névralgie cervico-brachiale chez un patient ayant des douleurs aux membres supérieurs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un spina Bifida chez un nouveau-né présentant une masse médiane lombosacrée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Reconnaitre les signes cliniques d’une hémorragie méningée chez un patient présentant des céphalées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les signes cliniques d’une hydrocéphalie chez un nourrisson</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Distinguer sur le scanner cérébral un AVC ischémique d’un AVC hémorragique chez un patient présentant une hémiplégie aigue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Distinguer sur un scanner cérébral les signes de malignité d’une tumeur cérébrale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Identifier sur un scanner cérébral les signes d’une tumeur cérébrale bénigne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Relever les signes radiologiques sur un scanner cerebral d’un patient ayant une suppuration intracrânienne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Effectuer une ponction lombaire chez un patient ayant un syndrome méningé</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Interpréter une radiographie du rachis cervical, dorsal et lombosacré chez un traumatisé du rachis</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Réaliser le ramassage d’un polytraumatisé</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Mettre en place un collier ou une minerve chez un traumatisé du rachis cervical</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Mettre en place un lombostat chez un patient ayant une pathologie du rachis lombaire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Réaliser des points de sutures d’une plaie du scalpe post traumatique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Faire un lavage antiseptique des mains avant tout geste de soins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Conduite à tenir devant une paraplégie (ARC)</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Conduite à tenir devant une hémiplégie (ARC)</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Conduite à tenir devant une Hypertension Intracrânienne (HTIC) (ARC)</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Conduite à tenir devant des vertiges (ARC)</w:t>
            </w:r>
          </w:p>
        </w:tc>
        <w:tc>
          <w:tcPr>
            <w:tcW w:type="dxa" w:w="1474"/>
            <w:shd w:val="clear" w:color="auto" w:fill="F7F9FB"/>
          </w:tcPr>
          <w:p>
            <w:pPr>
              <w:pStyle w:val="CellText"/>
            </w:pPr>
          </w:p>
        </w:tc>
        <w:tc>
          <w:tcPr>
            <w:tcW w:type="dxa" w:w="1814"/>
            <w:shd w:val="clear" w:color="auto" w:fill="F7F9FB"/>
          </w:tcPr>
          <w:p>
            <w:pPr>
              <w:pStyle w:val="CellText"/>
            </w:pPr>
          </w:p>
        </w:tc>
      </w:tr>
    </w:tbl>
    <w:p>
      <w:pPr>
        <w:spacing w:after="40"/>
      </w:pPr>
    </w:p>
    <w:p>
      <w:pPr>
        <w:pStyle w:val="Heading3"/>
      </w:pPr>
      <w:r>
        <w:t>Service d’ORL</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Pratiquer une otoscopie chez un patient présentant une otalgie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Pratiquer une rhinoscopie antérieure chez patient ayant obstruction nasale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Pratiquer une laryngoscopie indirecte chez un patient présentant une dysphonie chronique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Réaliser un méchage antérieur chez un patient se présentant pour une épistaxis de moyenne abondance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Rédiger une ordonnance pour une otite aigue chez l’enfant</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Réaliser une acoumétrie instrumentale chez un patient ayant une hypoacousie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Pratiquer l’examen des différentes aires ganglionnaires du cou d’un patient ayant un cancer ORL</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Réaliser un examen du cou chez un patient ayant un nodule thyroïdien</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Réaliser un examine de la Cavité buccale et de l’oropharynx</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Rédiger une ordonnance pour une sinusite aigue de l’adulte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Explorer cliniquement les différentes paires crâniennes</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Reconnaître une dyspnée laryngée de l’adulte et l’enfant</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à l’otoscopie les aspects tympaniques d’une OMC</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ARC : Surdité</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ARC : Obstruction Nasale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ARC : Vertiges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ARC : Dysphonie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ARC : Masse cervicale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ARC : Epistaxis</w:t>
            </w:r>
          </w:p>
        </w:tc>
        <w:tc>
          <w:tcPr>
            <w:tcW w:type="dxa" w:w="1474"/>
          </w:tcPr>
          <w:p>
            <w:pPr>
              <w:pStyle w:val="CellText"/>
            </w:pPr>
          </w:p>
        </w:tc>
        <w:tc>
          <w:tcPr>
            <w:tcW w:type="dxa" w:w="1814"/>
          </w:tcPr>
          <w:p>
            <w:pPr>
              <w:pStyle w:val="CellText"/>
            </w:pPr>
          </w:p>
        </w:tc>
      </w:tr>
    </w:tbl>
    <w:p>
      <w:pPr>
        <w:spacing w:after="40"/>
      </w:pPr>
    </w:p>
    <w:p>
      <w:pPr>
        <w:pStyle w:val="Heading3"/>
      </w:pPr>
      <w:r>
        <w:t>Service d’ophtalmologie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Mesurer l’acuité visuelle chez un adulte consultant pour BAV</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Reconnaitre un strabisme chez un enfant</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Réaliser un fond d’œil chez un patient diabétique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Rechercher le réflexe photo-moteur chez un patient suivi pour une neuropathie optique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un œdème papilaire chez une patiente consultante pour tableau d HTIC</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Apprécier aux doigts le tonus oculaire chez un sujet normal</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Réaliser un examen de l’oculomotricité chez un traumatisé de l’orbite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Réaliser l’étude du champ visuel au doigt chez un patient présentant un adénome hypophysaire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Réaliser un lavage oculaire à la suite d’une brulure chimique oculaire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Instiller un collyre cycloplégique pour dilatation oculaire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une leucocorie chez un enfant consultant pour strabisme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Chercher les signes de gravite d’un traumatisme oculaire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Expliquer les règles de l’hygiène au cours d’une conjonctivite infectieuse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Éduquer et informer un patient glaucomateux sur l’observance du traitement antiglocomateux</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ARC: Œil rouge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ARC : Leucocorie de l’enfant</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ARC : Exophtalmie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ARC : Strabisme de l’enfant</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ARC : Diplopie chez l’adulte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ARC : Traumatisme cranio-facial, Baisse brutale de l’acuité visuelle</w:t>
            </w:r>
          </w:p>
        </w:tc>
        <w:tc>
          <w:tcPr>
            <w:tcW w:type="dxa" w:w="1474"/>
            <w:shd w:val="clear" w:color="auto" w:fill="F7F9FB"/>
          </w:tcPr>
          <w:p>
            <w:pPr>
              <w:pStyle w:val="CellText"/>
            </w:pPr>
          </w:p>
        </w:tc>
        <w:tc>
          <w:tcPr>
            <w:tcW w:type="dxa" w:w="1814"/>
            <w:shd w:val="clear" w:color="auto" w:fill="F7F9FB"/>
          </w:tcPr>
          <w:p>
            <w:pPr>
              <w:pStyle w:val="CellText"/>
            </w:pPr>
          </w:p>
        </w:tc>
      </w:tr>
    </w:tbl>
    <w:p>
      <w:pPr>
        <w:spacing w:after="40"/>
      </w:pPr>
    </w:p>
    <w:p>
      <w:pPr>
        <w:pStyle w:val="Heading3"/>
      </w:pPr>
      <w:r>
        <w:t>Service d’urologie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Reconnaitre un contact lombaire chez un patient avec un gros rein</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Reconnaitre un ballottement rénal chez un patient avec un gros rein</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une crise de coliques néphrétiques chez un patient admis aux urgences</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Identifier les signes de gravités imposant une hospitalisation chez un patient présentant une crise de colique néphrétique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une pyélonéphrite aigue simple chez une femme jeune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Recueillir les symptômes et signes physiques les plus utiles au diagnostic étiologique de la dysurie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Reconnaître un globe vésical chez un patient présentant une retention aigue d’urines</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Distinguer une réelle hématurie macroscopique d’une anomalie de coloration d’urine due à des facteurs autres qu’un saignement urinaire (fausse hématurie)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De recueillir et d’interpréter les symptômes et signes physiques en vue du diagnostic étiologique d’une hématurie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Évoquer le diagnostic d’une prostatite aigue devant un patient présentant des troubles mictionnels fébriles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Évoquer le diagnostic de cancer de prostate devant des anomalies au toucher rectal</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Recueillir les signes physiques permettant d’évoquer le diagnostic d’un cancer du testicule chez un jeune qui présente une grosse bourse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Identifier les éléments en faveur d’une torsion du cordon spermatique chez un jeune patient consultant pour une douleur scrotale aigue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Distinguer, à l’examen physique, les tuméfactions scrotales de celles qui proviennent du canal inguinal (anomalies du canal péritoneo-vaginal / hernie inguino-scrotale)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Distinguer, à l’examen physique, une grosse bourse en rapport avec une masse solide (tumeur) d’une grosse bourse en rapport avec une masse liquidienne (hydrocèle)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Proposer les examens complémentaires utiles pour le diagnostic étiologique d’une grosse bourse chronique chez un patient en consultation</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Reconnaître les éléments sémiologiques d’une infection urinaire non compliquée chez une femme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Distinguer cliniquement une incontinence urinaire d’une fistule vésico vaginale chez une femme présentant des fuites d’urines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Effectuer un sondage urinaire chez un homme en rétention aigue d’urines</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Identifier à l’anamnèse et à l’examen clinique les éléments contre-indiquant un sondage urinaire chez l’homme (traumatisme du bassin, prostatite aigue, sténose de l’urètre)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Reconnaître les éléments en faveur d’un traumatisme rénal chez un poly-traumatisé admis aux urgences</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Reconnaître sur un cliché d’arbre urinaire sans préparation une opacité de tonalité calcique orientant vers un calcul urinaire chez un patient présentant une crise colique nephretique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Réaliser un prélèvement d’urine pour examen cytobactériologique chez une ou un patient hospitalisé</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Interpréter un examen cytobactériologique des urines chez un patient présentant une infection urinaire ;</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ARC : Troubles mictionnels chez le sujet âgé</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ARC : Hématurie macroscopique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ARC : Lombalgies</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ARC : Grosses bourses</w:t>
            </w:r>
          </w:p>
        </w:tc>
        <w:tc>
          <w:tcPr>
            <w:tcW w:type="dxa" w:w="1474"/>
            <w:shd w:val="clear" w:color="auto" w:fill="F7F9FB"/>
          </w:tcPr>
          <w:p>
            <w:pPr>
              <w:pStyle w:val="CellText"/>
            </w:pPr>
          </w:p>
        </w:tc>
        <w:tc>
          <w:tcPr>
            <w:tcW w:type="dxa" w:w="1814"/>
            <w:shd w:val="clear" w:color="auto" w:fill="F7F9FB"/>
          </w:tcPr>
          <w:p>
            <w:pPr>
              <w:pStyle w:val="CellText"/>
            </w:pPr>
          </w:p>
        </w:tc>
      </w:tr>
    </w:tbl>
    <w:p>
      <w:pPr>
        <w:spacing w:after="40"/>
      </w:pPr>
    </w:p>
    <w:p>
      <w:pPr>
        <w:pStyle w:val="Heading3"/>
      </w:pPr>
      <w:r>
        <w:t>Service de stomatologie et chirurgie maxillo-faciale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Examiner une face normale (patient simulé).</w:t>
            </w:r>
          </w:p>
          <w:p>
            <w:pPr>
              <w:pStyle w:val="CellText"/>
            </w:pPr>
            <w:r>
              <w:rPr>
                <w:b w:val="0"/>
              </w:rPr>
              <w:t>Examiner un patient présentant un traumatisme nasal.</w:t>
            </w:r>
          </w:p>
          <w:p>
            <w:pPr>
              <w:pStyle w:val="CellText"/>
            </w:pPr>
            <w:r>
              <w:rPr>
                <w:b w:val="0"/>
              </w:rPr>
              <w:t>Examiner un patient présentant un traumatisme mandibulaire.</w:t>
            </w:r>
          </w:p>
          <w:p>
            <w:pPr>
              <w:pStyle w:val="CellText"/>
            </w:pPr>
            <w:r>
              <w:rPr>
                <w:b w:val="0"/>
              </w:rPr>
              <w:t>Examiner un patient présentant un traumatisme orbito-zygomatique</w:t>
            </w:r>
          </w:p>
          <w:p>
            <w:pPr>
              <w:pStyle w:val="CellText"/>
            </w:pPr>
            <w:r>
              <w:rPr>
                <w:b w:val="0"/>
              </w:rPr>
              <w:t>Examiner un patient présentant un fracas de la face (Donef / séparations).</w:t>
            </w:r>
          </w:p>
          <w:p>
            <w:pPr>
              <w:pStyle w:val="CellText"/>
            </w:pPr>
            <w:r>
              <w:rPr>
                <w:b w:val="0"/>
              </w:rPr>
              <w:t>Pratiquer un examen ganglionnaire cervical chez un patient porteur d’une tumeur oro-faciale</w:t>
            </w:r>
          </w:p>
          <w:p>
            <w:pPr>
              <w:pStyle w:val="CellText"/>
            </w:pPr>
            <w:r>
              <w:rPr>
                <w:b w:val="0"/>
              </w:rPr>
              <w:t>Classer les fentes labio-alvéolopalatines sur base de données Iconographiques.</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Reconnaitre les signes de bénignité d’une tumeur du maxillaire sur un OPT.</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les signes de malignité d’une tumeur du mawillaire sur un OPT.</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Interpréter un OPT d’un patient présentant une fracture mandibulaire.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Prescrire une imagerie chez un enfant traumatisé de la face.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Interpréter une TDM d’un traumatisme de la face.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Interpréter une TDM d’un patient porteur d’un cancer oro-faciale.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Éduquer un patient candidat à une radiothérapie des VADS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1814"/>
            <w:gridSpan w:val="3"/>
            <w:shd w:val="clear" w:color="auto" w:fill="DCE9F5"/>
          </w:tcPr>
          <w:p>
            <w:pPr>
              <w:pStyle w:val="CellText"/>
              <w:keepNext/>
            </w:pPr>
            <w:r>
              <w:rPr>
                <w:b/>
                <w:color w:val="1F4E79"/>
              </w:rPr>
              <w:t>ARC = CAT devant : « demarche diagnostic et thérapeutique »</w:t>
            </w:r>
          </w:p>
        </w:tc>
      </w:tr>
      <w:tr>
        <w:trPr>
          <w:cantSplit/>
          <w:trHeight w:val="425"/>
        </w:trPr>
        <w:tc>
          <w:tcPr>
            <w:tcW w:type="dxa" w:w="6349"/>
          </w:tcPr>
          <w:p>
            <w:pPr>
              <w:pStyle w:val="CellText"/>
            </w:pPr>
            <w:r>
              <w:rPr>
                <w:b w:val="0"/>
              </w:rPr>
              <w:t>Traumatisme de la face</w:t>
            </w:r>
          </w:p>
          <w:p>
            <w:pPr>
              <w:pStyle w:val="CellText"/>
            </w:pPr>
            <w:r>
              <w:rPr>
                <w:b w:val="0"/>
              </w:rPr>
              <w:t>Limitation de l’ouverture buccale (diagnostic).</w:t>
            </w:r>
          </w:p>
          <w:p>
            <w:pPr>
              <w:pStyle w:val="CellText"/>
            </w:pPr>
            <w:r>
              <w:rPr>
                <w:b w:val="0"/>
              </w:rPr>
              <w:t>Tuméfaction latéro-faciale (diagnostic).</w:t>
            </w:r>
          </w:p>
          <w:p>
            <w:pPr>
              <w:pStyle w:val="CellText"/>
            </w:pPr>
            <w:r>
              <w:rPr>
                <w:b w:val="0"/>
              </w:rPr>
              <w:t>Cellulite d’origine dentaire (PEC et traitement).</w:t>
            </w:r>
          </w:p>
          <w:p>
            <w:pPr>
              <w:pStyle w:val="CellText"/>
            </w:pPr>
            <w:r>
              <w:rPr>
                <w:b w:val="0"/>
              </w:rPr>
              <w:t>Malformation cranio-faciale de la naissance à l’âge adulte).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Activité d’exposition adjuvantes :</w:t>
            </w:r>
          </w:p>
          <w:p>
            <w:pPr>
              <w:pStyle w:val="CellText"/>
            </w:pPr>
            <w:r>
              <w:rPr>
                <w:b w:val="0"/>
              </w:rPr>
              <w:t>Pratiquer des points de stutures facials aux urgences.</w:t>
            </w:r>
          </w:p>
        </w:tc>
        <w:tc>
          <w:tcPr>
            <w:tcW w:type="dxa" w:w="1474"/>
            <w:shd w:val="clear" w:color="auto" w:fill="F7F9FB"/>
          </w:tcPr>
          <w:p>
            <w:pPr>
              <w:pStyle w:val="CellText"/>
            </w:pPr>
          </w:p>
        </w:tc>
        <w:tc>
          <w:tcPr>
            <w:tcW w:type="dxa" w:w="1814"/>
            <w:shd w:val="clear" w:color="auto" w:fill="F7F9FB"/>
          </w:tcPr>
          <w:p>
            <w:pPr>
              <w:pStyle w:val="CellText"/>
            </w:pPr>
          </w:p>
        </w:tc>
      </w:tr>
    </w:tbl>
    <w:p>
      <w:pPr>
        <w:spacing w:after="40"/>
      </w:pPr>
    </w:p>
    <w:p>
      <w:pPr>
        <w:pStyle w:val="Heading3"/>
      </w:pPr>
      <w:r>
        <w:t>Service de chirurgie plastique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Savoir poser le diagnostic clinique de profondeur, d’étendue d’une brûlure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Réaliser les gestes de 1er secours chez les brûlés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Poser l’indication d’une hospitalisation d’un patient brûlé</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Reconnaître les différentes phases de cicatrisation : détersion, bourgeonnement, épidermisation</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Indiquer le pansement adapté pour chaque phase de cicatrisation</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Décrire à l’examen clinique d’un patient, les principales séquelles de brûlure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Reconnaître sur l’examen clinique des patients, les quatre stades des escarres</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Réaliser les soins locaux adaptés de chaque type d’escarre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Rédiger une ordonnance pour la prise en charge sur le plan général, d’un patient porteur d’escarre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Reconnaître à l’examen clinique d’un patient, une infection cutanée chirurgicale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Reconnaître les malformations congénitales faciales, des membres et du sein les plus fréquentes</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Décrire, en assistant au bloc opératoire, les grands principes des différentes techniques de couverture des pertes de substance cutanées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ARC : démarche diagnostique devant une tumeur cutanée et des parties molles</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ARC : démarche diagnostique devant une infection des parties molles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1814"/>
            <w:gridSpan w:val="3"/>
            <w:shd w:val="clear" w:color="auto" w:fill="DCE9F5"/>
          </w:tcPr>
          <w:p>
            <w:pPr>
              <w:pStyle w:val="CellText"/>
              <w:keepNext/>
            </w:pPr>
            <w:r>
              <w:rPr>
                <w:b/>
                <w:color w:val="1F4E79"/>
              </w:rPr>
              <w:t>Objectifs pratiques du stage de chirurgie réparatrice et plastique</w:t>
            </w:r>
          </w:p>
        </w:tc>
      </w:tr>
      <w:tr>
        <w:trPr>
          <w:cantSplit/>
          <w:trHeight w:val="425"/>
        </w:trPr>
        <w:tc>
          <w:tcPr>
            <w:tcW w:type="dxa" w:w="6349"/>
          </w:tcPr>
          <w:p>
            <w:pPr>
              <w:pStyle w:val="CellText"/>
            </w:pPr>
            <w:r>
              <w:rPr>
                <w:b w:val="0"/>
              </w:rPr>
              <w:t>Réfection de pansement d’un petit brûlé</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Réfection de pansement d’un patient opéré</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Réaliser des sutures cutanées</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Faire le lavage et l’habillage chirurgical</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Faire une biopsie d’une petite lésion cutanée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Faire le diagnostic clinique de profondeur, d’étendue d’une brûlure</w:t>
            </w:r>
          </w:p>
        </w:tc>
        <w:tc>
          <w:tcPr>
            <w:tcW w:type="dxa" w:w="1474"/>
            <w:shd w:val="clear" w:color="auto" w:fill="F7F9FB"/>
          </w:tcPr>
          <w:p>
            <w:pPr>
              <w:pStyle w:val="CellText"/>
            </w:pPr>
          </w:p>
        </w:tc>
        <w:tc>
          <w:tcPr>
            <w:tcW w:type="dxa" w:w="1814"/>
            <w:shd w:val="clear" w:color="auto" w:fill="F7F9FB"/>
          </w:tcPr>
          <w:p>
            <w:pPr>
              <w:pStyle w:val="CellText"/>
            </w:pPr>
          </w:p>
        </w:tc>
      </w:tr>
    </w:tbl>
    <w:p>
      <w:pPr>
        <w:spacing w:after="40"/>
      </w:pPr>
    </w:p>
    <w:p>
      <w:pPr>
        <w:pStyle w:val="Heading3"/>
      </w:pPr>
      <w:r>
        <w:t>Service de gynécologie obstétrique - Stage en 5ème année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Mesurer avec précision la hauteur utérine chez une patiente enceinte au 3ème trimestre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Reconnaître le type de présentation fœtale chez une parturiente en travail</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Mener un counseling chez une femme qui consulte pour suivi de grossesse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Reconnaître un globe utérin de « sécurité » cher une parturiente en post-partum immédiat</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Mettre en place un spéculum chez une patiente qui consulte pour métrorragies</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Reconnaître un col normal à l’examen au spéculum</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Apprécier la taille de l’utérus par un toucher vaginal chez une patiente en dehors de la grossesse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Préciser les caractéristiques d’une masse latéro-utérine au toucher vaginal</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Réaliser un examen des seins</w:t>
            </w:r>
          </w:p>
        </w:tc>
        <w:tc>
          <w:tcPr>
            <w:tcW w:type="dxa" w:w="1474"/>
          </w:tcPr>
          <w:p>
            <w:pPr>
              <w:pStyle w:val="CellText"/>
            </w:pPr>
          </w:p>
        </w:tc>
        <w:tc>
          <w:tcPr>
            <w:tcW w:type="dxa" w:w="1814"/>
          </w:tcPr>
          <w:p>
            <w:pPr>
              <w:pStyle w:val="CellText"/>
            </w:pPr>
          </w:p>
        </w:tc>
      </w:tr>
      <w:tr>
        <w:trPr>
          <w:cantSplit/>
          <w:trHeight w:val="425"/>
        </w:trPr>
        <w:tc>
          <w:tcPr>
            <w:tcW w:type="dxa" w:w="1814"/>
            <w:gridSpan w:val="3"/>
            <w:shd w:val="clear" w:color="auto" w:fill="DCE9F5"/>
          </w:tcPr>
          <w:p>
            <w:pPr>
              <w:pStyle w:val="CellText"/>
              <w:keepNext/>
            </w:pPr>
            <w:r>
              <w:rPr>
                <w:b/>
                <w:color w:val="1F4E79"/>
              </w:rPr>
              <w:t>SERVICE DE GYNÉCOLOGIE OBSTÉTRIQUE - Stage en 6ème année</w:t>
            </w:r>
          </w:p>
        </w:tc>
      </w:tr>
      <w:tr>
        <w:trPr>
          <w:cantSplit/>
          <w:trHeight w:val="425"/>
        </w:trPr>
        <w:tc>
          <w:tcPr>
            <w:tcW w:type="dxa" w:w="6349"/>
          </w:tcPr>
          <w:p>
            <w:pPr>
              <w:pStyle w:val="CellText"/>
            </w:pPr>
            <w:r>
              <w:rPr>
                <w:b w:val="0"/>
              </w:rPr>
              <w:t>Réaliser un accouchement normal en présentation céphalique chez une parturiente à terme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Effectuer une délivrance normale après un accouchement par voie basse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Effectuer une épisiotomie médio-latérale lors d’un accouchement en présentation céphalique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Réaliser la réfection d’une épisiotomie après un accouchement normal</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Réaliser un partogramme chez une parturiente en travail en salle d’accouchement</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Mettre en place une perfusion d’ocytociques pour activation de travail chez une parturiente en salle d’accouchement</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Réaliser une révision utérine chez une patiente ayant une hémorragie de la délivrance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Poser le diagnostic de menace d’accouchement prématuré chez une patiente se présentant pour contractions utérines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Conduire un traitement tocolytique de 1ère intention chez une patiente ayant une menace d’accouchement prématuré</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Faire le diagnostic d’une hémorragie du post partum immédiat chez une parturiente qui saigne après accouchement par voie basse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Évaluer la gravité d’une hémorragie du post partum immédiat chez une parturiente qui saigne après accouchement par voie basse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Réaliser un enregistrement cardio-tocographique chez une femme enceinte à terme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Interpréter un enregistrement cardio-tocographique chez une femme enceinte à terme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Insérer un stérilet sur mannequin</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Retirer un stérilet chez une femme en activité génitale ou sur un mannequin</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Réaliser un frottis cervico-vaginal chez une patiente en activité génitale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1814"/>
            <w:gridSpan w:val="3"/>
            <w:shd w:val="clear" w:color="auto" w:fill="DCE9F5"/>
          </w:tcPr>
          <w:p>
            <w:pPr>
              <w:pStyle w:val="CellText"/>
              <w:keepNext/>
            </w:pPr>
            <w:r>
              <w:rPr>
                <w:b/>
                <w:color w:val="1F4E79"/>
              </w:rPr>
              <w:t>SÉANCES D’ARC</w:t>
            </w:r>
          </w:p>
        </w:tc>
      </w:tr>
      <w:tr>
        <w:trPr>
          <w:cantSplit/>
          <w:trHeight w:val="425"/>
        </w:trPr>
        <w:tc>
          <w:tcPr>
            <w:tcW w:type="dxa" w:w="6349"/>
          </w:tcPr>
          <w:p>
            <w:pPr>
              <w:pStyle w:val="CellText"/>
            </w:pPr>
            <w:r>
              <w:rPr>
                <w:b w:val="0"/>
              </w:rPr>
              <w:t>CAT devant HTA gravidique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CAT devant hémorragie du 1ère trimestre de grossesse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CAT devant une Masse Latéro-Utérine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CAT devant une hémorragie du 3ème trimestre de grossesse</w:t>
            </w:r>
          </w:p>
        </w:tc>
        <w:tc>
          <w:tcPr>
            <w:tcW w:type="dxa" w:w="1474"/>
            <w:shd w:val="clear" w:color="auto" w:fill="F7F9FB"/>
          </w:tcPr>
          <w:p>
            <w:pPr>
              <w:pStyle w:val="CellText"/>
            </w:pPr>
          </w:p>
        </w:tc>
        <w:tc>
          <w:tcPr>
            <w:tcW w:type="dxa" w:w="1814"/>
            <w:shd w:val="clear" w:color="auto" w:fill="F7F9FB"/>
          </w:tcPr>
          <w:p>
            <w:pPr>
              <w:pStyle w:val="CellText"/>
            </w:pPr>
          </w:p>
        </w:tc>
      </w:tr>
    </w:tbl>
    <w:p>
      <w:pPr>
        <w:spacing w:after="40"/>
      </w:pPr>
    </w:p>
    <w:p>
      <w:pPr>
        <w:pStyle w:val="Heading2"/>
      </w:pPr>
      <w:r>
        <w:t>F. Les objectifs des stages hospitaliers dans les services de l’enfant</w:t>
      </w:r>
    </w:p>
    <w:p>
      <w:pPr>
        <w:pStyle w:val="Heading3"/>
      </w:pPr>
      <w:r>
        <w:t>Services de L’enfant</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1814"/>
            <w:gridSpan w:val="3"/>
            <w:shd w:val="clear" w:color="auto" w:fill="DCE9F5"/>
          </w:tcPr>
          <w:p>
            <w:pPr>
              <w:pStyle w:val="CellText"/>
              <w:keepNext/>
            </w:pPr>
            <w:r>
              <w:rPr>
                <w:b/>
                <w:color w:val="1F4E79"/>
              </w:rPr>
              <w:t>NÉONATOLOGIE</w:t>
            </w:r>
          </w:p>
        </w:tc>
      </w:tr>
      <w:tr>
        <w:trPr>
          <w:cantSplit/>
          <w:trHeight w:val="425"/>
        </w:trPr>
        <w:tc>
          <w:tcPr>
            <w:tcW w:type="dxa" w:w="6349"/>
          </w:tcPr>
          <w:p>
            <w:pPr>
              <w:pStyle w:val="CellText"/>
            </w:pPr>
            <w:r>
              <w:rPr>
                <w:b w:val="0"/>
              </w:rPr>
              <w:t>Évaluer le score de Silverman chez le nouveau-né.</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Mesurer la fréquence respiratoire et cardiaque du nouveau-né.</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Évaluer le Score d’Apgar à la première, la cinquième et la dixième minute de vie chez un nouveau-né en salle de naissance.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Dépister une atrésie de l’œsophage chez un nouveau-né en salle de naissance.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Dépister une atrésie des choanes chez un nouveau-né en salle de naissance.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Dépister une imperforation anale chez un nouveau-né en salle de naissance.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Rédiger l’ordonnance des soins des yeux, de l’ombilic et la vitamine K du nouveau-né à terme.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Calculer l’âge gestationnel selon les scores morphologiques chez un nouveau-né prématuré.</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Mesurer la glycémie capillaire chez un nouveau-né à risqué d’hypoglycémie.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Reconnaître une hypotrophie à partir des mensurations du nouveau-né selon les courbes de référence.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Suspecter sur l’anamnèse le degré du risque infectieux chez le nouveau-né.</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Prescrire une antibiothérapie probabiliste de l’infection néonatale adaptée.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Reconnaître et évaluer le degré d’une souffrance néonatale selon le score de Sarnat.</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Traiter des convulsions chez un nouveau-né.</w:t>
            </w:r>
          </w:p>
        </w:tc>
        <w:tc>
          <w:tcPr>
            <w:tcW w:type="dxa" w:w="1474"/>
            <w:shd w:val="clear" w:color="auto" w:fill="F7F9FB"/>
          </w:tcPr>
          <w:p>
            <w:pPr>
              <w:pStyle w:val="CellText"/>
            </w:pPr>
          </w:p>
        </w:tc>
        <w:tc>
          <w:tcPr>
            <w:tcW w:type="dxa" w:w="1814"/>
            <w:shd w:val="clear" w:color="auto" w:fill="F7F9FB"/>
          </w:tcPr>
          <w:p>
            <w:pPr>
              <w:pStyle w:val="CellText"/>
            </w:pPr>
          </w:p>
        </w:tc>
      </w:tr>
    </w:tbl>
    <w:p>
      <w:pPr>
        <w:spacing w:after="40"/>
      </w:pPr>
    </w:p>
    <w:p>
      <w:pPr>
        <w:pStyle w:val="Heading3"/>
      </w:pPr>
      <w:r>
        <w:t>Pédiatrie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Faire l’examen clinique d’un enfant normal « dossier médical ».</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Expliquer les modalités de l’allaitement maternel.</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Expliquer les modalités de la diversification alimentaire.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Expliquer les étapes du calendrier vaccinal d’un enfant aux parents.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Établir une courbe de croissance pondérale et staturale.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Évaluer le développement psychomoteur d’un nourrisson.</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Évaluer l’état nutritionnel d’un enfant.</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Expliquer l’intérêt du carnet de santé pour le suivi d’un enfant.</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Mesurer la TA d’un enfant et l’interpréter en fonction des courbes de référence.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Réaliser l’examen des urines par des bandelettes.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Reconnaître une convulsion du nourrisson.</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Reconnaître la lésion élémentaire d’une éruption de l’enfant.</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Interpréter un ECBU chez l’enfant suspect d’infection urinaire.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Reconnaître une raideur méningée chez un enfant fébrile.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Réaliser une ponction lombaire chez un enfant.</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Interpréter les résultats du LCR d’un enfant.</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une crise d’asthme chez un enfant.</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Évaluer la gravité d’une crise d’asthme chez un enfant.</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Évaluer la gravité d’une déshydratation aiguë.</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Reconnaître les signes évocateurs d’une cardiopathie congénitale.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Évaluer la gravité d’une acidocétose diabétique chez un enfant.</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Interpréter un hémogramme chez l’enfant.</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Reconnaître une paralysie flasque aigue devant une impotence fonctionnelle.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SÉANCES D’ARC: Établir une démarche diagnostique devant:</w:t>
            </w:r>
          </w:p>
          <w:p>
            <w:pPr>
              <w:pStyle w:val="CellText"/>
            </w:pPr>
            <w:r>
              <w:rPr>
                <w:b w:val="0"/>
              </w:rPr>
              <w:t>une diarrhée chronique.</w:t>
            </w:r>
          </w:p>
          <w:p>
            <w:pPr>
              <w:pStyle w:val="CellText"/>
            </w:pPr>
            <w:r>
              <w:rPr>
                <w:b w:val="0"/>
              </w:rPr>
              <w:t>une fièvre,</w:t>
            </w:r>
          </w:p>
          <w:p>
            <w:pPr>
              <w:pStyle w:val="CellText"/>
            </w:pPr>
            <w:r>
              <w:rPr>
                <w:b w:val="0"/>
              </w:rPr>
              <w:t>une dyspnée.</w:t>
            </w:r>
          </w:p>
          <w:p>
            <w:pPr>
              <w:pStyle w:val="CellText"/>
            </w:pPr>
            <w:r>
              <w:rPr>
                <w:b w:val="0"/>
              </w:rPr>
              <w:t>des vomissements chroniques.</w:t>
            </w:r>
          </w:p>
          <w:p>
            <w:pPr>
              <w:pStyle w:val="CellText"/>
            </w:pPr>
            <w:r>
              <w:rPr>
                <w:b w:val="0"/>
              </w:rPr>
              <w:t>des douleurs abdominales.</w:t>
            </w:r>
          </w:p>
          <w:p>
            <w:pPr>
              <w:pStyle w:val="CellText"/>
            </w:pPr>
            <w:r>
              <w:rPr>
                <w:b w:val="0"/>
              </w:rPr>
              <w:t>une hématurie / protéinurie</w:t>
            </w:r>
          </w:p>
          <w:p>
            <w:pPr>
              <w:pStyle w:val="CellText"/>
            </w:pPr>
            <w:r>
              <w:rPr>
                <w:b w:val="0"/>
              </w:rPr>
              <w:t>une fièvre prolongée.</w:t>
            </w:r>
          </w:p>
          <w:p>
            <w:pPr>
              <w:pStyle w:val="CellText"/>
            </w:pPr>
            <w:r>
              <w:rPr>
                <w:b w:val="0"/>
              </w:rPr>
              <w:t>un syndrome cœdémateux.</w:t>
            </w:r>
          </w:p>
          <w:p>
            <w:pPr>
              <w:pStyle w:val="CellText"/>
            </w:pPr>
            <w:r>
              <w:rPr>
                <w:b w:val="0"/>
              </w:rPr>
              <w:t>une anémie / Pâleur.</w:t>
            </w:r>
          </w:p>
        </w:tc>
        <w:tc>
          <w:tcPr>
            <w:tcW w:type="dxa" w:w="1474"/>
            <w:shd w:val="clear" w:color="auto" w:fill="F7F9FB"/>
          </w:tcPr>
          <w:p>
            <w:pPr>
              <w:pStyle w:val="CellText"/>
            </w:pPr>
          </w:p>
        </w:tc>
        <w:tc>
          <w:tcPr>
            <w:tcW w:type="dxa" w:w="1814"/>
            <w:shd w:val="clear" w:color="auto" w:fill="F7F9FB"/>
          </w:tcPr>
          <w:p>
            <w:pPr>
              <w:pStyle w:val="CellText"/>
            </w:pPr>
          </w:p>
        </w:tc>
      </w:tr>
    </w:tbl>
    <w:p>
      <w:pPr>
        <w:spacing w:after="40"/>
      </w:pPr>
    </w:p>
    <w:p>
      <w:pPr>
        <w:pStyle w:val="Heading3"/>
      </w:pPr>
      <w:r>
        <w:t>Chirurgie pédiatrique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Examiner l’abdomen douloureux d’un enfant.</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Examiner l’appareil uro-génital de l’enfant.</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Examiner l’appareil locomoteur d’un enfant.</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Examiner un rachis douloureux ou déformé chez l’enfant.</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Rechercher les complications vasculo-nerveuses lors d’une fracture chez l’enfant.</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Savoir dépister en période néonatale une atrésie de l’œesophage.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Savoir dépister en période néonatale une malformation ano-rectale.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Savoir dépister en période néonatale une luxation congénitale de hanche.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Savoir dépister en période néonatale une Paralysie obstétricale du plexus brachial.</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Savoir dépister en période néonatale les autres anomalies orthopédiques et viscérales apparentes.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Reconnaître les attitudes vicieuses articulaires.</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Reconnaître un flessum extra-articulaire.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Reconnaître une scoliose structurale, une raideur rachidienne.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Reconnaître un syndrome de loges chez un enfant traumatisé.</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Reconnaître les anomalies du canal péritonéo-vaginal.</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Reconnaître une ectopie testiculaire.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Inciser un abcès des parties molles chez l’enfant.</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Réaliser des sutures cutanées chez l’enfant.</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Réaliser un sondage vésical chez l’enfant.</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Réaliser un cathétérisme œsophagien chez un nouveau-né.</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Réaliser un lavement évacuateur chez l’enfant.</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Réaliser une ponction et/ou un drainage pleural chez l’enfant.</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Participer à une consultation de chirurgie pédiatrique.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Accueillir les parents d’un malade.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Participer à une intervention chirurgicale chez l’enfant.</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Surveiller un enfant opéré.</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Éduquer un enfant admis pour maladie hydatique.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SÉANCES D’ARC: Mener une démarche diagnostique devant:</w:t>
            </w:r>
          </w:p>
          <w:p>
            <w:pPr>
              <w:pStyle w:val="CellText"/>
            </w:pPr>
            <w:r>
              <w:rPr>
                <w:b w:val="0"/>
              </w:rPr>
              <w:t>Une boiterie de l’enfant</w:t>
            </w:r>
          </w:p>
          <w:p>
            <w:pPr>
              <w:pStyle w:val="CellText"/>
            </w:pPr>
            <w:r>
              <w:rPr>
                <w:b w:val="0"/>
              </w:rPr>
              <w:t>Un enfant traumatisé</w:t>
            </w:r>
          </w:p>
          <w:p>
            <w:pPr>
              <w:pStyle w:val="CellText"/>
            </w:pPr>
            <w:r>
              <w:rPr>
                <w:b w:val="0"/>
              </w:rPr>
              <w:t>Une masse abdomino-pelvienne de l’enfant</w:t>
            </w:r>
          </w:p>
          <w:p>
            <w:pPr>
              <w:pStyle w:val="CellText"/>
            </w:pPr>
            <w:r>
              <w:rPr>
                <w:b w:val="0"/>
              </w:rPr>
              <w:t>Une douleur abdominale aigue de l’enfant</w:t>
            </w:r>
          </w:p>
          <w:p>
            <w:pPr>
              <w:pStyle w:val="CellText"/>
            </w:pPr>
            <w:r>
              <w:rPr>
                <w:b w:val="0"/>
              </w:rPr>
              <w:t>Une choléstase néonatale</w:t>
            </w:r>
          </w:p>
          <w:p>
            <w:pPr>
              <w:pStyle w:val="CellText"/>
            </w:pPr>
            <w:r>
              <w:rPr>
                <w:b w:val="0"/>
              </w:rPr>
              <w:t>Une occlusion: néonatale</w:t>
            </w:r>
          </w:p>
        </w:tc>
        <w:tc>
          <w:tcPr>
            <w:tcW w:type="dxa" w:w="1474"/>
            <w:shd w:val="clear" w:color="auto" w:fill="F7F9FB"/>
          </w:tcPr>
          <w:p>
            <w:pPr>
              <w:pStyle w:val="CellText"/>
            </w:pPr>
          </w:p>
        </w:tc>
        <w:tc>
          <w:tcPr>
            <w:tcW w:type="dxa" w:w="1814"/>
            <w:shd w:val="clear" w:color="auto" w:fill="F7F9FB"/>
          </w:tcPr>
          <w:p>
            <w:pPr>
              <w:pStyle w:val="CellText"/>
            </w:pPr>
          </w:p>
        </w:tc>
      </w:tr>
    </w:tbl>
    <w:p>
      <w:pPr>
        <w:spacing w:after="40"/>
      </w:pPr>
    </w:p>
    <w:p>
      <w:pPr>
        <w:pStyle w:val="Heading3"/>
      </w:pPr>
      <w:r>
        <w:t>Radiologie pédiatrique / Imagerie de l’enfant.</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Interpréter un ASP chez le nouveau-né.</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Interpréter une radiographie thoracique chez l’enfant.</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un reflux vésico-urétérale et sa stadification sur un UCG chez un enfant.</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De l’enfant Relever les signes d’ostéo-chondrite primitive de hanche sur la radiographie de hanche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Déceler les signes d’une LCH sur une radiographie du bassin chez un nourrisson de 4 mois.</w:t>
            </w:r>
          </w:p>
        </w:tc>
        <w:tc>
          <w:tcPr>
            <w:tcW w:type="dxa" w:w="1474"/>
          </w:tcPr>
          <w:p>
            <w:pPr>
              <w:pStyle w:val="CellText"/>
            </w:pPr>
          </w:p>
        </w:tc>
        <w:tc>
          <w:tcPr>
            <w:tcW w:type="dxa" w:w="1814"/>
          </w:tcPr>
          <w:p>
            <w:pPr>
              <w:pStyle w:val="CellText"/>
            </w:pPr>
          </w:p>
        </w:tc>
      </w:tr>
    </w:tbl>
    <w:p>
      <w:pPr>
        <w:spacing w:after="40"/>
      </w:pPr>
    </w:p>
    <w:p>
      <w:pPr>
        <w:pStyle w:val="Heading3"/>
      </w:pPr>
      <w:r>
        <w:t>Service de réanimation pédiatrique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Réaliser un lavage simple et une friction hydro-alcoolique des mains</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Pratiquer un massage cardiaque externe et une défibrillation chez un enfant en arrêt cardio-respiratoire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Libérer les voies aériennes chez un enfant comateux</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Mettre en place une oxygénothérapie chez un enfant en détresse respiratoire (lunettes et masques)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Pratiquer une aspiration bucco pharyngée et trachéale chez un enfant intubé</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Pratiquer une ventilation à l’aide d’un ballon auto-remplisseur chez un enfant</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Mettre en place une sonde naso-gastrique chez un enfant</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Poser une voie veineuse périphérique chez un enfant</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Réaliser un prélèvement sanguin et urinaire à visée diagnostique ou microbiologique chez un enfant</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Identifier sur un ionogramme sanguin les principaux troubles hydro-électrolytiques chez un enfant</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Reconnaître sur la gazométrie artérielle un désordre acido-basique élémentaire d’un enfant en détresse vitale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Interpréter une radiographie thoracique faite au lit d’un enfant intubé</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Réaliser un bilan hydrique entrées/sorties chez un enfant</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Mesurer par le dextrostix la glycémie capillaire chez un enfant comateux ou sedate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Conduire une transfusion sanguine chez un enfant en état de choc hémorragique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Mettre en route un traitement à base de catécholamines chez un enfant en état de choc</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Participer à la gestion d’un transport médicalisé en intra-hospitalier d’un enfant</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Installer un monitorage de base chez un enfant</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Accueillir la famille d’un enfant admis en reanimation</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Evaluer la douleur aigue chez un enfant et un nourrisson</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Rédiger une ordonnance au profit d’un enfant se plaignant d’une douleur post-opératoire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Assister au déroulement d’une anesthésie générale chez un enfant</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Assister au déroulement d’une anesthésie loco-régionale chez un enfant</w:t>
            </w:r>
          </w:p>
        </w:tc>
        <w:tc>
          <w:tcPr>
            <w:tcW w:type="dxa" w:w="1474"/>
          </w:tcPr>
          <w:p>
            <w:pPr>
              <w:pStyle w:val="CellText"/>
            </w:pPr>
          </w:p>
        </w:tc>
        <w:tc>
          <w:tcPr>
            <w:tcW w:type="dxa" w:w="1814"/>
          </w:tcPr>
          <w:p>
            <w:pPr>
              <w:pStyle w:val="CellText"/>
            </w:pPr>
          </w:p>
        </w:tc>
      </w:tr>
    </w:tbl>
    <w:p>
      <w:pPr>
        <w:spacing w:after="40"/>
      </w:pPr>
    </w:p>
    <w:p>
      <w:pPr>
        <w:pStyle w:val="Heading2"/>
      </w:pPr>
      <w:r>
        <w:t>G. Les objectifs spécifiques des stages dans les services de réanimation</w:t>
      </w:r>
    </w:p>
    <w:p>
      <w:pPr>
        <w:pStyle w:val="Heading3"/>
      </w:pPr>
      <w:r>
        <w:t>Service de réanimation anesthésie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1814"/>
            <w:gridSpan w:val="3"/>
            <w:shd w:val="clear" w:color="auto" w:fill="DCE9F5"/>
          </w:tcPr>
          <w:p>
            <w:pPr>
              <w:pStyle w:val="CellText"/>
              <w:keepNext/>
            </w:pPr>
            <w:r>
              <w:rPr>
                <w:b/>
                <w:color w:val="1F4E79"/>
              </w:rPr>
              <w:t>Thèmes Cardio-circulatoires :</w:t>
            </w:r>
          </w:p>
        </w:tc>
      </w:tr>
      <w:tr>
        <w:trPr>
          <w:cantSplit/>
          <w:trHeight w:val="425"/>
        </w:trPr>
        <w:tc>
          <w:tcPr>
            <w:tcW w:type="dxa" w:w="6349"/>
          </w:tcPr>
          <w:p>
            <w:pPr>
              <w:pStyle w:val="CellText"/>
            </w:pPr>
            <w:r>
              <w:rPr>
                <w:b w:val="0"/>
              </w:rPr>
              <w:t>Reconnaître et Évaluer un état de choc en réanimation</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Pratiquer un massage cardiaque et une défibrillation chez un patient en arrêt cardio-respiratoire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Conduire un traitement à base de catécholamines chez un patient en état de choc en réanimation</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Conduire une transfusion sanguine chez un patient en choc hémorragique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1814"/>
            <w:gridSpan w:val="3"/>
            <w:shd w:val="clear" w:color="auto" w:fill="DCE9F5"/>
          </w:tcPr>
          <w:p>
            <w:pPr>
              <w:pStyle w:val="CellText"/>
              <w:keepNext/>
            </w:pPr>
            <w:r>
              <w:rPr>
                <w:b/>
                <w:color w:val="1F4E79"/>
              </w:rPr>
              <w:t>Thèmes respiratoires :</w:t>
            </w:r>
          </w:p>
        </w:tc>
      </w:tr>
      <w:tr>
        <w:trPr>
          <w:cantSplit/>
          <w:trHeight w:val="425"/>
        </w:trPr>
        <w:tc>
          <w:tcPr>
            <w:tcW w:type="dxa" w:w="6349"/>
          </w:tcPr>
          <w:p>
            <w:pPr>
              <w:pStyle w:val="CellText"/>
            </w:pPr>
            <w:r>
              <w:rPr>
                <w:b w:val="0"/>
              </w:rPr>
              <w:t>Libérer les voies aériennes chez un patient inconscient en réanimation</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Mettre en place une oxygénothérapie chez un patient en détresse vitale : lunettes et masques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Pratiquer une aspiration bucco pharyngée et trachéale chez un malade en réanimation</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Pratiquer une ventilation à l’aide d’un ballon auto-remplisseur chez un malade en réanimation</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Interpréter une radiographie thoracique faite au lit en réanimation</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Assister à une intubation orotrachéale chez un patient en détresse respiratoire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chez Reconnaître un malade les signes en détresse de gravité respiratoire d’une insuffisance en réanimation respiratoire aiguë</w:t>
            </w:r>
          </w:p>
        </w:tc>
        <w:tc>
          <w:tcPr>
            <w:tcW w:type="dxa" w:w="1474"/>
          </w:tcPr>
          <w:p>
            <w:pPr>
              <w:pStyle w:val="CellText"/>
            </w:pPr>
          </w:p>
        </w:tc>
        <w:tc>
          <w:tcPr>
            <w:tcW w:type="dxa" w:w="1814"/>
          </w:tcPr>
          <w:p>
            <w:pPr>
              <w:pStyle w:val="CellText"/>
            </w:pPr>
          </w:p>
        </w:tc>
      </w:tr>
      <w:tr>
        <w:trPr>
          <w:cantSplit/>
          <w:trHeight w:val="425"/>
        </w:trPr>
        <w:tc>
          <w:tcPr>
            <w:tcW w:type="dxa" w:w="1814"/>
            <w:gridSpan w:val="3"/>
            <w:shd w:val="clear" w:color="auto" w:fill="DCE9F5"/>
          </w:tcPr>
          <w:p>
            <w:pPr>
              <w:pStyle w:val="CellText"/>
              <w:keepNext/>
            </w:pPr>
            <w:r>
              <w:rPr>
                <w:b/>
                <w:color w:val="1F4E79"/>
              </w:rPr>
              <w:t>Thèmes métaboliques :</w:t>
            </w:r>
          </w:p>
        </w:tc>
      </w:tr>
      <w:tr>
        <w:trPr>
          <w:cantSplit/>
          <w:trHeight w:val="425"/>
        </w:trPr>
        <w:tc>
          <w:tcPr>
            <w:tcW w:type="dxa" w:w="6349"/>
          </w:tcPr>
          <w:p>
            <w:pPr>
              <w:pStyle w:val="CellText"/>
            </w:pPr>
            <w:r>
              <w:rPr>
                <w:b w:val="0"/>
              </w:rPr>
              <w:t>en Réaliser réanimation un bilan hydrique entrées/sorties des 24H chez un patient</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Placer une sonde vésicale chez un patient en réanimation</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Placer une sonde gastrique chez un malade inconscient en réanimation</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élémentaire Reconnaître d’un sur la malade gazométrie en réanimation artérielle un désordre acido-basique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Réaliser la glycémie capillaire chez un patient en réanimation</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Conduire une insulinothérapie chez un patient en réanimation</w:t>
            </w:r>
          </w:p>
        </w:tc>
        <w:tc>
          <w:tcPr>
            <w:tcW w:type="dxa" w:w="1474"/>
            <w:shd w:val="clear" w:color="auto" w:fill="F7F9FB"/>
          </w:tcPr>
          <w:p>
            <w:pPr>
              <w:pStyle w:val="CellText"/>
            </w:pPr>
          </w:p>
        </w:tc>
        <w:tc>
          <w:tcPr>
            <w:tcW w:type="dxa" w:w="1814"/>
            <w:shd w:val="clear" w:color="auto" w:fill="F7F9FB"/>
          </w:tcPr>
          <w:p>
            <w:pPr>
              <w:pStyle w:val="CellText"/>
            </w:pPr>
          </w:p>
        </w:tc>
      </w:tr>
    </w:tbl>
    <w:p>
      <w:pPr>
        <w:spacing w:after="40"/>
      </w:pPr>
    </w:p>
    <w:p>
      <w:pPr>
        <w:pStyle w:val="Heading4"/>
      </w:pPr>
      <w:r>
        <w:t>Thèmes neurologiques :</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Réaliser un examen neurologique d’un patient comateux en réanimation</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Interpréter l’analyse du LCR d’un malade hospitalisé en reanimation pour une méningite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les signes cliniques de la mort encéphalique chez d’un malade en réanimation</w:t>
            </w:r>
          </w:p>
        </w:tc>
        <w:tc>
          <w:tcPr>
            <w:tcW w:type="dxa" w:w="1474"/>
          </w:tcPr>
          <w:p>
            <w:pPr>
              <w:pStyle w:val="CellText"/>
            </w:pPr>
          </w:p>
        </w:tc>
        <w:tc>
          <w:tcPr>
            <w:tcW w:type="dxa" w:w="1814"/>
          </w:tcPr>
          <w:p>
            <w:pPr>
              <w:pStyle w:val="CellText"/>
            </w:pPr>
          </w:p>
        </w:tc>
      </w:tr>
      <w:tr>
        <w:trPr>
          <w:cantSplit/>
          <w:trHeight w:val="425"/>
        </w:trPr>
        <w:tc>
          <w:tcPr>
            <w:tcW w:type="dxa" w:w="1814"/>
            <w:gridSpan w:val="3"/>
            <w:shd w:val="clear" w:color="auto" w:fill="DCE9F5"/>
          </w:tcPr>
          <w:p>
            <w:pPr>
              <w:pStyle w:val="CellText"/>
              <w:keepNext/>
            </w:pPr>
            <w:r>
              <w:rPr>
                <w:b/>
                <w:color w:val="1F4E79"/>
              </w:rPr>
              <w:t>Thèmes infectieux :</w:t>
            </w:r>
          </w:p>
        </w:tc>
      </w:tr>
      <w:tr>
        <w:trPr>
          <w:cantSplit/>
          <w:trHeight w:val="425"/>
        </w:trPr>
        <w:tc>
          <w:tcPr>
            <w:tcW w:type="dxa" w:w="6349"/>
          </w:tcPr>
          <w:p>
            <w:pPr>
              <w:pStyle w:val="CellText"/>
            </w:pPr>
            <w:r>
              <w:rPr>
                <w:b w:val="0"/>
              </w:rPr>
              <w:t>Reconnaitre un état septique grave chez un patient fébrile en réanimation</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Réaliser un lavage des mains et friction hydro-alcoolique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1814"/>
            <w:gridSpan w:val="3"/>
            <w:shd w:val="clear" w:color="auto" w:fill="DCE9F5"/>
          </w:tcPr>
          <w:p>
            <w:pPr>
              <w:pStyle w:val="CellText"/>
              <w:keepNext/>
            </w:pPr>
            <w:r>
              <w:rPr>
                <w:b/>
                <w:color w:val="1F4E79"/>
              </w:rPr>
              <w:t>Thèmes généraux :</w:t>
            </w:r>
          </w:p>
        </w:tc>
      </w:tr>
      <w:tr>
        <w:trPr>
          <w:cantSplit/>
          <w:trHeight w:val="425"/>
        </w:trPr>
        <w:tc>
          <w:tcPr>
            <w:tcW w:type="dxa" w:w="6349"/>
          </w:tcPr>
          <w:p>
            <w:pPr>
              <w:pStyle w:val="CellText"/>
            </w:pPr>
            <w:r>
              <w:rPr>
                <w:b w:val="0"/>
              </w:rPr>
              <w:t>Pratiquer un monitorage standard d’un malade en réanimation</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Accueil des familles en réanimation</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Conduite et surveillance d’une Analgésie postopératoire en réanimation</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Surveillance d’un opéré de chirurgie lourde en réanimation</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Prise en charge des troubles de conscience (ARC)</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Prise en charge d’un état de choc en réanimation (ARC)</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Prise en charge d’une fièvre d’un malade en réanimation (ARC)</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Prise en charge des convulsions tonico-cloniques généralisées (ARC)</w:t>
            </w:r>
          </w:p>
        </w:tc>
        <w:tc>
          <w:tcPr>
            <w:tcW w:type="dxa" w:w="1474"/>
            <w:shd w:val="clear" w:color="auto" w:fill="F7F9FB"/>
          </w:tcPr>
          <w:p>
            <w:pPr>
              <w:pStyle w:val="CellText"/>
            </w:pPr>
          </w:p>
        </w:tc>
        <w:tc>
          <w:tcPr>
            <w:tcW w:type="dxa" w:w="1814"/>
            <w:shd w:val="clear" w:color="auto" w:fill="F7F9FB"/>
          </w:tcPr>
          <w:p>
            <w:pPr>
              <w:pStyle w:val="CellText"/>
            </w:pPr>
          </w:p>
        </w:tc>
      </w:tr>
    </w:tbl>
    <w:p>
      <w:pPr>
        <w:spacing w:after="40"/>
      </w:pPr>
    </w:p>
    <w:p>
      <w:pPr>
        <w:pStyle w:val="Heading2"/>
      </w:pPr>
      <w:r>
        <w:t>H. Les objectifs spécifiques des stages dans les Laboratoires</w:t>
      </w:r>
    </w:p>
    <w:p>
      <w:pPr>
        <w:pStyle w:val="Heading3"/>
      </w:pPr>
      <w:r>
        <w:t>Service de parasitologie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Expliquer au patient les conditions nécessaires à la réalisation d’un prélèvement des selles pour la recherche des parasites coprologiques.</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Interpréter un compte rendu d’un examen parasitologique des selles à la recherche d’amibes pathogènes et non pathogènes.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Respecter la phase pré-analytique pour les prélèvements destinés à la sérologie parasitaire et fongique.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Préciser les renseignements épidémio- cliniques justifiant la demande de la recherche de Plasmodium. sp devant la suspicion d’un accès palustre.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Interpréter une sérologie toxoplasmique chez une femme enceinte.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Surveiller sérologiquement l’évolution d’un kyste hydatique opéré et l’efficacité du traitement.</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Reconnaître les éléments en faveur de l’origine fongique d’une otite chronique.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Savoir prescrire un examen mycologique devant une suspicion d’une mycose superficielle.</w:t>
            </w:r>
          </w:p>
        </w:tc>
        <w:tc>
          <w:tcPr>
            <w:tcW w:type="dxa" w:w="1474"/>
            <w:shd w:val="clear" w:color="auto" w:fill="F7F9FB"/>
          </w:tcPr>
          <w:p>
            <w:pPr>
              <w:pStyle w:val="CellText"/>
            </w:pPr>
          </w:p>
        </w:tc>
        <w:tc>
          <w:tcPr>
            <w:tcW w:type="dxa" w:w="1814"/>
            <w:shd w:val="clear" w:color="auto" w:fill="F7F9FB"/>
          </w:tcPr>
          <w:p>
            <w:pPr>
              <w:pStyle w:val="CellText"/>
            </w:pPr>
          </w:p>
        </w:tc>
      </w:tr>
    </w:tbl>
    <w:p>
      <w:pPr>
        <w:spacing w:after="40"/>
      </w:pPr>
    </w:p>
    <w:p>
      <w:pPr>
        <w:pStyle w:val="Heading3"/>
      </w:pPr>
      <w:r>
        <w:t>Service de microbiologie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Reconnaître les motifs de non-conformité pour un prélèvement à visée cytobactériologique.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Rédiger convenablement une fiche d’examen pour un prélèvement effectué pour le diagnostic d’une infection bactérienne.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Interpréter un examen cytobactériologique urinaire chez une patiente présentant des brûlures mictionnelles.</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Interpréter une diarrhée le aigue. résultat d’une coproculture réalisé devant</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Interpréter le résultat d’un examen cytobactériologique du LCR chez un patient hospitalisé pour une suspicion d’une méningite.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Interpréter une sérologie hépatique chez un patient admis pour suspicion d’une hépatite virale.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Interpréter présentant pour une sérologie un don de syphilitique sang. chez un patient se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Interpréter une sérologie de la rubéole chez une femme enceinte.</w:t>
            </w:r>
          </w:p>
        </w:tc>
        <w:tc>
          <w:tcPr>
            <w:tcW w:type="dxa" w:w="1474"/>
            <w:shd w:val="clear" w:color="auto" w:fill="F7F9FB"/>
          </w:tcPr>
          <w:p>
            <w:pPr>
              <w:pStyle w:val="CellText"/>
            </w:pPr>
          </w:p>
        </w:tc>
        <w:tc>
          <w:tcPr>
            <w:tcW w:type="dxa" w:w="1814"/>
            <w:shd w:val="clear" w:color="auto" w:fill="F7F9FB"/>
          </w:tcPr>
          <w:p>
            <w:pPr>
              <w:pStyle w:val="CellText"/>
            </w:pPr>
          </w:p>
        </w:tc>
      </w:tr>
    </w:tbl>
    <w:p>
      <w:pPr>
        <w:spacing w:after="40"/>
      </w:pPr>
    </w:p>
    <w:p>
      <w:pPr>
        <w:pStyle w:val="Heading3"/>
      </w:pPr>
      <w:r>
        <w:t>Service d’anatomo-pathologie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Rédiger convenablement une demande d’examen anatomopathologique.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Reconnaitre les motifs de non-conformité d’un examen anatomopathologique.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Suivre le circuit d’une pièce opératoire en Anatomie pathologique.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Interpréter un compte rendu anatomopathologique.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Réaliser un Frottis cervico-vaginal dans le cadre du dépistage du cancer du col utérin.</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Séances d’ARC:</w:t>
            </w:r>
          </w:p>
          <w:p>
            <w:pPr>
              <w:pStyle w:val="CellText"/>
            </w:pPr>
            <w:r>
              <w:rPr>
                <w:b w:val="0"/>
              </w:rPr>
              <w:t>Adénopathie cervicale chez un sujet jeune</w:t>
            </w:r>
          </w:p>
          <w:p>
            <w:pPr>
              <w:pStyle w:val="CellText"/>
            </w:pPr>
            <w:r>
              <w:rPr>
                <w:b w:val="0"/>
              </w:rPr>
              <w:t>Nodule mammaire.</w:t>
            </w:r>
          </w:p>
          <w:p>
            <w:pPr>
              <w:pStyle w:val="CellText"/>
            </w:pPr>
            <w:r>
              <w:rPr>
                <w:b w:val="0"/>
              </w:rPr>
              <w:t>FCV anormal</w:t>
            </w:r>
          </w:p>
          <w:p>
            <w:pPr>
              <w:pStyle w:val="CellText"/>
            </w:pPr>
            <w:r>
              <w:rPr>
                <w:b w:val="0"/>
              </w:rPr>
              <w:t>Masse accouchée par le col utérin..</w:t>
            </w:r>
          </w:p>
        </w:tc>
        <w:tc>
          <w:tcPr>
            <w:tcW w:type="dxa" w:w="1474"/>
            <w:shd w:val="clear" w:color="auto" w:fill="F7F9FB"/>
          </w:tcPr>
          <w:p>
            <w:pPr>
              <w:pStyle w:val="CellText"/>
            </w:pPr>
          </w:p>
        </w:tc>
        <w:tc>
          <w:tcPr>
            <w:tcW w:type="dxa" w:w="1814"/>
            <w:shd w:val="clear" w:color="auto" w:fill="F7F9FB"/>
          </w:tcPr>
          <w:p>
            <w:pPr>
              <w:pStyle w:val="CellText"/>
            </w:pPr>
          </w:p>
        </w:tc>
      </w:tr>
    </w:tbl>
    <w:p>
      <w:pPr>
        <w:spacing w:after="40"/>
      </w:pPr>
    </w:p>
    <w:p>
      <w:pPr>
        <w:pStyle w:val="Heading3"/>
      </w:pPr>
      <w:r>
        <w:t>Service d’immunologie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Savoir les étapes de la phase pré-analytique relatives aux examens immunologiques de laboratoire.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Interpréter une technique d’agglutination.</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Reconnaître les principaux aspects d’anticorps antinucléaires sur des lames d’immunofluorescence indirecte.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Interpréter le bilan immunologique d’une maladie de système.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Reconnaître un état de déficit immunitaire à partir d’un bilan biologique.</w:t>
            </w:r>
          </w:p>
        </w:tc>
        <w:tc>
          <w:tcPr>
            <w:tcW w:type="dxa" w:w="1474"/>
          </w:tcPr>
          <w:p>
            <w:pPr>
              <w:pStyle w:val="CellText"/>
            </w:pPr>
          </w:p>
        </w:tc>
        <w:tc>
          <w:tcPr>
            <w:tcW w:type="dxa" w:w="1814"/>
          </w:tcPr>
          <w:p>
            <w:pPr>
              <w:pStyle w:val="CellText"/>
            </w:pPr>
          </w:p>
        </w:tc>
      </w:tr>
    </w:tbl>
    <w:p>
      <w:pPr>
        <w:spacing w:after="40"/>
      </w:pPr>
    </w:p>
    <w:p>
      <w:pPr>
        <w:pStyle w:val="Heading3"/>
      </w:pPr>
      <w:r>
        <w:t>Service de génétique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Reconnaitre les principales indications cliniques du caryotype constitutionnel post-natal.</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Reconnaitre l’intérêt et les indications d’une consultation de conseil génétique.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Reconnaitre un syndrome dysmorphique et ou malformatif.</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Reconnaitre une déficience mentale d’origine génétique.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Savoir le bilan génétique de première intention à demander devant une anomalie de la différenciation sexuelle.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Reconnaitre les principaux syndromes chromosomiques (La triso- mie 21 et le syndrome de Turner).</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1814"/>
            <w:gridSpan w:val="3"/>
            <w:shd w:val="clear" w:color="auto" w:fill="DCE9F5"/>
          </w:tcPr>
          <w:p>
            <w:pPr>
              <w:pStyle w:val="CellText"/>
              <w:keepNext/>
            </w:pPr>
            <w:r>
              <w:rPr>
                <w:b/>
                <w:color w:val="1F4E79"/>
              </w:rPr>
              <w:t>SERVICE DE BIOCHIMIE</w:t>
            </w:r>
          </w:p>
        </w:tc>
      </w:tr>
      <w:tr>
        <w:trPr>
          <w:cantSplit/>
          <w:trHeight w:val="425"/>
        </w:trPr>
        <w:tc>
          <w:tcPr>
            <w:tcW w:type="dxa" w:w="6349"/>
          </w:tcPr>
          <w:p>
            <w:pPr>
              <w:pStyle w:val="CellText"/>
            </w:pPr>
            <w:r>
              <w:rPr>
                <w:b w:val="0"/>
              </w:rPr>
              <w:t>Citer le panel des paramètres biochimiques traités au laboratoire.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Reconnaître les non-conformités d’un prélèvement sanguin pour analyse biochimique.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Déduire les conséquences des non-conformités d’un prélèvement sanguin pour analyse biochimique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Interpréter les résultats d’une gazométrie.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Interpréter un bilan rénal.</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Interpréter un bilan hépatique.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Interpréter un bilan lipidique.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Interpréter un bilan phosphocalcique.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Interpréter un protidogramme.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Citer les principales indications de l’électrophorèse des protéines.</w:t>
            </w:r>
          </w:p>
        </w:tc>
        <w:tc>
          <w:tcPr>
            <w:tcW w:type="dxa" w:w="1474"/>
            <w:shd w:val="clear" w:color="auto" w:fill="F7F9FB"/>
          </w:tcPr>
          <w:p>
            <w:pPr>
              <w:pStyle w:val="CellText"/>
            </w:pPr>
          </w:p>
        </w:tc>
        <w:tc>
          <w:tcPr>
            <w:tcW w:type="dxa" w:w="1814"/>
            <w:shd w:val="clear" w:color="auto" w:fill="F7F9FB"/>
          </w:tcPr>
          <w:p>
            <w:pPr>
              <w:pStyle w:val="CellText"/>
            </w:pPr>
          </w:p>
        </w:tc>
      </w:tr>
    </w:tbl>
    <w:p>
      <w:pPr>
        <w:spacing w:after="40"/>
      </w:pPr>
    </w:p>
    <w:p>
      <w:pPr>
        <w:pStyle w:val="Heading3"/>
      </w:pPr>
      <w:r>
        <w:t>Service d’hématologie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Interpréter le résultat d’un hémogramme.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Argumenter les hypothèses diagnostiques devant les principales anomalies de l’hémogramme.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Élaborer la démarche diagnostique devant un allongement isolé du TCA.</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Argumenter les hypothèses diagnostiques devant un allon- gement du TCA.</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Élaborer la démarche diagnostique devant un allongement isolé du TP.</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Argumenter allongement les du hypothèses TP. diagnostiques devant un</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Élaborer la démarche diagnostique devant un allongement commun du TP et du TCA.</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Interpréter un groupage sanguin.</w:t>
            </w:r>
          </w:p>
        </w:tc>
        <w:tc>
          <w:tcPr>
            <w:tcW w:type="dxa" w:w="1474"/>
            <w:shd w:val="clear" w:color="auto" w:fill="F7F9FB"/>
          </w:tcPr>
          <w:p>
            <w:pPr>
              <w:pStyle w:val="CellText"/>
            </w:pPr>
          </w:p>
        </w:tc>
        <w:tc>
          <w:tcPr>
            <w:tcW w:type="dxa" w:w="1814"/>
            <w:shd w:val="clear" w:color="auto" w:fill="F7F9FB"/>
          </w:tcPr>
          <w:p>
            <w:pPr>
              <w:pStyle w:val="CellText"/>
            </w:pPr>
          </w:p>
        </w:tc>
      </w:tr>
    </w:tbl>
    <w:p>
      <w:pPr>
        <w:spacing w:after="40"/>
      </w:pPr>
    </w:p>
    <w:p>
      <w:pPr>
        <w:pStyle w:val="Heading2"/>
      </w:pPr>
      <w:r>
        <w:t>I. Les objectifs spécifiques des stages dans les centres de santé</w:t>
      </w:r>
    </w:p>
    <w:p>
      <w:pPr>
        <w:pStyle w:val="Heading3"/>
      </w:pPr>
      <w:r>
        <w:t>Centre de santé</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6349"/>
        <w:gridCol w:w="1474"/>
        <w:gridCol w:w="1814"/>
      </w:tblGrid>
      <w:tr>
        <w:trPr>
          <w:tblHeader/>
        </w:trPr>
        <w:tc>
          <w:tcPr>
            <w:tcW w:type="dxa" w:w="6349"/>
            <w:shd w:val="clear" w:color="auto" w:fill="1F4E79"/>
          </w:tcPr>
          <w:p>
            <w:pPr>
              <w:pStyle w:val="CellText"/>
            </w:pPr>
            <w:r>
              <w:rPr>
                <w:b/>
                <w:color w:val="FFFFFF"/>
              </w:rPr>
              <w:t>Objectifs du stage</w:t>
            </w:r>
          </w:p>
        </w:tc>
        <w:tc>
          <w:tcPr>
            <w:tcW w:type="dxa" w:w="1474"/>
            <w:shd w:val="clear" w:color="auto" w:fill="1F4E79"/>
          </w:tcPr>
          <w:p>
            <w:pPr>
              <w:pStyle w:val="CellText"/>
              <w:jc w:val="center"/>
            </w:pPr>
            <w:r>
              <w:rPr>
                <w:b/>
                <w:color w:val="FFFFFF"/>
              </w:rPr>
              <w:t>Date</w:t>
            </w:r>
          </w:p>
        </w:tc>
        <w:tc>
          <w:tcPr>
            <w:tcW w:type="dxa" w:w="1814"/>
            <w:shd w:val="clear" w:color="auto" w:fill="1F4E79"/>
          </w:tcPr>
          <w:p>
            <w:pPr>
              <w:pStyle w:val="CellText"/>
              <w:jc w:val="center"/>
            </w:pPr>
            <w:r>
              <w:rPr>
                <w:b/>
                <w:color w:val="FFFFFF"/>
              </w:rPr>
              <w:t>Validation</w:t>
            </w:r>
          </w:p>
        </w:tc>
      </w:tr>
      <w:tr>
        <w:trPr>
          <w:cantSplit/>
          <w:trHeight w:val="425"/>
        </w:trPr>
        <w:tc>
          <w:tcPr>
            <w:tcW w:type="dxa" w:w="6349"/>
          </w:tcPr>
          <w:p>
            <w:pPr>
              <w:pStyle w:val="CellText"/>
            </w:pPr>
            <w:r>
              <w:rPr>
                <w:b w:val="0"/>
              </w:rPr>
              <w:t>Connaitre l’organisation et les rôles de la direction régionale de santé et de la délégation</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Connaitre l’organisation et les rôles du SIAAP</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Connaitre l’organisation et les rôles du Centre de santé</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Assurer la prise en charge des affections courantes et délivrer une ordonnance thérapeutique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Mettre à jour un carnet de santé d’un patient</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Connaître les différents programmes de santé publique : modalité de prise en charge, algorithmes, médicaments disponibles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Connaître les outils du système d’information sanitaire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Proposer et indiquer un moyen de contraception selon les différentes situations cliniques</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Mettre en place un stérilet</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Enlever un stérilet</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Surveiller cliniquement et biologiquement une grossesse au 1er, 2ème et 3ème trimestre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Vacciner et surveiller un enfant vacciné</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Participer à la lutte contre les carences (vit À, vit D, fer, lode)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Assurer la prise en charge d’un patient diabétique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Assurer la prise en charge d’un patient hypertendu</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Assurer la prise en charge d’un patient atteint de tuberculose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Assurer la prise en charge d’un patient asthmatique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Assurer la prise en charge d’une Infection Sexuellement Transmissible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Mener l’éducation d’un patient atteint d’hypertension artérielle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Mener l’éducation d’un patient diabétique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Mener l’éducation d’un patient atteint d’asthme</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Participer au processus de la surveillance épidémiologique</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Reconnaître les maladies à déclaration obligatoire et participer à leurs déclarations</w:t>
            </w:r>
          </w:p>
        </w:tc>
        <w:tc>
          <w:tcPr>
            <w:tcW w:type="dxa" w:w="1474"/>
          </w:tcPr>
          <w:p>
            <w:pPr>
              <w:pStyle w:val="CellText"/>
            </w:pPr>
          </w:p>
        </w:tc>
        <w:tc>
          <w:tcPr>
            <w:tcW w:type="dxa" w:w="1814"/>
          </w:tcPr>
          <w:p>
            <w:pPr>
              <w:pStyle w:val="CellText"/>
            </w:pPr>
          </w:p>
        </w:tc>
      </w:tr>
      <w:tr>
        <w:trPr>
          <w:cantSplit/>
          <w:trHeight w:val="425"/>
        </w:trPr>
        <w:tc>
          <w:tcPr>
            <w:tcW w:type="dxa" w:w="6349"/>
            <w:shd w:val="clear" w:color="auto" w:fill="F7F9FB"/>
          </w:tcPr>
          <w:p>
            <w:pPr>
              <w:pStyle w:val="CellText"/>
            </w:pPr>
            <w:r>
              <w:rPr>
                <w:b w:val="0"/>
              </w:rPr>
              <w:t>Pratiquer l’intradermo réaction à la tuberculine (IDR)</w:t>
            </w:r>
          </w:p>
        </w:tc>
        <w:tc>
          <w:tcPr>
            <w:tcW w:type="dxa" w:w="1474"/>
            <w:shd w:val="clear" w:color="auto" w:fill="F7F9FB"/>
          </w:tcPr>
          <w:p>
            <w:pPr>
              <w:pStyle w:val="CellText"/>
            </w:pPr>
          </w:p>
        </w:tc>
        <w:tc>
          <w:tcPr>
            <w:tcW w:type="dxa" w:w="1814"/>
            <w:shd w:val="clear" w:color="auto" w:fill="F7F9FB"/>
          </w:tcPr>
          <w:p>
            <w:pPr>
              <w:pStyle w:val="CellText"/>
            </w:pPr>
          </w:p>
        </w:tc>
      </w:tr>
      <w:tr>
        <w:trPr>
          <w:cantSplit/>
          <w:trHeight w:val="425"/>
        </w:trPr>
        <w:tc>
          <w:tcPr>
            <w:tcW w:type="dxa" w:w="6349"/>
          </w:tcPr>
          <w:p>
            <w:pPr>
              <w:pStyle w:val="CellText"/>
            </w:pPr>
            <w:r>
              <w:rPr>
                <w:b w:val="0"/>
              </w:rPr>
              <w:t>Lire une IDR à la tuberculine</w:t>
            </w:r>
          </w:p>
        </w:tc>
        <w:tc>
          <w:tcPr>
            <w:tcW w:type="dxa" w:w="1474"/>
          </w:tcPr>
          <w:p>
            <w:pPr>
              <w:pStyle w:val="CellText"/>
            </w:pPr>
          </w:p>
        </w:tc>
        <w:tc>
          <w:tcPr>
            <w:tcW w:type="dxa" w:w="1814"/>
          </w:tcPr>
          <w:p>
            <w:pPr>
              <w:pStyle w:val="CellText"/>
            </w:pPr>
          </w:p>
        </w:tc>
      </w:tr>
    </w:tbl>
    <w:p>
      <w:pPr>
        <w:spacing w:after="40"/>
      </w:pPr>
    </w:p>
    <w:p>
      <w:pPr>
        <w:pStyle w:val="Heading1"/>
      </w:pPr>
      <w:r>
        <w:t>Annexes</w:t>
      </w:r>
    </w:p>
    <w:p>
      <w:pPr>
        <w:pStyle w:val="Heading2"/>
      </w:pPr>
      <w:r>
        <w:t>Annexe 1 — Charte du stage hospitalier</w:t>
      </w:r>
    </w:p>
    <w:p>
      <w:r>
        <w:rPr>
          <w:b w:val="0"/>
          <w:i w:val="0"/>
        </w:rPr>
        <w:t>Les stages hospitaliers constituent la principale composante de la formation pratique des étudiants en médecine. Ils se déroulent dans les services de soins du Centre Hospitalier Universitaire Mohamed VI et de l’Hôpital Militaire Avicenne (HMA), sous la responsabilité conjointe du Directeur du Centre Hospitalier Universitaire, du Médecin chef de l’HMA (représentés par les chefs des services hospitaliers) et du Doyen de la Faculté de Médecine.</w:t>
      </w:r>
    </w:p>
    <w:p>
      <w:r>
        <w:rPr>
          <w:b w:val="0"/>
          <w:i w:val="0"/>
        </w:rPr>
        <w:t>En plus de la participation à la vie active du service, l’étudiant doit acquérir les objectifs nécessaires à la pratique médicale courante ; ces objectifs sont contenus dans la liste spécifique à chaque service remise à l’étudiant au début du stage.</w:t>
      </w:r>
    </w:p>
    <w:p>
      <w:r>
        <w:rPr>
          <w:b w:val="0"/>
          <w:i w:val="0"/>
        </w:rPr>
        <w:t>Le carnet de stage est un élément du livret de l’étudiant. Il doit être soigneusement rempli durant toute la durée de l’externat. Toute falsification expose l’étudiant à des sanctions graves.</w:t>
      </w:r>
    </w:p>
    <w:p>
      <w:r>
        <w:rPr>
          <w:b w:val="0"/>
          <w:i w:val="0"/>
        </w:rPr>
        <w:t>Cette charte, élaborée par les membres du comité de stage hospitalier, a pour objectif de clarifier droits, devoirs, activités hospitalières, modalités de formation et d’évaluation des étudiants lors des stages hospitaliers.</w:t>
      </w:r>
    </w:p>
    <w:p>
      <w:pPr>
        <w:pStyle w:val="Heading3"/>
      </w:pPr>
      <w:r>
        <w:t>A. L’étudiant</w:t>
      </w:r>
    </w:p>
    <w:p>
      <w:pPr>
        <w:pStyle w:val="ListBullet"/>
      </w:pPr>
      <w:r>
        <w:t>Il est acteur et responsable de sa formation.</w:t>
      </w:r>
    </w:p>
    <w:p>
      <w:pPr>
        <w:pStyle w:val="ListBullet"/>
      </w:pPr>
      <w:r>
        <w:t>Toute demande de stage au niveau du CHU par les étudiants étrangers doit avoir l’accord préalable du Doyen de la Faculté de Médecine et du directeur du CHU et de l’HMA.</w:t>
      </w:r>
    </w:p>
    <w:p>
      <w:pPr>
        <w:pStyle w:val="ListBullet"/>
      </w:pPr>
      <w:r>
        <w:t>L’étudiant bénéficie d’un accueil personnalisé et d’une visite de la structure. Un livret d’accueil lui est remis au début de stage.</w:t>
      </w:r>
    </w:p>
    <w:p>
      <w:pPr>
        <w:pStyle w:val="ListBullet"/>
      </w:pPr>
      <w:r>
        <w:t>L’étudiant est considéré comme une personne en formation.</w:t>
      </w:r>
    </w:p>
    <w:p>
      <w:pPr>
        <w:pStyle w:val="ListBullet"/>
      </w:pPr>
      <w:r>
        <w:t>L’étudiant bénéficie d’un encadrement par une équipe pluridisciplinaire et par un référent de stage qui a comme mission de l’aider à atteindre ses objectifs.</w:t>
      </w:r>
    </w:p>
    <w:p>
      <w:pPr>
        <w:pStyle w:val="ListBullet"/>
      </w:pPr>
      <w:r>
        <w:t>Il est évalué en fin de stage.</w:t>
      </w:r>
    </w:p>
    <w:p>
      <w:pPr>
        <w:pStyle w:val="ListBullet"/>
      </w:pPr>
      <w:r>
        <w:t>Il s’engage à respecter les modalités d’organisation du stage ;</w:t>
      </w:r>
    </w:p>
    <w:p>
      <w:pPr>
        <w:pStyle w:val="ListBullet"/>
      </w:pPr>
      <w:r>
        <w:t>Formule les objectifs en cohérence avec le livret d’accueil et son niveau d’acquisition figurant dans le portfolio qu’il présente, complète et fait valider par le tuteur ;</w:t>
      </w:r>
    </w:p>
    <w:p>
      <w:pPr>
        <w:pStyle w:val="ListBullet"/>
      </w:pPr>
      <w:r>
        <w:t>Intègre une démarche constructive d’apprentissage : il se donne les moyens d’acquérir des compétences à partir des ressources mises à disposition dans le service ;</w:t>
      </w:r>
    </w:p>
    <w:p>
      <w:pPr>
        <w:pStyle w:val="ListBullet"/>
      </w:pPr>
      <w:r>
        <w:t>S’inscrit dans une logique de réflexion d’analyse de pratique ;</w:t>
      </w:r>
    </w:p>
    <w:p>
      <w:pPr>
        <w:pStyle w:val="ListBullet"/>
      </w:pPr>
      <w:r>
        <w:t>Adopte un comportement responsable, attentif aux personnes et aux biens ;</w:t>
      </w:r>
    </w:p>
    <w:p>
      <w:pPr>
        <w:pStyle w:val="ListBullet"/>
      </w:pPr>
      <w:r>
        <w:t>Est respectueux de la réglementation, des règles professionnelles, ainsi que des règles en vigueur dans la structure d’accueil.</w:t>
      </w:r>
    </w:p>
    <w:p>
      <w:pPr>
        <w:pStyle w:val="Heading3"/>
      </w:pPr>
      <w:r>
        <w:t>B. Le lieu du stage</w:t>
      </w:r>
    </w:p>
    <w:p>
      <w:pPr>
        <w:pStyle w:val="ListBullet"/>
      </w:pPr>
      <w:r>
        <w:t>Les stages se déroulent dans les différents services hospitaliers du CHU Mohamed VI et de l’HMA selon un planning préétabli par la Faculté de Médecine.</w:t>
      </w:r>
    </w:p>
    <w:p>
      <w:pPr>
        <w:pStyle w:val="ListBullet"/>
      </w:pPr>
      <w:r>
        <w:t>Les affectations ne peuvent être modifiées qu’après avis favorable du Doyen de la Faculté de Médecine.</w:t>
      </w:r>
    </w:p>
    <w:p>
      <w:pPr>
        <w:pStyle w:val="ListBullet"/>
      </w:pPr>
      <w:r>
        <w:t>La demande de stage à l’étranger se fait auprès du Doyen de la Faculté de Médecine en coordination avec le service d’accueil à l’étranger.</w:t>
      </w:r>
    </w:p>
    <w:p>
      <w:pPr>
        <w:pStyle w:val="Heading3"/>
      </w:pPr>
      <w:r>
        <w:t>C. Les responsables de l’encadrement</w:t>
      </w:r>
    </w:p>
    <w:p>
      <w:pPr>
        <w:pStyle w:val="Heading4"/>
      </w:pPr>
      <w:r>
        <w:t>1. Le chef de service</w:t>
      </w:r>
    </w:p>
    <w:p>
      <w:pPr>
        <w:pStyle w:val="ListBullet"/>
      </w:pPr>
      <w:r>
        <w:t>Il est responsable de l’organisation du stage.</w:t>
      </w:r>
    </w:p>
    <w:p>
      <w:pPr>
        <w:pStyle w:val="ListBullet"/>
      </w:pPr>
      <w:r>
        <w:t>Il met en place les moyens nécessaires à l’encadrement.</w:t>
      </w:r>
    </w:p>
    <w:p>
      <w:pPr>
        <w:pStyle w:val="ListBullet"/>
      </w:pPr>
      <w:r>
        <w:t>Il est garant de la qualité de l’encadrement et de l’évaluation.</w:t>
      </w:r>
    </w:p>
    <w:p>
      <w:pPr>
        <w:pStyle w:val="Heading4"/>
      </w:pPr>
      <w:r>
        <w:t>2. Le référent de stage</w:t>
      </w:r>
    </w:p>
    <w:p>
      <w:r>
        <w:rPr>
          <w:b w:val="0"/>
          <w:i w:val="0"/>
        </w:rPr>
        <w:t>Le référent de stage soignant exerçant les fonctions d’encadrement, est responsable de l’organisation du stage et s’engage à :</w:t>
      </w:r>
    </w:p>
    <w:p>
      <w:pPr>
        <w:pStyle w:val="ListBullet"/>
      </w:pPr>
      <w:r>
        <w:t>Accueillir l’étudiant lors de son arrivée</w:t>
      </w:r>
    </w:p>
    <w:p>
      <w:pPr>
        <w:pStyle w:val="ListBullet"/>
      </w:pPr>
      <w:r>
        <w:t>Lui présenter son tuteur de stage, les professionnels de proximité présents ; organiser une visite du service.</w:t>
      </w:r>
    </w:p>
    <w:p>
      <w:pPr>
        <w:pStyle w:val="ListBullet"/>
      </w:pPr>
      <w:r>
        <w:t>Mettre en place les moyens nécessaires à l’encadrement : nommer des professionnels de proximité au quotidien en fonction du planning du service et des objectifs de l’étudiant</w:t>
      </w:r>
    </w:p>
    <w:p>
      <w:pPr>
        <w:pStyle w:val="ListBullet"/>
      </w:pPr>
      <w:r>
        <w:t>Être garant de la qualité de l’encadrement</w:t>
      </w:r>
    </w:p>
    <w:p>
      <w:pPr>
        <w:pStyle w:val="ListBullet"/>
      </w:pPr>
      <w:r>
        <w:t>Assurer les relations avec l’Institut de Formation</w:t>
      </w:r>
    </w:p>
    <w:p>
      <w:pPr>
        <w:pStyle w:val="ListBullet"/>
      </w:pPr>
      <w:r>
        <w:t>Régler les questions en cas de difficultés ou de conflits.</w:t>
      </w:r>
    </w:p>
    <w:p>
      <w:pPr>
        <w:pStyle w:val="ListBullet"/>
      </w:pPr>
      <w:r>
        <w:t>Participer à l’évaluation des étudiants.</w:t>
      </w:r>
    </w:p>
    <w:p>
      <w:pPr>
        <w:pStyle w:val="ListBullet"/>
      </w:pPr>
      <w:r>
        <w:t>Prévenir la faculté pour toutes difficultés éventuelles ou problèmes survenant pendant la période de stage (accident, absences).</w:t>
      </w:r>
    </w:p>
    <w:p>
      <w:pPr>
        <w:pStyle w:val="Heading4"/>
      </w:pPr>
      <w:r>
        <w:t>Les enseignants du service</w:t>
      </w:r>
    </w:p>
    <w:p>
      <w:pPr>
        <w:pStyle w:val="ListBullet"/>
      </w:pPr>
      <w:r>
        <w:t>Sont responsables de l’encadrement.</w:t>
      </w:r>
    </w:p>
    <w:p>
      <w:pPr>
        <w:pStyle w:val="ListBullet"/>
      </w:pPr>
      <w:r>
        <w:t>Ils aident l’étudiant dans l’acquisition des compétences.</w:t>
      </w:r>
    </w:p>
    <w:p>
      <w:pPr>
        <w:pStyle w:val="Heading4"/>
      </w:pPr>
      <w:r>
        <w:t>3. Le tuteur de stage</w:t>
      </w:r>
    </w:p>
    <w:p>
      <w:pPr>
        <w:pStyle w:val="ListBullet"/>
      </w:pPr>
      <w:r>
        <w:t>Représente la fonction pédagogique du stage. Il peut le faire temporairement et sur une zone à délimiter (pôle, unité…) ;</w:t>
      </w:r>
    </w:p>
    <w:p>
      <w:pPr>
        <w:pStyle w:val="ListBullet"/>
      </w:pPr>
      <w:r>
        <w:t>Est un professionnel expérimenté, il a développé des capacités ou des compétences spécifiques et de l’intérêt pour l’encadrement d’étudiants ;</w:t>
      </w:r>
    </w:p>
    <w:p>
      <w:pPr>
        <w:pStyle w:val="ListBullet"/>
      </w:pPr>
      <w:r>
        <w:t>Connaît bien les référentiels d’activités, de compétences et de formation des futurs professionnels qu’il encadre ;</w:t>
      </w:r>
    </w:p>
    <w:p>
      <w:pPr>
        <w:pStyle w:val="ListBullet"/>
      </w:pPr>
      <w:r>
        <w:t>Assure un accompagnement des étudiants et évalue leur progression lors d’entretiens réguliers ;</w:t>
      </w:r>
    </w:p>
    <w:p>
      <w:pPr>
        <w:pStyle w:val="ListBullet"/>
      </w:pPr>
      <w:r>
        <w:t>Peut accompagner plusieurs étudiants et les recevoir ensemble lors de leur accueil ou de séquences de travail ;</w:t>
      </w:r>
    </w:p>
    <w:p>
      <w:pPr>
        <w:pStyle w:val="ListBullet"/>
      </w:pPr>
      <w:r>
        <w:t>Peut proposer aux étudiants, des échanges autour des situations ou des questions rencontrées ;</w:t>
      </w:r>
    </w:p>
    <w:p>
      <w:pPr>
        <w:pStyle w:val="ListBullet"/>
      </w:pPr>
      <w:r>
        <w:t>Facilite l’accès des étudiants aux divers moyens de formation proposés sur les lieux de stage, les met en relation avec des personnes ressources et favorise, en liaison avec le maître de stage, l’accès aux services collaborant avec le lieu de stage en vue de comprendre l’ensemble du processus de soin ;</w:t>
      </w:r>
    </w:p>
    <w:p>
      <w:pPr>
        <w:pStyle w:val="ListBullet"/>
      </w:pPr>
      <w:r>
        <w:t>A des relations régulières avec le formateur de l’institut de formation, référent du stage. Il propose des solutions en cas de difficultés ou de conflits ;</w:t>
      </w:r>
    </w:p>
    <w:p>
      <w:pPr>
        <w:pStyle w:val="ListBullet"/>
      </w:pPr>
      <w:r>
        <w:t>Évalue la progression des étudiants dans l’acquisition des compétences après avoir demandé l’avis des professionnels qui ont travaillé en proximité avec l’étudiant ;</w:t>
      </w:r>
    </w:p>
    <w:p>
      <w:pPr>
        <w:pStyle w:val="ListBullet"/>
      </w:pPr>
      <w:r>
        <w:t>Formalise cette progression sur le portfolio lors des entretiens avec l’étudiant en cours et à la fin du stage. Chaque étudiant connaît son tuteur de stage et ses missions.</w:t>
      </w:r>
    </w:p>
    <w:p>
      <w:pPr>
        <w:pStyle w:val="Heading4"/>
      </w:pPr>
      <w:r>
        <w:t>4. Les résidents et les internes</w:t>
      </w:r>
    </w:p>
    <w:p>
      <w:pPr>
        <w:pStyle w:val="ListBullet"/>
      </w:pPr>
      <w:r>
        <w:t>Contribuent à l’encadrement sous la supervision du chef de service.</w:t>
      </w:r>
    </w:p>
    <w:p>
      <w:pPr>
        <w:pStyle w:val="ListBullet"/>
      </w:pPr>
      <w:r>
        <w:t>Peuvent être nommés comme tuteurs.</w:t>
      </w:r>
    </w:p>
    <w:p>
      <w:pPr>
        <w:pStyle w:val="Heading4"/>
      </w:pPr>
      <w:r>
        <w:t>5. Les professionnels de proximité</w:t>
      </w:r>
    </w:p>
    <w:p>
      <w:pPr>
        <w:pStyle w:val="ListBullet"/>
      </w:pPr>
      <w:r>
        <w:t>Représentent la fonction d’encadrement pédagogique au quotidien ;</w:t>
      </w:r>
    </w:p>
    <w:p>
      <w:pPr>
        <w:pStyle w:val="ListBullet"/>
      </w:pPr>
      <w:r>
        <w:t>Sont présents avec l’étudiant lors des séquences de travail de celui-ci, le guident de façon proximale, lui expliquent les actions, nomment les savoirs utilisés, rendent explicites leurs actes, etc… ;</w:t>
      </w:r>
    </w:p>
    <w:p>
      <w:pPr>
        <w:pStyle w:val="ListBullet"/>
      </w:pPr>
      <w:r>
        <w:t>Accompagnent l’étudiant dans sa réflexion et facilitent l’explicitation des situations et du vécu du stage, ils l’encouragent dans ses recherches et sa progression ;</w:t>
      </w:r>
    </w:p>
    <w:p>
      <w:pPr>
        <w:pStyle w:val="ListBullet"/>
      </w:pPr>
      <w:r>
        <w:t>Consultent le portfolio de l’étudiant afin de cibler les situations, activités ou soins devant lesquels l’étudiant pourra être placé ;</w:t>
      </w:r>
    </w:p>
    <w:p>
      <w:pPr>
        <w:pStyle w:val="ListBullet"/>
      </w:pPr>
      <w:r>
        <w:t>Ont des contacts avec le tuteur afin de faire le point sur l’encadrement de l’étudiant de manière régulière ;</w:t>
      </w:r>
    </w:p>
    <w:p>
      <w:pPr>
        <w:pStyle w:val="ListBullet"/>
      </w:pPr>
      <w:r>
        <w:t>Plusieurs personnes peuvent assurer ce rôle sur un même lieu de travail en fonction de l’organisation des équipes. Les autres professionnels de santé contribuent aux apprentissages de l’étudiant.</w:t>
      </w:r>
    </w:p>
    <w:p>
      <w:pPr>
        <w:pStyle w:val="Heading3"/>
      </w:pPr>
      <w:r>
        <w:t>D. Le déroulement du stage</w:t>
      </w:r>
    </w:p>
    <w:p>
      <w:pPr>
        <w:pStyle w:val="Heading4"/>
      </w:pPr>
      <w:r>
        <w:t>1. L’accueil de l’étudiant</w:t>
      </w:r>
    </w:p>
    <w:p>
      <w:r>
        <w:rPr>
          <w:b w:val="0"/>
          <w:i w:val="0"/>
        </w:rPr>
        <w:t>L’accueil est organisé par le chef de service ou le référent de stage, afin de :</w:t>
      </w:r>
    </w:p>
    <w:p>
      <w:pPr>
        <w:pStyle w:val="ListBullet"/>
      </w:pPr>
      <w:r>
        <w:t>Présenter les structures, les activités et les différentes particularités du service</w:t>
      </w:r>
    </w:p>
    <w:p>
      <w:pPr>
        <w:pStyle w:val="ListBullet"/>
      </w:pPr>
      <w:r>
        <w:t>Présenter le personnel médical et paramédical pour favoriser l’intégration au sein du service.</w:t>
      </w:r>
    </w:p>
    <w:p>
      <w:pPr>
        <w:pStyle w:val="Heading4"/>
      </w:pPr>
      <w:r>
        <w:t>2. Le représentant du groupe des étudiants</w:t>
      </w:r>
    </w:p>
    <w:p>
      <w:r>
        <w:rPr>
          <w:b w:val="0"/>
          <w:i w:val="0"/>
        </w:rPr>
        <w:t>Un représentant du groupe est choisi par les étudiants. Il a un rôle d’intermédiaire entre le groupe et le responsable du stage.</w:t>
      </w:r>
    </w:p>
    <w:p>
      <w:r>
        <w:rPr>
          <w:b w:val="0"/>
          <w:i w:val="0"/>
        </w:rPr>
        <w:t>Il doit transmettre les doléances et requêtes des étudiants au responsable du stage.</w:t>
      </w:r>
    </w:p>
    <w:p>
      <w:pPr>
        <w:pStyle w:val="Heading4"/>
      </w:pPr>
      <w:r>
        <w:t>3. L’activité hospitalière</w:t>
      </w:r>
    </w:p>
    <w:p>
      <w:r>
        <w:rPr>
          <w:b w:val="0"/>
          <w:i w:val="0"/>
        </w:rPr>
        <w:t>L’étudiant est chargé de la tenue du dossier médical.</w:t>
      </w:r>
    </w:p>
    <w:p>
      <w:pPr>
        <w:pStyle w:val="ListBullet"/>
      </w:pPr>
      <w:r>
        <w:t>Il accomplit les tâches qui lui sont confiées par le responsable de stage.</w:t>
      </w:r>
    </w:p>
    <w:p>
      <w:pPr>
        <w:pStyle w:val="ListBullet"/>
      </w:pPr>
      <w:r>
        <w:t>Il doit avoir son matériel : stéthoscope, marteau à réflexe, torche, abaisse-langue, mètre ruban….</w:t>
      </w:r>
    </w:p>
    <w:p>
      <w:pPr>
        <w:pStyle w:val="ListBullet"/>
      </w:pPr>
      <w:r>
        <w:t>Il doit valider les objectifs du stage hospitalier contenus dans le carnet de stage ;</w:t>
      </w:r>
    </w:p>
    <w:p>
      <w:pPr>
        <w:pStyle w:val="ListBullet"/>
      </w:pPr>
      <w:r>
        <w:t>Il doit participer à la vie du service, sous la direction du chef de service et du personnel médical et enseignant. Cette activité consiste en :</w:t>
      </w:r>
    </w:p>
    <w:p>
      <w:pPr>
        <w:pStyle w:val="ListBullet2"/>
      </w:pPr>
      <w:r>
        <w:t>La rédaction de l’observation médicale qui doit comporter :</w:t>
      </w:r>
    </w:p>
    <w:p>
      <w:pPr>
        <w:pStyle w:val="ListBullet2"/>
      </w:pPr>
      <w:r>
        <w:t>Le recueil des données fournies par l’interrogatoire et l’examen clinique complet du malade, la conclusion clinique et la nature des explorations éventuellement nécessaires, la mise à jour des données cliniques, para-cliniques et thérapeutiques.</w:t>
      </w:r>
    </w:p>
    <w:p>
      <w:pPr>
        <w:pStyle w:val="ListBullet2"/>
      </w:pPr>
      <w:r>
        <w:t>La participation aux visites et contre-visites et la présentation des observations ;</w:t>
      </w:r>
    </w:p>
    <w:p>
      <w:pPr>
        <w:pStyle w:val="ListBullet2"/>
      </w:pPr>
      <w:r>
        <w:t>La participation aux activités de diagnostic et aux examens complémentaires : prélèvements biologiques, participation à des explorations fonctionnelles, endoscopies, actes médicaux de pratique courante, sous la surveillance des enseignants, la présence et éventuellement aider aux soins et aux interventions chirurgicales ;</w:t>
      </w:r>
    </w:p>
    <w:p>
      <w:pPr>
        <w:pStyle w:val="ListBullet2"/>
      </w:pPr>
      <w:r>
        <w:t>La surveillance des malades, conjointement avec le personnel médical et paramédical</w:t>
      </w:r>
    </w:p>
    <w:p>
      <w:pPr>
        <w:pStyle w:val="ListBullet2"/>
      </w:pPr>
      <w:r>
        <w:t>L’externe doit manifester son intérêt dans ce domaine en s’occupant des patients qui lui sont confiés, en les interrogeant, en tenant à jours leurs dossiers médicaux et en prenant connaissance aussi des examens complémentaires.</w:t>
      </w:r>
    </w:p>
    <w:p>
      <w:pPr>
        <w:pStyle w:val="Heading4"/>
      </w:pPr>
      <w:r>
        <w:t>4. Les gardes</w:t>
      </w:r>
    </w:p>
    <w:p>
      <w:r>
        <w:rPr>
          <w:b w:val="0"/>
          <w:i w:val="0"/>
        </w:rPr>
        <w:t>Les externes sont assujettis aux gardes dans les services où ils sont affectés. Ces gardes sont fixées par le chef de service. Les stagiaires doivent participer aux gardes sous la responsabilité du médecin de garde pour une initiation progressive à la conduite du diagnostic et des premiers éléments d’orientation.</w:t>
      </w:r>
    </w:p>
    <w:p>
      <w:r>
        <w:rPr>
          <w:b w:val="0"/>
          <w:i w:val="0"/>
        </w:rPr>
        <w:t>Les malades qui ont posé des problèmes au cours de la garde ainsi que les entrants doivent être présentés au staff le lendemain en présence d’un sénior. La récupération après une garde n’est pas systématique. Elle est décidée en fonction des besoins du service et après avis du chef de secteur.</w:t>
      </w:r>
    </w:p>
    <w:p>
      <w:r>
        <w:rPr>
          <w:b w:val="0"/>
          <w:i w:val="0"/>
        </w:rPr>
        <w:t>Le nombre, l’horaire et les modalités de gardes sont fixés en fonction des services.</w:t>
      </w:r>
    </w:p>
    <w:p>
      <w:r>
        <w:rPr>
          <w:b w:val="0"/>
          <w:i w:val="0"/>
        </w:rPr>
        <w:t>Tout changement de garde doit être sous la responsabilité du chef de service.</w:t>
      </w:r>
    </w:p>
    <w:p>
      <w:pPr>
        <w:pStyle w:val="Heading4"/>
      </w:pPr>
      <w:r>
        <w:t>5. Durée, date et horaire de stage</w:t>
      </w:r>
    </w:p>
    <w:p>
      <w:r>
        <w:rPr>
          <w:b w:val="0"/>
          <w:i w:val="0"/>
        </w:rPr>
        <w:t>Les externes sont soumis au règlement interne des hôpitaux où ils sont affectés. Leur présence dans les services est obligatoire tous les jours.</w:t>
      </w:r>
    </w:p>
    <w:p>
      <w:r>
        <w:rPr>
          <w:b w:val="0"/>
          <w:i w:val="0"/>
        </w:rPr>
        <w:t>Le stage des externes débute de 8h 30 mn à 12 H.</w:t>
      </w:r>
    </w:p>
    <w:p>
      <w:r>
        <w:rPr>
          <w:b w:val="0"/>
          <w:i w:val="0"/>
        </w:rPr>
        <w:t>Durant les stages hospitaliers « temps plein », les étudiants doivent être présents du lundi au vendredi de 8h30 à 16h.</w:t>
      </w:r>
    </w:p>
    <w:p>
      <w:r>
        <w:rPr>
          <w:b w:val="0"/>
          <w:i w:val="0"/>
        </w:rPr>
        <w:t>Pour les stages hospitaliers « temps plein », une pause déjeuner de 45 minutes est accordée aux étudiants.</w:t>
      </w:r>
    </w:p>
    <w:p>
      <w:pPr>
        <w:pStyle w:val="Heading4"/>
      </w:pPr>
      <w:r>
        <w:t>6. Le congé</w:t>
      </w:r>
    </w:p>
    <w:p>
      <w:r>
        <w:rPr>
          <w:b w:val="0"/>
          <w:i w:val="0"/>
        </w:rPr>
        <w:t>Les externes ont droit à un mois de congé par an (le mois d’août).</w:t>
      </w:r>
    </w:p>
    <w:p>
      <w:pPr>
        <w:pStyle w:val="Heading4"/>
      </w:pPr>
      <w:r>
        <w:t>7. Les rémunérations</w:t>
      </w:r>
    </w:p>
    <w:p>
      <w:r>
        <w:rPr>
          <w:b w:val="0"/>
          <w:i w:val="0"/>
        </w:rPr>
        <w:t>Une indemnité de stage est octroyée par le Ministère de la santé au cours de l’externat et du stage interné.</w:t>
      </w:r>
    </w:p>
    <w:p>
      <w:pPr>
        <w:pStyle w:val="Heading4"/>
      </w:pPr>
      <w:r>
        <w:t>8. Assiduité / absence</w:t>
      </w:r>
    </w:p>
    <w:p>
      <w:r>
        <w:rPr>
          <w:b w:val="0"/>
          <w:i w:val="0"/>
        </w:rPr>
        <w:t>La présence et l’assiduité au cours des différents stages permettent aux étudiants de profiter au maximum de leur passage. Ainsi :</w:t>
      </w:r>
    </w:p>
    <w:p>
      <w:pPr>
        <w:pStyle w:val="ListBullet"/>
      </w:pPr>
      <w:r>
        <w:t>Plus de deux absences non justifiées entraînent l’invalidation du stage.</w:t>
      </w:r>
    </w:p>
    <w:p>
      <w:pPr>
        <w:pStyle w:val="ListBullet"/>
      </w:pPr>
      <w:r>
        <w:t>Deux retards excédant 15 minutes sont considérés comme une absence.</w:t>
      </w:r>
    </w:p>
    <w:p>
      <w:pPr>
        <w:pStyle w:val="ListBullet"/>
      </w:pPr>
      <w:r>
        <w:t>Les absences pour maladie doivent être justifiées par un certificat médical homologué.</w:t>
      </w:r>
    </w:p>
    <w:p>
      <w:pPr>
        <w:pStyle w:val="ListBullet"/>
      </w:pPr>
      <w:r>
        <w:t>Tout certificat médical (même homologué) excédant ou égale à 10% jours ouvrables de la durée de stage exposera à l’invalidation du stage.</w:t>
      </w:r>
    </w:p>
    <w:p>
      <w:r>
        <w:rPr>
          <w:b w:val="0"/>
          <w:i w:val="0"/>
        </w:rPr>
        <w:t>Des autorisations exceptionnelles d’absences pourront être accordées par le Doyen de la faculté de médecine après avis favorable du chef de service. Elles concernent :</w:t>
      </w:r>
    </w:p>
    <w:p>
      <w:pPr>
        <w:pStyle w:val="ListBullet2"/>
      </w:pPr>
      <w:r>
        <w:t>Le décès de parents ou d’enfants : 3 jours</w:t>
      </w:r>
    </w:p>
    <w:p>
      <w:pPr>
        <w:pStyle w:val="ListBullet2"/>
      </w:pPr>
      <w:r>
        <w:t>Le mariage : 2 jours, sous réserve de délivrer un acte de mariage actuel.</w:t>
      </w:r>
    </w:p>
    <w:p>
      <w:r>
        <w:rPr>
          <w:b w:val="0"/>
          <w:i w:val="0"/>
        </w:rPr>
        <w:t>Aucune autorisation d’absence n’est accordée pour la préparation des examens de la 2ème session. La faculté s’engage à envoyer les listes des étudiants passant l’examen de 2ème session et les dates durant lesquelles ils sont autorisés à s’absenter.</w:t>
      </w:r>
    </w:p>
    <w:p>
      <w:r>
        <w:rPr>
          <w:b w:val="0"/>
          <w:i w:val="0"/>
        </w:rPr>
        <w:t>En dehors des cas sus cités, toute demande d’absence devra être accordée par le Doyen de la faculté de médecine après avis favorable du chef de service.</w:t>
      </w:r>
    </w:p>
    <w:p>
      <w:pPr>
        <w:pStyle w:val="Heading4"/>
      </w:pPr>
      <w:r>
        <w:t>9. Respect de l’éthique</w:t>
      </w:r>
    </w:p>
    <w:p>
      <w:pPr>
        <w:pStyle w:val="ListBullet"/>
      </w:pPr>
      <w:r>
        <w:t>L’étudiant est impérativement tenu au secret professionnel. Toute violation dans ce domaine peut entraîner des sanctions notamment pénales.</w:t>
      </w:r>
    </w:p>
    <w:p>
      <w:pPr>
        <w:pStyle w:val="ListBullet"/>
      </w:pPr>
      <w:r>
        <w:t>Il doit respecter le règlement intérieur de l’établissement.</w:t>
      </w:r>
    </w:p>
    <w:p>
      <w:pPr>
        <w:pStyle w:val="ListBullet"/>
      </w:pPr>
      <w:r>
        <w:t>Il n’a pas le droit d’annoncer le diagnostic ni au patient ni à son entourage sauf s’il est accompagné d’un sénior.</w:t>
      </w:r>
    </w:p>
    <w:p>
      <w:pPr>
        <w:pStyle w:val="ListBullet"/>
      </w:pPr>
      <w:r>
        <w:t>Il est tenu au respect de la vie et des droits du patient.</w:t>
      </w:r>
    </w:p>
    <w:p>
      <w:pPr>
        <w:pStyle w:val="ListBullet"/>
      </w:pPr>
      <w:r>
        <w:t>Il doit entretenir des rapports de bonne confraternité avec les professionnels médicaux, paramédicaux et administratifs.</w:t>
      </w:r>
    </w:p>
    <w:p>
      <w:pPr>
        <w:pStyle w:val="ListBullet"/>
      </w:pPr>
      <w:r>
        <w:t>Toute fraude ou falsification du carnet de stage expose l’étudiant à des sanctions graves.</w:t>
      </w:r>
    </w:p>
    <w:p>
      <w:pPr>
        <w:pStyle w:val="ListBullet"/>
      </w:pPr>
      <w:r>
        <w:t>Ne pas donner des renseignements médicaux par téléphone à une personne non identifiable.</w:t>
      </w:r>
    </w:p>
    <w:p>
      <w:pPr>
        <w:pStyle w:val="Heading4"/>
      </w:pPr>
      <w:r>
        <w:t>10. Tenue vestimentaire et règles d’hygiène hospitalière</w:t>
      </w:r>
    </w:p>
    <w:p>
      <w:pPr>
        <w:pStyle w:val="ListBullet"/>
      </w:pPr>
      <w:r>
        <w:t>L’étudiant a l’obligation de respecter et de s’enquérir des consignes d’hygiène et de sécurité.</w:t>
      </w:r>
    </w:p>
    <w:p>
      <w:pPr>
        <w:pStyle w:val="ListBullet"/>
      </w:pPr>
      <w:r>
        <w:t>Il a l’obligation de porter une tenue vestimentaire adaptée et propre :</w:t>
      </w:r>
    </w:p>
    <w:p>
      <w:pPr>
        <w:pStyle w:val="ListBullet2"/>
      </w:pPr>
      <w:r>
        <w:t>Blouse médicale blanche propre dépassant les mi-cuisses.</w:t>
      </w:r>
    </w:p>
    <w:p>
      <w:pPr>
        <w:pStyle w:val="ListBullet2"/>
      </w:pPr>
      <w:r>
        <w:t>Chaussures silencieuses et propres.</w:t>
      </w:r>
    </w:p>
    <w:p>
      <w:pPr>
        <w:pStyle w:val="ListBullet2"/>
      </w:pPr>
      <w:r>
        <w:t>Port obligatoire du badge.</w:t>
      </w:r>
    </w:p>
    <w:p>
      <w:pPr>
        <w:pStyle w:val="ListBullet2"/>
      </w:pPr>
      <w:r>
        <w:t>Aspect soigné, hygiène corporelle correcte.</w:t>
      </w:r>
    </w:p>
    <w:p>
      <w:pPr>
        <w:pStyle w:val="ListBullet2"/>
      </w:pPr>
      <w:r>
        <w:t>Cheveux disciplinés et bien coiffés.</w:t>
      </w:r>
    </w:p>
    <w:p>
      <w:pPr>
        <w:pStyle w:val="ListBullet2"/>
      </w:pPr>
      <w:r>
        <w:t>Ongles courts. Le vernis à ongles n’est pas autorisé.</w:t>
      </w:r>
    </w:p>
    <w:p>
      <w:pPr>
        <w:pStyle w:val="ListBullet2"/>
      </w:pPr>
      <w:r>
        <w:t>Port des bijoux, sauf alliance, interdit.</w:t>
      </w:r>
    </w:p>
    <w:p>
      <w:pPr>
        <w:pStyle w:val="Heading4"/>
      </w:pPr>
      <w:r>
        <w:t>11. Aussi, l’étudiant doit :</w:t>
      </w:r>
    </w:p>
    <w:p>
      <w:pPr>
        <w:pStyle w:val="ListBullet"/>
      </w:pPr>
      <w:r>
        <w:t>Respecter le plateau technique de stage ;</w:t>
      </w:r>
    </w:p>
    <w:p>
      <w:pPr>
        <w:pStyle w:val="ListBullet"/>
      </w:pPr>
      <w:r>
        <w:t>Le patient sera identifié par son nom et pas par son numéro de chambre. La sortie du bâtiment n’est pas autorisée en tenue de travail</w:t>
      </w:r>
    </w:p>
    <w:p>
      <w:pPr>
        <w:pStyle w:val="ListBullet"/>
      </w:pPr>
      <w:r>
        <w:t>La ponctualité est une priorité.</w:t>
      </w:r>
    </w:p>
    <w:p>
      <w:pPr>
        <w:pStyle w:val="ListBullet"/>
      </w:pPr>
      <w:r>
        <w:t>Il est interdit d’utiliser un téléphone portable durant son service. Il est conseillé de mettre le portable en mode vibreur.</w:t>
      </w:r>
    </w:p>
    <w:p>
      <w:pPr>
        <w:pStyle w:val="ListBullet"/>
      </w:pPr>
      <w:r>
        <w:t>Son attitude générale sera digne : il s’abstiendra de fumer, il évitera de s’asseoir sur les lits pendant les visites. Il évitera les conversations particulières entre étudiants, les réflexions ironiques lors des erreurs d’expression des malades ; il évitera également la familiarité excessive, le tutoiement condescendant.</w:t>
      </w:r>
    </w:p>
    <w:p>
      <w:pPr>
        <w:pStyle w:val="ListBullet"/>
      </w:pPr>
      <w:r>
        <w:t>L’étudiant est tenu au secret médical vis-à-vis des tiers et même vis-à-vis des familles («ma langue taira les secrets qui me sont confiés» - Serment d’Hippocrate -)</w:t>
      </w:r>
    </w:p>
    <w:p>
      <w:pPr>
        <w:pStyle w:val="ListBullet"/>
      </w:pPr>
      <w:r>
        <w:t>L’étudiant en formation aura une attitude positive de remise en question en cas de remarque formative. L’agressivité n’est pas admise.</w:t>
      </w:r>
    </w:p>
    <w:p>
      <w:pPr>
        <w:pStyle w:val="ListBullet"/>
      </w:pPr>
      <w:r>
        <w:t>L’étudiant en stage respectera la répartition du travail et fera preuve d’un esprit d’équipe et d’entraide envers les autres soignants.</w:t>
      </w:r>
    </w:p>
    <w:p>
      <w:pPr>
        <w:pStyle w:val="ListBullet"/>
      </w:pPr>
      <w:r>
        <w:t>L’étudiant en stage fera preuve d’une attitude favorable d’apprentissage</w:t>
      </w:r>
    </w:p>
    <w:p>
      <w:pPr>
        <w:pStyle w:val="ListBullet"/>
      </w:pPr>
      <w:r>
        <w:t>L’étudiant en formation respectera le local ou l’armoire vestiaire mis à sa disposition. L’armoire et le local seront rendus propres à la fin du stage.</w:t>
      </w:r>
    </w:p>
    <w:p>
      <w:pPr>
        <w:pStyle w:val="ListBullet"/>
      </w:pPr>
      <w:r>
        <w:t>Ne pas mâcher de chewing-gum pendant le service.</w:t>
      </w:r>
    </w:p>
    <w:p>
      <w:pPr>
        <w:pStyle w:val="Heading4"/>
      </w:pPr>
      <w:r>
        <w:t>L’évaluation</w:t>
      </w:r>
    </w:p>
    <w:p>
      <w:r>
        <w:rPr>
          <w:b w:val="0"/>
          <w:i w:val="0"/>
        </w:rPr>
        <w:t>L’évaluation des étudiants devra être faite avant le départ du stage.</w:t>
      </w:r>
    </w:p>
    <w:p>
      <w:r>
        <w:rPr>
          <w:b w:val="0"/>
          <w:i w:val="0"/>
        </w:rPr>
        <w:t>La validation doit être présentée à la Faculté de Médecine dans les délais fixés.</w:t>
      </w:r>
    </w:p>
    <w:p>
      <w:r>
        <w:rPr>
          <w:b w:val="0"/>
          <w:i w:val="0"/>
        </w:rPr>
        <w:t>La validation des stages d’externat se fera au cours d’une délibération, au plus tard une semaine après la fin du stage. Elle repose sur :</w:t>
      </w:r>
    </w:p>
    <w:p>
      <w:pPr>
        <w:pStyle w:val="ListBullet2"/>
      </w:pPr>
      <w:r>
        <w:t>Le nombre d’absences</w:t>
      </w:r>
    </w:p>
    <w:p>
      <w:pPr>
        <w:pStyle w:val="ListBullet2"/>
      </w:pPr>
      <w:r>
        <w:t>L’évaluation du comportement</w:t>
      </w:r>
    </w:p>
    <w:p>
      <w:pPr>
        <w:pStyle w:val="ListBullet2"/>
      </w:pPr>
      <w:r>
        <w:t>La note de l’examen de fin de stage, sous forme d’évaluation pédagogique</w:t>
      </w:r>
    </w:p>
    <w:p>
      <w:pPr>
        <w:pStyle w:val="ListBullet2"/>
      </w:pPr>
      <w:r>
        <w:t>Une note attribuée à la tenue, au contenu et à la qualité de l’observation médicale des patients dont l’externe est responsable.</w:t>
      </w:r>
    </w:p>
    <w:p>
      <w:pPr>
        <w:pStyle w:val="Heading4"/>
      </w:pPr>
      <w:r>
        <w:t>Droits de l’étudiant</w:t>
      </w:r>
    </w:p>
    <w:p>
      <w:r>
        <w:rPr>
          <w:b w:val="0"/>
          <w:i w:val="0"/>
        </w:rPr>
        <w:t>Le service hospitalier s’engage à mettre à disposition de l’étudiant les moyens matériels nécessaires au bon déroulement de son stage.</w:t>
      </w:r>
    </w:p>
    <w:p>
      <w:r>
        <w:rPr>
          <w:b w:val="0"/>
          <w:i w:val="0"/>
        </w:rPr>
        <w:t>L’équipe pédagogique au sein du CHU s’engage à :</w:t>
      </w:r>
    </w:p>
    <w:p>
      <w:pPr>
        <w:pStyle w:val="ListBullet2"/>
      </w:pPr>
      <w:r>
        <w:t>Assurer une formation de qualité qui répond aux objectifs prédéfinis du stage.</w:t>
      </w:r>
    </w:p>
    <w:p>
      <w:pPr>
        <w:pStyle w:val="ListBullet2"/>
      </w:pPr>
      <w:r>
        <w:t>Développer les capacités de raisonnement clinique et de synthèse de l’étudiant.</w:t>
      </w:r>
    </w:p>
    <w:p>
      <w:pPr>
        <w:pStyle w:val="ListBullet2"/>
      </w:pPr>
      <w:r>
        <w:t>Bien définir les tâches de l’étudiant dans le cadre de l’activité hospitalière.</w:t>
      </w:r>
    </w:p>
    <w:p>
      <w:r>
        <w:rPr>
          <w:b w:val="0"/>
          <w:i w:val="0"/>
        </w:rPr>
        <w:t>À la fin de chaque stage, les étudiants sont invités à formuler une appréciation de la qualité du stage en remplissant un formulaire anonyme élaboré par le comité de stage.</w:t>
      </w:r>
    </w:p>
    <w:p>
      <w:pPr>
        <w:pStyle w:val="Heading2"/>
      </w:pPr>
      <w:r>
        <w:t>Annexe 2 — Situations d’encadrement</w:t>
      </w:r>
    </w:p>
    <w:p>
      <w:r>
        <w:rPr>
          <w:b/>
        </w:rPr>
        <w:t xml:space="preserve">Consultation : </w:t>
      </w:r>
      <w:r>
        <w:t>C’est un ensemble de situations professionnelles auxquelles le stagiaire est confronté dans le cadre de la démarche diagnostique et thérapeutique.</w:t>
      </w:r>
    </w:p>
    <w:p>
      <w:r>
        <w:rPr>
          <w:b/>
        </w:rPr>
        <w:t xml:space="preserve">Réunion du staff et de service : </w:t>
      </w:r>
      <w:r>
        <w:t>est une rencontre régulièrement planifiée réunissant encadreurs et encadrés dans le but de discuter de cas cliniques du service. Le stagiaire est invité à expliciter sa démarche clinique.</w:t>
      </w:r>
    </w:p>
    <w:p>
      <w:r>
        <w:t>La réunion de service est un cadre d’échange regroupant toutes les catégories professionnelles du service pour un bon fonctionnement administratif et technique.</w:t>
      </w:r>
    </w:p>
    <w:p>
      <w:r>
        <w:rPr>
          <w:b/>
        </w:rPr>
        <w:t xml:space="preserve">Garde et permanence : </w:t>
      </w:r>
      <w:r>
        <w:t>C’est un processus de surveillance et de prise en charge du malade en dehors des heures structurées du travail. Elle vise à garantir la continuité des soins.</w:t>
      </w:r>
    </w:p>
    <w:p>
      <w:r>
        <w:rPr>
          <w:b/>
        </w:rPr>
        <w:t xml:space="preserve">Tour de salle : </w:t>
      </w:r>
      <w:r>
        <w:t>Est un processus dans lequel un apprenant fait une évaluation régulière du malade, prend les signes subjectifs et objectifs, fait ses appréciations en rapport avec l’évolution clinique du malade et donne des propositions en rapport avec la prise en charge instaurée.</w:t>
      </w:r>
    </w:p>
    <w:p>
      <w:r>
        <w:rPr>
          <w:b/>
        </w:rPr>
        <w:t xml:space="preserve">Bloc opératoire : </w:t>
      </w:r>
      <w:r>
        <w:t>Est un ensemble des situations professionnelles auxquelles l’apprenant devra être exposé. Ces situations se réalisent dans un cadre spécifique incluant notamment les locaux et les équipements nécessaires aux opérations chirurgicales dans le strict respect des principes d’asepsie et de l’antisepsie.</w:t>
      </w:r>
    </w:p>
    <w:p>
      <w:r>
        <w:rPr>
          <w:b/>
        </w:rPr>
        <w:t xml:space="preserve">Explorations para-cliniques : </w:t>
      </w:r>
      <w:r>
        <w:t>Ensemble d’analyses complémentaires à l’examen et auxquelles le stagiaire est invité à participer dans le but d’affiner ses aptitudes à mener une démarche clinique. Ces analyses comprennent l’imagerie médicale, l’endoscopie et le laboratoire biomédical.</w:t>
      </w:r>
    </w:p>
    <w:p>
      <w:r>
        <w:rPr>
          <w:b/>
        </w:rPr>
        <w:t xml:space="preserve">Audit : </w:t>
      </w:r>
      <w:r>
        <w:t>Analyse approfondie des informations recueillies des documents ou de situations- problèmes visant à documenter les bonnes pratiques et/ou à améliorer la qualité des prestations. Il est clinique, c’est-à-dire qu’il porte sur le dossier d’un patient donné et, de manière systématique, sur le décès.</w:t>
      </w:r>
    </w:p>
    <w:p>
      <w:pPr>
        <w:pStyle w:val="Heading2"/>
      </w:pPr>
      <w:r>
        <w:t>Annexe 3 — Référentiel du stage hospitalier</w:t>
      </w:r>
    </w:p>
    <w:p>
      <w:pPr>
        <w:pStyle w:val="Heading4"/>
      </w:pPr>
      <w:r>
        <w:t>Préambule</w:t>
      </w:r>
    </w:p>
    <w:p>
      <w:r>
        <w:rPr>
          <w:b w:val="0"/>
          <w:i w:val="0"/>
        </w:rPr>
        <w:t>Le stage hospitalier constitue une étape importante dans la formation de l’étudiant en médecine, au cours duquel il acquiert des compétences pratiques nécessaires à sa future fonction de médecin de famille.</w:t>
      </w:r>
    </w:p>
    <w:p>
      <w:r>
        <w:rPr>
          <w:b w:val="0"/>
          <w:i w:val="0"/>
        </w:rPr>
        <w:t>Mais comme ce stage ne s’improvise pas, il est nécessaire d’une part d’organiser, de gérer et de formaliser les activités d’apprentissage et d’autre part d’évaluer l’acquisition des compétences dans les services hospitaliers. Ainsi, le référent du stage sous l’égide de son chef de service et en collaboration avec les autres encadreurs de l’équipe joue un rôle important pour assurer le bon déroulement du stage.</w:t>
      </w:r>
    </w:p>
    <w:p>
      <w:r>
        <w:rPr>
          <w:b w:val="0"/>
          <w:i w:val="0"/>
        </w:rPr>
        <w:t>Il constitue donc l’interlocuteur de l’étudiant par rapport au reste du corps enseignant du service, et constitue aussi l’interlocuteur du service qu’il représente par rapport au décanat.</w:t>
      </w:r>
    </w:p>
    <w:p>
      <w:r>
        <w:rPr>
          <w:b w:val="0"/>
          <w:i w:val="0"/>
        </w:rPr>
        <w:t>Ce référentiel codifie le rôle du référent du stage de chaque service et délimite ses actions.</w:t>
      </w:r>
    </w:p>
    <w:p>
      <w:pPr>
        <w:pStyle w:val="Heading4"/>
      </w:pPr>
      <w:r>
        <w:t>Présentation du référent du stage</w:t>
      </w:r>
    </w:p>
    <w:p>
      <w:r>
        <w:rPr>
          <w:b w:val="0"/>
          <w:i w:val="0"/>
        </w:rPr>
        <w:t>Le référent du stage est un enseignant proposé par le chef du service et désigné par le doyen de la faculté de médecine et de pharmacie. Il assure sous l’égide du chef du service et en collaboration avec les membres de l’équipe, l’organisation, la gestion et la formalisation des activités d’apprentissage de l’étudiant au cours de son stage hospitalier, ainsi que l’évaluation de ses compétences acquises.</w:t>
      </w:r>
    </w:p>
    <w:p>
      <w:r>
        <w:rPr>
          <w:b w:val="0"/>
          <w:i w:val="0"/>
        </w:rPr>
        <w:t>Le rôle du référent du stage se concrétise ainsi à trois niveaux :</w:t>
      </w:r>
    </w:p>
    <w:p>
      <w:pPr>
        <w:pStyle w:val="ListBullet"/>
      </w:pPr>
      <w:r>
        <w:t>Vis-à-vis des membres de l’équipe.</w:t>
      </w:r>
    </w:p>
    <w:p>
      <w:pPr>
        <w:pStyle w:val="ListBullet"/>
      </w:pPr>
      <w:r>
        <w:t>Vis-à-vis des étudiants.</w:t>
      </w:r>
    </w:p>
    <w:p>
      <w:pPr>
        <w:pStyle w:val="ListBullet"/>
      </w:pPr>
      <w:r>
        <w:t>Vis-à-vis du décanat.</w:t>
      </w:r>
    </w:p>
    <w:p>
      <w:pPr>
        <w:pStyle w:val="Heading3"/>
      </w:pPr>
      <w:r>
        <w:t>I — Rôle du référent du stage vis-à-vis des enseignants du service</w:t>
      </w:r>
    </w:p>
    <w:p>
      <w:r>
        <w:rPr>
          <w:b w:val="0"/>
          <w:i w:val="0"/>
        </w:rPr>
        <w:t>Le référent du stage hospitalier doit préparer à l’avance l’accueil des étudiants et leur passage au sein du service.</w:t>
      </w:r>
    </w:p>
    <w:p>
      <w:r>
        <w:rPr>
          <w:b w:val="0"/>
          <w:i w:val="0"/>
        </w:rPr>
        <w:t>Le corps des enseignants doit valider les règles du fonctionnement du service auxquelles l’étudiant doit adhérer, ainsi que les activités de soins où il va être impliqué.</w:t>
      </w:r>
    </w:p>
    <w:p>
      <w:r>
        <w:rPr>
          <w:b w:val="0"/>
          <w:i w:val="0"/>
        </w:rPr>
        <w:t>Pour cela, il doit coordonner au préalable avec les enseignants du service pour :</w:t>
      </w:r>
    </w:p>
    <w:p>
      <w:pPr>
        <w:pStyle w:val="Heading4"/>
      </w:pPr>
      <w:r>
        <w:t>A. Établir l’organigramme du stage</w:t>
      </w:r>
    </w:p>
    <w:p>
      <w:pPr>
        <w:ind w:left="510" w:hanging="340"/>
      </w:pPr>
      <w:r>
        <w:rPr>
          <w:b/>
        </w:rPr>
        <w:t xml:space="preserve">a. </w:t>
      </w:r>
      <w:r>
        <w:t>Établissement d’un registre de présence avec les horaires d’arrivée et de départ que l’étudiant doit signer chaque jour au secrétariat.</w:t>
      </w:r>
    </w:p>
    <w:p>
      <w:pPr>
        <w:ind w:left="510" w:hanging="340"/>
      </w:pPr>
      <w:r>
        <w:rPr>
          <w:b/>
        </w:rPr>
        <w:t xml:space="preserve">b. </w:t>
      </w:r>
      <w:r>
        <w:t>Planification des séances d’apprentissage qui vont être assurées par l’enseignant et/ou par le résident (Fiche N°1) :</w:t>
      </w:r>
    </w:p>
    <w:p>
      <w:pPr>
        <w:pStyle w:val="ListBullet2"/>
      </w:pPr>
      <w:r>
        <w:t>La répartition sur les jours</w:t>
      </w:r>
    </w:p>
    <w:p>
      <w:pPr>
        <w:pStyle w:val="ListBullet2"/>
      </w:pPr>
      <w:r>
        <w:t>L’enseignant et/ou le résident qui va assurer la formation et valider l’objectif.</w:t>
      </w:r>
    </w:p>
    <w:p>
      <w:pPr>
        <w:pStyle w:val="ListBullet2"/>
      </w:pPr>
      <w:r>
        <w:t>La méthode d’enseignement à utiliser :</w:t>
      </w:r>
    </w:p>
    <w:p>
      <w:pPr>
        <w:pStyle w:val="ListBullet2"/>
      </w:pPr>
      <w:r>
        <w:t>Séances d’ARC +++ précédées d’un test de pré requis relatif à l’affection traitée si dossier connu et au motif de consultation si dossier non connu</w:t>
      </w:r>
    </w:p>
    <w:p>
      <w:pPr>
        <w:pStyle w:val="ListBullet2"/>
      </w:pPr>
      <w:r>
        <w:t>Simulation, démonstration de techniques interrogatoire, examen clinique, gestes</w:t>
      </w:r>
    </w:p>
    <w:p>
      <w:pPr>
        <w:pStyle w:val="ListBullet2"/>
      </w:pPr>
      <w:r>
        <w:t>Séances d’interprétation d’examens complémentaires</w:t>
      </w:r>
    </w:p>
    <w:p>
      <w:pPr>
        <w:pStyle w:val="ListBullet2"/>
      </w:pPr>
      <w:r>
        <w:t>Jeux de rôle pour l’apprentissage des attitudes</w:t>
      </w:r>
    </w:p>
    <w:p>
      <w:pPr>
        <w:ind w:left="510" w:hanging="340"/>
      </w:pPr>
      <w:r>
        <w:rPr>
          <w:b/>
        </w:rPr>
        <w:t xml:space="preserve">c. </w:t>
      </w:r>
      <w:r>
        <w:t>Répartition des étudiants avec rotation par secteur d’apprentissage : salles d’hospitalisation, consultation, HDJ, salles de soins, salles de plâtre, unités de diététique, unités d’exploration, blocs opératoires, urgences (Fiche N°2).</w:t>
      </w:r>
    </w:p>
    <w:p>
      <w:pPr>
        <w:ind w:left="510" w:hanging="340"/>
      </w:pPr>
      <w:r>
        <w:rPr>
          <w:b/>
        </w:rPr>
        <w:t xml:space="preserve">d. </w:t>
      </w:r>
      <w:r>
        <w:t>Planification des gardes.</w:t>
      </w:r>
    </w:p>
    <w:p>
      <w:pPr>
        <w:pStyle w:val="Heading4"/>
      </w:pPr>
      <w:r>
        <w:t>B. Préciser les modalités de l’évaluation formative continue et sa rythmicité</w:t>
      </w:r>
    </w:p>
    <w:p>
      <w:pPr>
        <w:ind w:left="510" w:hanging="340"/>
      </w:pPr>
      <w:r>
        <w:rPr>
          <w:b/>
        </w:rPr>
        <w:t xml:space="preserve">a. </w:t>
      </w:r>
      <w:r>
        <w:t>Vérification des carnets de stage de façon régulière.</w:t>
      </w:r>
    </w:p>
    <w:p>
      <w:pPr>
        <w:ind w:left="510" w:hanging="340"/>
      </w:pPr>
      <w:r>
        <w:rPr>
          <w:b/>
        </w:rPr>
        <w:t xml:space="preserve">b. </w:t>
      </w:r>
      <w:r>
        <w:t>Vérification de l’acquisition des compétences pratiques.</w:t>
      </w:r>
    </w:p>
    <w:p>
      <w:pPr>
        <w:ind w:left="510" w:hanging="340"/>
      </w:pPr>
      <w:r>
        <w:rPr>
          <w:b/>
        </w:rPr>
        <w:t xml:space="preserve">c. </w:t>
      </w:r>
      <w:r>
        <w:t>Correction des observations médicales rédigées par les étudiants dans les salles d’hospitalisation, durant les consultations ou durant les gardes.</w:t>
      </w:r>
    </w:p>
    <w:p>
      <w:pPr>
        <w:pStyle w:val="Heading4"/>
      </w:pPr>
      <w:r>
        <w:t>C. Coordonner avec les membres de l’équipe pour préparer l’évaluation finale</w:t>
      </w:r>
    </w:p>
    <w:p>
      <w:pPr>
        <w:ind w:left="510" w:hanging="340"/>
      </w:pPr>
      <w:r>
        <w:rPr>
          <w:b/>
        </w:rPr>
        <w:t xml:space="preserve">a. </w:t>
      </w:r>
      <w:r>
        <w:t>Choisir la méthode d’évaluation : ECOS.</w:t>
      </w:r>
    </w:p>
    <w:p>
      <w:pPr>
        <w:ind w:left="510" w:hanging="340"/>
      </w:pPr>
      <w:r>
        <w:rPr>
          <w:b/>
        </w:rPr>
        <w:t xml:space="preserve">b. </w:t>
      </w:r>
      <w:r>
        <w:t>Préparer la banque des questions.</w:t>
      </w:r>
    </w:p>
    <w:p>
      <w:pPr>
        <w:ind w:left="510" w:hanging="340"/>
      </w:pPr>
      <w:r>
        <w:rPr>
          <w:b/>
        </w:rPr>
        <w:t xml:space="preserve">c. </w:t>
      </w:r>
      <w:r>
        <w:t>Préparer les stations : local, responsable de chaque station…</w:t>
      </w:r>
    </w:p>
    <w:p>
      <w:pPr>
        <w:pStyle w:val="Heading3"/>
      </w:pPr>
      <w:r>
        <w:t>II — Rôle du référent du stage vis-à-vis des étudiants</w:t>
      </w:r>
    </w:p>
    <w:p>
      <w:pPr>
        <w:pStyle w:val="Heading4"/>
      </w:pPr>
      <w:r>
        <w:t>A. Accueillir les étudiants et leur présenter :</w:t>
      </w:r>
    </w:p>
    <w:p>
      <w:pPr>
        <w:ind w:left="510" w:hanging="340"/>
      </w:pPr>
      <w:r>
        <w:rPr>
          <w:b/>
        </w:rPr>
        <w:t xml:space="preserve">a. </w:t>
      </w:r>
      <w:r>
        <w:t>Les locaux du service, le corps médical et le corps paramédical.</w:t>
      </w:r>
    </w:p>
    <w:p>
      <w:pPr>
        <w:ind w:left="510" w:hanging="340"/>
      </w:pPr>
      <w:r>
        <w:rPr>
          <w:b/>
        </w:rPr>
        <w:t xml:space="preserve">b. </w:t>
      </w:r>
      <w:r>
        <w:t>Les objectifs du stage détaillés dans le carnet de stage.</w:t>
      </w:r>
    </w:p>
    <w:p>
      <w:pPr>
        <w:ind w:left="510" w:hanging="340"/>
      </w:pPr>
      <w:r>
        <w:rPr>
          <w:b/>
        </w:rPr>
        <w:t xml:space="preserve">c. </w:t>
      </w:r>
      <w:r>
        <w:t>Le règlement intérieur du service : horaires, badge, blouse…</w:t>
      </w:r>
    </w:p>
    <w:p>
      <w:pPr>
        <w:ind w:left="510" w:hanging="340"/>
      </w:pPr>
      <w:r>
        <w:rPr>
          <w:b/>
        </w:rPr>
        <w:t xml:space="preserve">d. </w:t>
      </w:r>
      <w:r>
        <w:t>L’organisation générale du service ainsi que ses différentes activités.</w:t>
      </w:r>
    </w:p>
    <w:p>
      <w:r>
        <w:rPr>
          <w:b w:val="0"/>
          <w:i w:val="0"/>
        </w:rPr>
        <w:t>Désigner un représentant du groupe.</w:t>
      </w:r>
    </w:p>
    <w:p>
      <w:pPr>
        <w:pStyle w:val="Heading4"/>
      </w:pPr>
      <w:r>
        <w:t>B. Expliquer le déroulement du stage en fonction de l’organigramme préétabli (Fiche N°3)</w:t>
      </w:r>
    </w:p>
    <w:p>
      <w:pPr>
        <w:ind w:left="510" w:hanging="340"/>
      </w:pPr>
      <w:r>
        <w:rPr>
          <w:b/>
        </w:rPr>
        <w:t xml:space="preserve">a. </w:t>
      </w:r>
      <w:r>
        <w:t>Explication des tâches générales à réaliser par chaque étudiant : assister à la visite et au staff, entretien des dossiers.</w:t>
      </w:r>
    </w:p>
    <w:p>
      <w:pPr>
        <w:ind w:left="510" w:hanging="340"/>
      </w:pPr>
      <w:r>
        <w:rPr>
          <w:b/>
        </w:rPr>
        <w:t xml:space="preserve">b. </w:t>
      </w:r>
      <w:r>
        <w:t>Répartition sur les différentes activités de soins réalisées au service : consultation, éducation thérapeutique, HDJ, garde…</w:t>
      </w:r>
    </w:p>
    <w:p>
      <w:pPr>
        <w:ind w:left="510" w:hanging="340"/>
      </w:pPr>
      <w:r>
        <w:rPr>
          <w:b/>
        </w:rPr>
        <w:t xml:space="preserve">c. </w:t>
      </w:r>
      <w:r>
        <w:t>Planning des séances d’apprentissage selon les objectifs et la méthode d’enseignement à utiliser.</w:t>
      </w:r>
    </w:p>
    <w:p>
      <w:pPr>
        <w:pStyle w:val="Heading4"/>
      </w:pPr>
      <w:r>
        <w:t>C. Afficher l’organigramme du stage</w:t>
      </w:r>
    </w:p>
    <w:p>
      <w:r>
        <w:rPr>
          <w:b w:val="0"/>
          <w:i w:val="0"/>
        </w:rPr>
        <w:t>Répartition, planning, gardes, séances d’ARC…</w:t>
      </w:r>
    </w:p>
    <w:p>
      <w:pPr>
        <w:pStyle w:val="Heading4"/>
      </w:pPr>
      <w:r>
        <w:t>D. Expliquer aux étudiants comment utiliser le carnet de stage</w:t>
      </w:r>
    </w:p>
    <w:p>
      <w:pPr>
        <w:ind w:left="510" w:hanging="340"/>
      </w:pPr>
      <w:r>
        <w:rPr>
          <w:b/>
        </w:rPr>
        <w:t xml:space="preserve">a. </w:t>
      </w:r>
      <w:r>
        <w:t>Avoir le carnet de stage en permanence sur soi, y compris durant les gardes.</w:t>
      </w:r>
    </w:p>
    <w:p>
      <w:pPr>
        <w:ind w:left="510" w:hanging="340"/>
      </w:pPr>
      <w:r>
        <w:rPr>
          <w:b/>
        </w:rPr>
        <w:t xml:space="preserve">b. </w:t>
      </w:r>
      <w:r>
        <w:t>Validation régulière de chaque objectif par les personnes ressources de l’apprentissage.</w:t>
      </w:r>
    </w:p>
    <w:p>
      <w:pPr>
        <w:pStyle w:val="Heading4"/>
      </w:pPr>
      <w:r>
        <w:t>E. Veiller au respect de l’organigramme</w:t>
      </w:r>
    </w:p>
    <w:p>
      <w:r>
        <w:rPr>
          <w:b w:val="0"/>
          <w:i w:val="0"/>
        </w:rPr>
        <w:t>Veiller régulièrement au cours du stage, avec l’aide du chef de service, au respect de l’application de l’organigramme.</w:t>
      </w:r>
    </w:p>
    <w:p>
      <w:pPr>
        <w:pStyle w:val="Heading4"/>
      </w:pPr>
      <w:r>
        <w:t>F. Vérifier la réalisation de l’évaluation formative continue</w:t>
      </w:r>
    </w:p>
    <w:p>
      <w:r>
        <w:rPr>
          <w:b w:val="0"/>
          <w:i w:val="0"/>
        </w:rPr>
        <w:t>En collaboration avec les autres enseignants et sous la supervision du chef de service :</w:t>
      </w:r>
    </w:p>
    <w:p>
      <w:pPr>
        <w:ind w:left="510" w:hanging="340"/>
      </w:pPr>
      <w:r>
        <w:rPr>
          <w:b/>
        </w:rPr>
        <w:t xml:space="preserve">a. </w:t>
      </w:r>
      <w:r>
        <w:t>Vérification régulière des carnets de stage.</w:t>
      </w:r>
    </w:p>
    <w:p>
      <w:pPr>
        <w:ind w:left="510" w:hanging="340"/>
      </w:pPr>
      <w:r>
        <w:rPr>
          <w:b/>
        </w:rPr>
        <w:t xml:space="preserve">b. </w:t>
      </w:r>
      <w:r>
        <w:t>Vérification de l’acquisition des compétences pratiques.</w:t>
      </w:r>
    </w:p>
    <w:p>
      <w:pPr>
        <w:ind w:left="510" w:hanging="340"/>
      </w:pPr>
      <w:r>
        <w:rPr>
          <w:b/>
        </w:rPr>
        <w:t xml:space="preserve">c. </w:t>
      </w:r>
      <w:r>
        <w:t>Vérification de la correction des observations rédigées par les étudiants…</w:t>
      </w:r>
    </w:p>
    <w:p>
      <w:pPr>
        <w:pStyle w:val="Heading4"/>
      </w:pPr>
      <w:r>
        <w:t>G. Recevoir les suggestions et propositions des étudiants</w:t>
      </w:r>
    </w:p>
    <w:p>
      <w:r>
        <w:rPr>
          <w:b w:val="0"/>
          <w:i w:val="0"/>
        </w:rPr>
        <w:t>Le représentant du groupe peut exposer les problèmes des étudiants : permissions, difficultés, suggestions…</w:t>
      </w:r>
    </w:p>
    <w:p>
      <w:pPr>
        <w:pStyle w:val="Heading4"/>
      </w:pPr>
      <w:r>
        <w:t>H. Évaluation</w:t>
      </w:r>
    </w:p>
    <w:p>
      <w:pPr>
        <w:ind w:left="510" w:hanging="340"/>
      </w:pPr>
      <w:r>
        <w:rPr>
          <w:b/>
        </w:rPr>
        <w:t xml:space="preserve">a. </w:t>
      </w:r>
      <w:r>
        <w:t>Participer avec le chef de service et l’ensemble des collègues à la préparation des évaluations par ECOS.</w:t>
      </w:r>
    </w:p>
    <w:p>
      <w:pPr>
        <w:ind w:left="510" w:hanging="340"/>
      </w:pPr>
      <w:r>
        <w:rPr>
          <w:b/>
        </w:rPr>
        <w:t xml:space="preserve">b. </w:t>
      </w:r>
      <w:r>
        <w:t>Informer les étudiants du jour de l’évaluation, de la méthode d’évaluation (ECOS), des modalités d’évaluation et du déroulement…</w:t>
      </w:r>
    </w:p>
    <w:p>
      <w:pPr>
        <w:pStyle w:val="Heading3"/>
      </w:pPr>
      <w:r>
        <w:t>III — Rôle du référent du stage vis-à-vis du décanat</w:t>
      </w:r>
    </w:p>
    <w:p>
      <w:pPr>
        <w:ind w:left="510" w:hanging="340"/>
      </w:pPr>
      <w:r>
        <w:t>A. Remplir la fiche de validation du stage.</w:t>
      </w:r>
    </w:p>
    <w:p>
      <w:pPr>
        <w:ind w:left="510" w:hanging="340"/>
      </w:pPr>
      <w:r>
        <w:t>B. Veiller à l’envoi d’une copie au responsable du stage par courriel et par mail.</w:t>
      </w:r>
    </w:p>
    <w:p>
      <w:pPr>
        <w:ind w:left="510" w:hanging="340"/>
      </w:pPr>
      <w:r>
        <w:t>C. Assister à la réunion de validation du stage.</w:t>
      </w:r>
    </w:p>
    <w:p>
      <w:pPr>
        <w:ind w:left="510" w:hanging="340"/>
      </w:pPr>
      <w:r>
        <w:t>D. Exposer les éventuels problèmes rencontrés au cours du stage.</w:t>
      </w:r>
    </w:p>
    <w:p>
      <w:pPr>
        <w:ind w:left="510" w:hanging="340"/>
      </w:pPr>
      <w:r>
        <w:t>E. Présenter les besoins nécessaires pour le bon fonctionnement et déroulement du stage.</w:t>
      </w:r>
    </w:p>
    <w:p>
      <w:pPr>
        <w:pStyle w:val="Heading4"/>
      </w:pPr>
      <w:r>
        <w:t>Fiche N°1 : Exemple de planning des séances d’apprentissage</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6" w:type="dxa"/>
        <w:tblLayout w:type="fixed"/>
      </w:tblPr>
      <w:tblGrid>
        <w:gridCol w:w="3968"/>
        <w:gridCol w:w="2267"/>
        <w:gridCol w:w="1474"/>
        <w:gridCol w:w="1927"/>
      </w:tblGrid>
      <w:tr>
        <w:trPr>
          <w:tblHeader/>
        </w:trPr>
        <w:tc>
          <w:tcPr>
            <w:tcW w:type="dxa" w:w="3968"/>
            <w:shd w:val="clear" w:color="auto" w:fill="1F4E79"/>
          </w:tcPr>
          <w:p>
            <w:pPr>
              <w:pStyle w:val="CellText"/>
            </w:pPr>
            <w:r>
              <w:rPr>
                <w:b/>
                <w:color w:val="FFFFFF"/>
              </w:rPr>
              <w:t>Objectif</w:t>
            </w:r>
          </w:p>
        </w:tc>
        <w:tc>
          <w:tcPr>
            <w:tcW w:type="dxa" w:w="2267"/>
            <w:shd w:val="clear" w:color="auto" w:fill="1F4E79"/>
          </w:tcPr>
          <w:p>
            <w:pPr>
              <w:pStyle w:val="CellText"/>
            </w:pPr>
            <w:r>
              <w:rPr>
                <w:b/>
                <w:color w:val="FFFFFF"/>
              </w:rPr>
              <w:t>Enseignant</w:t>
            </w:r>
          </w:p>
        </w:tc>
        <w:tc>
          <w:tcPr>
            <w:tcW w:type="dxa" w:w="1474"/>
            <w:shd w:val="clear" w:color="auto" w:fill="1F4E79"/>
          </w:tcPr>
          <w:p>
            <w:pPr>
              <w:pStyle w:val="CellText"/>
            </w:pPr>
            <w:r>
              <w:rPr>
                <w:b/>
                <w:color w:val="FFFFFF"/>
              </w:rPr>
              <w:t>Date</w:t>
            </w:r>
          </w:p>
        </w:tc>
        <w:tc>
          <w:tcPr>
            <w:tcW w:type="dxa" w:w="1927"/>
            <w:shd w:val="clear" w:color="auto" w:fill="1F4E79"/>
          </w:tcPr>
          <w:p>
            <w:pPr>
              <w:pStyle w:val="CellText"/>
            </w:pPr>
            <w:r>
              <w:rPr>
                <w:b/>
                <w:color w:val="FFFFFF"/>
              </w:rPr>
              <w:t>Méthode</w:t>
            </w:r>
          </w:p>
        </w:tc>
      </w:tr>
      <w:tr>
        <w:trPr>
          <w:cantSplit/>
          <w:trHeight w:val="510"/>
        </w:trPr>
        <w:tc>
          <w:tcPr>
            <w:tcW w:type="dxa" w:w="3968"/>
          </w:tcPr>
          <w:p>
            <w:pPr>
              <w:pStyle w:val="CellText"/>
            </w:pPr>
            <w:r>
              <w:rPr>
                <w:b w:val="0"/>
              </w:rPr>
            </w:r>
          </w:p>
        </w:tc>
        <w:tc>
          <w:tcPr>
            <w:tcW w:type="dxa" w:w="2267"/>
          </w:tcPr>
          <w:p>
            <w:pPr>
              <w:pStyle w:val="CellText"/>
            </w:pPr>
            <w:r>
              <w:rPr>
                <w:b w:val="0"/>
              </w:rPr>
            </w:r>
          </w:p>
        </w:tc>
        <w:tc>
          <w:tcPr>
            <w:tcW w:type="dxa" w:w="1474"/>
          </w:tcPr>
          <w:p>
            <w:pPr>
              <w:pStyle w:val="CellText"/>
            </w:pPr>
            <w:r>
              <w:rPr>
                <w:b w:val="0"/>
              </w:rPr>
            </w:r>
          </w:p>
        </w:tc>
        <w:tc>
          <w:tcPr>
            <w:tcW w:type="dxa" w:w="1927"/>
          </w:tcPr>
          <w:p>
            <w:pPr>
              <w:pStyle w:val="CellText"/>
            </w:pPr>
            <w:r>
              <w:rPr>
                <w:b w:val="0"/>
              </w:rPr>
            </w:r>
          </w:p>
        </w:tc>
      </w:tr>
      <w:tr>
        <w:trPr>
          <w:cantSplit/>
          <w:trHeight w:val="510"/>
        </w:trPr>
        <w:tc>
          <w:tcPr>
            <w:tcW w:type="dxa" w:w="3968"/>
          </w:tcPr>
          <w:p>
            <w:pPr>
              <w:pStyle w:val="CellText"/>
            </w:pPr>
            <w:r>
              <w:rPr>
                <w:b w:val="0"/>
              </w:rPr>
            </w:r>
          </w:p>
        </w:tc>
        <w:tc>
          <w:tcPr>
            <w:tcW w:type="dxa" w:w="2267"/>
          </w:tcPr>
          <w:p>
            <w:pPr>
              <w:pStyle w:val="CellText"/>
            </w:pPr>
            <w:r>
              <w:rPr>
                <w:b w:val="0"/>
              </w:rPr>
            </w:r>
          </w:p>
        </w:tc>
        <w:tc>
          <w:tcPr>
            <w:tcW w:type="dxa" w:w="1474"/>
          </w:tcPr>
          <w:p>
            <w:pPr>
              <w:pStyle w:val="CellText"/>
            </w:pPr>
            <w:r>
              <w:rPr>
                <w:b w:val="0"/>
              </w:rPr>
            </w:r>
          </w:p>
        </w:tc>
        <w:tc>
          <w:tcPr>
            <w:tcW w:type="dxa" w:w="1927"/>
          </w:tcPr>
          <w:p>
            <w:pPr>
              <w:pStyle w:val="CellText"/>
            </w:pPr>
            <w:r>
              <w:rPr>
                <w:b w:val="0"/>
              </w:rPr>
            </w:r>
          </w:p>
        </w:tc>
      </w:tr>
      <w:tr>
        <w:trPr>
          <w:cantSplit/>
          <w:trHeight w:val="510"/>
        </w:trPr>
        <w:tc>
          <w:tcPr>
            <w:tcW w:type="dxa" w:w="3968"/>
          </w:tcPr>
          <w:p>
            <w:pPr>
              <w:pStyle w:val="CellText"/>
            </w:pPr>
            <w:r>
              <w:rPr>
                <w:b w:val="0"/>
              </w:rPr>
            </w:r>
          </w:p>
        </w:tc>
        <w:tc>
          <w:tcPr>
            <w:tcW w:type="dxa" w:w="2267"/>
          </w:tcPr>
          <w:p>
            <w:pPr>
              <w:pStyle w:val="CellText"/>
            </w:pPr>
            <w:r>
              <w:rPr>
                <w:b w:val="0"/>
              </w:rPr>
            </w:r>
          </w:p>
        </w:tc>
        <w:tc>
          <w:tcPr>
            <w:tcW w:type="dxa" w:w="1474"/>
          </w:tcPr>
          <w:p>
            <w:pPr>
              <w:pStyle w:val="CellText"/>
            </w:pPr>
            <w:r>
              <w:rPr>
                <w:b w:val="0"/>
              </w:rPr>
            </w:r>
          </w:p>
        </w:tc>
        <w:tc>
          <w:tcPr>
            <w:tcW w:type="dxa" w:w="1927"/>
          </w:tcPr>
          <w:p>
            <w:pPr>
              <w:pStyle w:val="CellText"/>
            </w:pPr>
            <w:r>
              <w:rPr>
                <w:b w:val="0"/>
              </w:rPr>
            </w:r>
          </w:p>
        </w:tc>
      </w:tr>
      <w:tr>
        <w:trPr>
          <w:cantSplit/>
          <w:trHeight w:val="510"/>
        </w:trPr>
        <w:tc>
          <w:tcPr>
            <w:tcW w:type="dxa" w:w="3968"/>
          </w:tcPr>
          <w:p>
            <w:pPr>
              <w:pStyle w:val="CellText"/>
            </w:pPr>
            <w:r>
              <w:rPr>
                <w:b w:val="0"/>
              </w:rPr>
            </w:r>
          </w:p>
        </w:tc>
        <w:tc>
          <w:tcPr>
            <w:tcW w:type="dxa" w:w="2267"/>
          </w:tcPr>
          <w:p>
            <w:pPr>
              <w:pStyle w:val="CellText"/>
            </w:pPr>
            <w:r>
              <w:rPr>
                <w:b w:val="0"/>
              </w:rPr>
            </w:r>
          </w:p>
        </w:tc>
        <w:tc>
          <w:tcPr>
            <w:tcW w:type="dxa" w:w="1474"/>
          </w:tcPr>
          <w:p>
            <w:pPr>
              <w:pStyle w:val="CellText"/>
            </w:pPr>
            <w:r>
              <w:rPr>
                <w:b w:val="0"/>
              </w:rPr>
            </w:r>
          </w:p>
        </w:tc>
        <w:tc>
          <w:tcPr>
            <w:tcW w:type="dxa" w:w="1927"/>
          </w:tcPr>
          <w:p>
            <w:pPr>
              <w:pStyle w:val="CellText"/>
            </w:pPr>
            <w:r>
              <w:rPr>
                <w:b w:val="0"/>
              </w:rPr>
            </w:r>
          </w:p>
        </w:tc>
      </w:tr>
      <w:tr>
        <w:trPr>
          <w:cantSplit/>
          <w:trHeight w:val="510"/>
        </w:trPr>
        <w:tc>
          <w:tcPr>
            <w:tcW w:type="dxa" w:w="3968"/>
          </w:tcPr>
          <w:p>
            <w:pPr>
              <w:pStyle w:val="CellText"/>
            </w:pPr>
            <w:r>
              <w:rPr>
                <w:b w:val="0"/>
              </w:rPr>
            </w:r>
          </w:p>
        </w:tc>
        <w:tc>
          <w:tcPr>
            <w:tcW w:type="dxa" w:w="2267"/>
          </w:tcPr>
          <w:p>
            <w:pPr>
              <w:pStyle w:val="CellText"/>
            </w:pPr>
            <w:r>
              <w:rPr>
                <w:b w:val="0"/>
              </w:rPr>
            </w:r>
          </w:p>
        </w:tc>
        <w:tc>
          <w:tcPr>
            <w:tcW w:type="dxa" w:w="1474"/>
          </w:tcPr>
          <w:p>
            <w:pPr>
              <w:pStyle w:val="CellText"/>
            </w:pPr>
            <w:r>
              <w:rPr>
                <w:b w:val="0"/>
              </w:rPr>
            </w:r>
          </w:p>
        </w:tc>
        <w:tc>
          <w:tcPr>
            <w:tcW w:type="dxa" w:w="1927"/>
          </w:tcPr>
          <w:p>
            <w:pPr>
              <w:pStyle w:val="CellText"/>
            </w:pPr>
            <w:r>
              <w:rPr>
                <w:b w:val="0"/>
              </w:rPr>
            </w:r>
          </w:p>
        </w:tc>
      </w:tr>
      <w:tr>
        <w:trPr>
          <w:cantSplit/>
          <w:trHeight w:val="510"/>
        </w:trPr>
        <w:tc>
          <w:tcPr>
            <w:tcW w:type="dxa" w:w="3968"/>
          </w:tcPr>
          <w:p>
            <w:pPr>
              <w:pStyle w:val="CellText"/>
            </w:pPr>
            <w:r>
              <w:rPr>
                <w:b w:val="0"/>
              </w:rPr>
            </w:r>
          </w:p>
        </w:tc>
        <w:tc>
          <w:tcPr>
            <w:tcW w:type="dxa" w:w="2267"/>
          </w:tcPr>
          <w:p>
            <w:pPr>
              <w:pStyle w:val="CellText"/>
            </w:pPr>
            <w:r>
              <w:rPr>
                <w:b w:val="0"/>
              </w:rPr>
            </w:r>
          </w:p>
        </w:tc>
        <w:tc>
          <w:tcPr>
            <w:tcW w:type="dxa" w:w="1474"/>
          </w:tcPr>
          <w:p>
            <w:pPr>
              <w:pStyle w:val="CellText"/>
            </w:pPr>
            <w:r>
              <w:rPr>
                <w:b w:val="0"/>
              </w:rPr>
            </w:r>
          </w:p>
        </w:tc>
        <w:tc>
          <w:tcPr>
            <w:tcW w:type="dxa" w:w="1927"/>
          </w:tcPr>
          <w:p>
            <w:pPr>
              <w:pStyle w:val="CellText"/>
            </w:pPr>
            <w:r>
              <w:rPr>
                <w:b w:val="0"/>
              </w:rPr>
            </w:r>
          </w:p>
        </w:tc>
      </w:tr>
      <w:tr>
        <w:trPr>
          <w:cantSplit/>
          <w:trHeight w:val="510"/>
        </w:trPr>
        <w:tc>
          <w:tcPr>
            <w:tcW w:type="dxa" w:w="3968"/>
          </w:tcPr>
          <w:p>
            <w:pPr>
              <w:pStyle w:val="CellText"/>
            </w:pPr>
            <w:r>
              <w:rPr>
                <w:b w:val="0"/>
              </w:rPr>
            </w:r>
          </w:p>
        </w:tc>
        <w:tc>
          <w:tcPr>
            <w:tcW w:type="dxa" w:w="2267"/>
          </w:tcPr>
          <w:p>
            <w:pPr>
              <w:pStyle w:val="CellText"/>
            </w:pPr>
            <w:r>
              <w:rPr>
                <w:b w:val="0"/>
              </w:rPr>
            </w:r>
          </w:p>
        </w:tc>
        <w:tc>
          <w:tcPr>
            <w:tcW w:type="dxa" w:w="1474"/>
          </w:tcPr>
          <w:p>
            <w:pPr>
              <w:pStyle w:val="CellText"/>
            </w:pPr>
            <w:r>
              <w:rPr>
                <w:b w:val="0"/>
              </w:rPr>
            </w:r>
          </w:p>
        </w:tc>
        <w:tc>
          <w:tcPr>
            <w:tcW w:type="dxa" w:w="1927"/>
          </w:tcPr>
          <w:p>
            <w:pPr>
              <w:pStyle w:val="CellText"/>
            </w:pPr>
            <w:r>
              <w:rPr>
                <w:b w:val="0"/>
              </w:rPr>
            </w:r>
          </w:p>
        </w:tc>
      </w:tr>
    </w:tbl>
    <w:p>
      <w:pPr>
        <w:spacing w:after="40"/>
      </w:pPr>
    </w:p>
    <w:p>
      <w:pPr>
        <w:pStyle w:val="Heading4"/>
      </w:pPr>
      <w:r>
        <w:t>Fiche N°2 : Exemple de répartition des étudiants sur les activités de soins</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5" w:type="dxa"/>
        <w:tblLayout w:type="fixed"/>
      </w:tblPr>
      <w:tblGrid>
        <w:gridCol w:w="1247"/>
        <w:gridCol w:w="2097"/>
        <w:gridCol w:w="2097"/>
        <w:gridCol w:w="2097"/>
        <w:gridCol w:w="2097"/>
      </w:tblGrid>
      <w:tr>
        <w:trPr>
          <w:tblHeader/>
        </w:trPr>
        <w:tc>
          <w:tcPr>
            <w:tcW w:type="dxa" w:w="1247"/>
            <w:shd w:val="clear" w:color="auto" w:fill="1F4E79"/>
          </w:tcPr>
          <w:p>
            <w:pPr>
              <w:pStyle w:val="CellText"/>
            </w:pPr>
            <w:r>
              <w:rPr>
                <w:b/>
                <w:color w:val="FFFFFF"/>
              </w:rPr>
              <w:t>Date</w:t>
            </w:r>
          </w:p>
        </w:tc>
        <w:tc>
          <w:tcPr>
            <w:tcW w:type="dxa" w:w="2097"/>
            <w:shd w:val="clear" w:color="auto" w:fill="1F4E79"/>
          </w:tcPr>
          <w:p>
            <w:pPr>
              <w:pStyle w:val="CellText"/>
            </w:pPr>
            <w:r>
              <w:rPr>
                <w:b/>
                <w:color w:val="FFFFFF"/>
              </w:rPr>
              <w:t>Consultation</w:t>
            </w:r>
          </w:p>
        </w:tc>
        <w:tc>
          <w:tcPr>
            <w:tcW w:type="dxa" w:w="2097"/>
            <w:shd w:val="clear" w:color="auto" w:fill="1F4E79"/>
          </w:tcPr>
          <w:p>
            <w:pPr>
              <w:pStyle w:val="CellText"/>
            </w:pPr>
            <w:r>
              <w:rPr>
                <w:b/>
                <w:color w:val="FFFFFF"/>
              </w:rPr>
              <w:t>Hôpital de jour</w:t>
            </w:r>
          </w:p>
        </w:tc>
        <w:tc>
          <w:tcPr>
            <w:tcW w:type="dxa" w:w="2097"/>
            <w:shd w:val="clear" w:color="auto" w:fill="1F4E79"/>
          </w:tcPr>
          <w:p>
            <w:pPr>
              <w:pStyle w:val="CellText"/>
            </w:pPr>
            <w:r>
              <w:rPr>
                <w:b/>
                <w:color w:val="FFFFFF"/>
              </w:rPr>
              <w:t>Exploration</w:t>
            </w:r>
          </w:p>
        </w:tc>
        <w:tc>
          <w:tcPr>
            <w:tcW w:type="dxa" w:w="2097"/>
            <w:shd w:val="clear" w:color="auto" w:fill="1F4E79"/>
          </w:tcPr>
          <w:p>
            <w:pPr>
              <w:pStyle w:val="CellText"/>
            </w:pPr>
            <w:r>
              <w:rPr>
                <w:b/>
                <w:color w:val="FFFFFF"/>
              </w:rPr>
              <w:t>Éducation thérapeutique</w:t>
            </w:r>
          </w:p>
        </w:tc>
      </w:tr>
      <w:tr>
        <w:trPr>
          <w:cantSplit/>
          <w:trHeight w:val="454"/>
        </w:trPr>
        <w:tc>
          <w:tcPr>
            <w:tcW w:type="dxa" w:w="1247"/>
            <w:shd w:val="clear" w:color="auto" w:fill="DCE9F5"/>
          </w:tcPr>
          <w:p>
            <w:pPr>
              <w:pStyle w:val="CellText"/>
            </w:pPr>
            <w:r>
              <w:rPr>
                <w:b/>
              </w:rPr>
              <w:t>J1</w:t>
            </w:r>
          </w:p>
        </w:tc>
        <w:tc>
          <w:tcPr>
            <w:tcW w:type="dxa" w:w="2097"/>
          </w:tcPr>
          <w:p>
            <w:pPr>
              <w:pStyle w:val="CellText"/>
            </w:pPr>
            <w:r>
              <w:rPr>
                <w:b w:val="0"/>
              </w:rPr>
              <w:t>Groupe 1</w:t>
            </w:r>
          </w:p>
        </w:tc>
        <w:tc>
          <w:tcPr>
            <w:tcW w:type="dxa" w:w="2097"/>
          </w:tcPr>
          <w:p>
            <w:pPr>
              <w:pStyle w:val="CellText"/>
            </w:pPr>
            <w:r>
              <w:rPr>
                <w:b w:val="0"/>
              </w:rPr>
              <w:t>Groupe 2</w:t>
            </w:r>
          </w:p>
        </w:tc>
        <w:tc>
          <w:tcPr>
            <w:tcW w:type="dxa" w:w="2097"/>
          </w:tcPr>
          <w:p>
            <w:pPr>
              <w:pStyle w:val="CellText"/>
            </w:pPr>
            <w:r>
              <w:rPr>
                <w:b w:val="0"/>
              </w:rPr>
              <w:t>Groupe 3</w:t>
            </w:r>
          </w:p>
        </w:tc>
        <w:tc>
          <w:tcPr>
            <w:tcW w:type="dxa" w:w="2097"/>
          </w:tcPr>
          <w:p>
            <w:pPr>
              <w:pStyle w:val="CellText"/>
            </w:pPr>
            <w:r>
              <w:rPr>
                <w:b w:val="0"/>
              </w:rPr>
              <w:t>Groupe 4</w:t>
            </w:r>
          </w:p>
        </w:tc>
      </w:tr>
      <w:tr>
        <w:trPr>
          <w:cantSplit/>
          <w:trHeight w:val="454"/>
        </w:trPr>
        <w:tc>
          <w:tcPr>
            <w:tcW w:type="dxa" w:w="1247"/>
            <w:shd w:val="clear" w:color="auto" w:fill="DCE9F5"/>
          </w:tcPr>
          <w:p>
            <w:pPr>
              <w:pStyle w:val="CellText"/>
            </w:pPr>
            <w:r>
              <w:rPr>
                <w:b/>
              </w:rPr>
              <w:t>J2</w:t>
            </w:r>
          </w:p>
        </w:tc>
        <w:tc>
          <w:tcPr>
            <w:tcW w:type="dxa" w:w="2097"/>
          </w:tcPr>
          <w:p>
            <w:pPr>
              <w:pStyle w:val="CellText"/>
            </w:pPr>
            <w:r>
              <w:rPr>
                <w:b w:val="0"/>
              </w:rPr>
              <w:t>Groupe 5</w:t>
            </w:r>
          </w:p>
        </w:tc>
        <w:tc>
          <w:tcPr>
            <w:tcW w:type="dxa" w:w="2097"/>
          </w:tcPr>
          <w:p>
            <w:pPr>
              <w:pStyle w:val="CellText"/>
            </w:pPr>
            <w:r>
              <w:rPr>
                <w:b w:val="0"/>
              </w:rPr>
              <w:t>Groupe 6</w:t>
            </w:r>
          </w:p>
        </w:tc>
        <w:tc>
          <w:tcPr>
            <w:tcW w:type="dxa" w:w="2097"/>
          </w:tcPr>
          <w:p>
            <w:pPr>
              <w:pStyle w:val="CellText"/>
            </w:pPr>
            <w:r>
              <w:rPr>
                <w:b w:val="0"/>
              </w:rPr>
              <w:t>Groupe 7</w:t>
            </w:r>
          </w:p>
        </w:tc>
        <w:tc>
          <w:tcPr>
            <w:tcW w:type="dxa" w:w="2097"/>
          </w:tcPr>
          <w:p>
            <w:pPr>
              <w:pStyle w:val="CellText"/>
            </w:pPr>
            <w:r>
              <w:rPr>
                <w:b w:val="0"/>
              </w:rPr>
              <w:t>Groupe 8</w:t>
            </w:r>
          </w:p>
        </w:tc>
      </w:tr>
      <w:tr>
        <w:trPr>
          <w:cantSplit/>
          <w:trHeight w:val="454"/>
        </w:trPr>
        <w:tc>
          <w:tcPr>
            <w:tcW w:type="dxa" w:w="1247"/>
            <w:shd w:val="clear" w:color="auto" w:fill="DCE9F5"/>
          </w:tcPr>
          <w:p>
            <w:pPr>
              <w:pStyle w:val="CellText"/>
            </w:pPr>
            <w:r>
              <w:rPr>
                <w:b/>
              </w:rPr>
              <w:t>J3</w:t>
            </w:r>
          </w:p>
        </w:tc>
        <w:tc>
          <w:tcPr>
            <w:tcW w:type="dxa" w:w="2097"/>
          </w:tcPr>
          <w:p>
            <w:pPr>
              <w:pStyle w:val="CellText"/>
            </w:pPr>
            <w:r>
              <w:rPr>
                <w:b w:val="0"/>
              </w:rPr>
            </w:r>
          </w:p>
        </w:tc>
        <w:tc>
          <w:tcPr>
            <w:tcW w:type="dxa" w:w="2097"/>
          </w:tcPr>
          <w:p>
            <w:pPr>
              <w:pStyle w:val="CellText"/>
            </w:pPr>
            <w:r>
              <w:rPr>
                <w:b w:val="0"/>
              </w:rPr>
            </w:r>
          </w:p>
        </w:tc>
        <w:tc>
          <w:tcPr>
            <w:tcW w:type="dxa" w:w="2097"/>
          </w:tcPr>
          <w:p>
            <w:pPr>
              <w:pStyle w:val="CellText"/>
            </w:pPr>
            <w:r>
              <w:rPr>
                <w:b w:val="0"/>
              </w:rPr>
            </w:r>
          </w:p>
        </w:tc>
        <w:tc>
          <w:tcPr>
            <w:tcW w:type="dxa" w:w="2097"/>
          </w:tcPr>
          <w:p>
            <w:pPr>
              <w:pStyle w:val="CellText"/>
            </w:pPr>
            <w:r>
              <w:rPr>
                <w:b w:val="0"/>
              </w:rPr>
            </w:r>
          </w:p>
        </w:tc>
      </w:tr>
      <w:tr>
        <w:trPr>
          <w:cantSplit/>
          <w:trHeight w:val="454"/>
        </w:trPr>
        <w:tc>
          <w:tcPr>
            <w:tcW w:type="dxa" w:w="1247"/>
            <w:shd w:val="clear" w:color="auto" w:fill="DCE9F5"/>
          </w:tcPr>
          <w:p>
            <w:pPr>
              <w:pStyle w:val="CellText"/>
            </w:pPr>
            <w:r>
              <w:rPr>
                <w:b/>
              </w:rPr>
            </w:r>
          </w:p>
        </w:tc>
        <w:tc>
          <w:tcPr>
            <w:tcW w:type="dxa" w:w="2097"/>
          </w:tcPr>
          <w:p>
            <w:pPr>
              <w:pStyle w:val="CellText"/>
            </w:pPr>
            <w:r>
              <w:rPr>
                <w:b w:val="0"/>
              </w:rPr>
            </w:r>
          </w:p>
        </w:tc>
        <w:tc>
          <w:tcPr>
            <w:tcW w:type="dxa" w:w="2097"/>
          </w:tcPr>
          <w:p>
            <w:pPr>
              <w:pStyle w:val="CellText"/>
            </w:pPr>
            <w:r>
              <w:rPr>
                <w:b w:val="0"/>
              </w:rPr>
            </w:r>
          </w:p>
        </w:tc>
        <w:tc>
          <w:tcPr>
            <w:tcW w:type="dxa" w:w="2097"/>
          </w:tcPr>
          <w:p>
            <w:pPr>
              <w:pStyle w:val="CellText"/>
            </w:pPr>
            <w:r>
              <w:rPr>
                <w:b w:val="0"/>
              </w:rPr>
            </w:r>
          </w:p>
        </w:tc>
        <w:tc>
          <w:tcPr>
            <w:tcW w:type="dxa" w:w="2097"/>
          </w:tcPr>
          <w:p>
            <w:pPr>
              <w:pStyle w:val="CellText"/>
            </w:pPr>
            <w:r>
              <w:rPr>
                <w:b w:val="0"/>
              </w:rPr>
            </w:r>
          </w:p>
        </w:tc>
      </w:tr>
    </w:tbl>
    <w:p>
      <w:pPr>
        <w:spacing w:after="40"/>
      </w:pPr>
    </w:p>
    <w:p>
      <w:pPr>
        <w:pStyle w:val="Heading4"/>
      </w:pPr>
      <w:r>
        <w:t>Fiche N°3 : Exemple de planning général</w:t>
      </w:r>
    </w:p>
    <w:tbl>
      <w:tblPr>
        <w:jc w:val="center"/>
        <w:tblLook w:firstColumn="1" w:firstRow="1" w:lastColumn="0" w:lastRow="0" w:noHBand="0" w:noVBand="1" w:val="04A0"/>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CellMar>
          <w:top w:w="50" w:type="dxa"/>
          <w:left w:w="90" w:type="dxa"/>
          <w:bottom w:w="50" w:type="dxa"/>
          <w:right w:w="90" w:type="dxa"/>
        </w:tblCellMar>
        <w:tblW w:w="9637" w:type="dxa"/>
        <w:tblLayout w:type="fixed"/>
      </w:tblPr>
      <w:tblGrid>
        <w:gridCol w:w="1474"/>
        <w:gridCol w:w="2721"/>
        <w:gridCol w:w="2721"/>
        <w:gridCol w:w="2721"/>
      </w:tblGrid>
      <w:tr>
        <w:trPr>
          <w:tblHeader/>
        </w:trPr>
        <w:tc>
          <w:tcPr>
            <w:tcW w:type="dxa" w:w="1474"/>
            <w:shd w:val="clear" w:color="auto" w:fill="1F4E79"/>
          </w:tcPr>
          <w:p>
            <w:pPr>
              <w:pStyle w:val="CellText"/>
            </w:pPr>
            <w:r>
              <w:rPr>
                <w:b/>
                <w:color w:val="FFFFFF"/>
              </w:rPr>
            </w:r>
          </w:p>
        </w:tc>
        <w:tc>
          <w:tcPr>
            <w:tcW w:type="dxa" w:w="2721"/>
            <w:shd w:val="clear" w:color="auto" w:fill="1F4E79"/>
          </w:tcPr>
          <w:p>
            <w:pPr>
              <w:pStyle w:val="CellText"/>
            </w:pPr>
            <w:r>
              <w:rPr>
                <w:b/>
                <w:color w:val="FFFFFF"/>
              </w:rPr>
              <w:t>8h30 à 9h30</w:t>
            </w:r>
          </w:p>
        </w:tc>
        <w:tc>
          <w:tcPr>
            <w:tcW w:type="dxa" w:w="2721"/>
            <w:shd w:val="clear" w:color="auto" w:fill="1F4E79"/>
          </w:tcPr>
          <w:p>
            <w:pPr>
              <w:pStyle w:val="CellText"/>
            </w:pPr>
            <w:r>
              <w:rPr>
                <w:b/>
                <w:color w:val="FFFFFF"/>
              </w:rPr>
              <w:t>10h à 11h</w:t>
            </w:r>
          </w:p>
        </w:tc>
        <w:tc>
          <w:tcPr>
            <w:tcW w:type="dxa" w:w="2721"/>
            <w:shd w:val="clear" w:color="auto" w:fill="1F4E79"/>
          </w:tcPr>
          <w:p>
            <w:pPr>
              <w:pStyle w:val="CellText"/>
            </w:pPr>
            <w:r>
              <w:rPr>
                <w:b/>
                <w:color w:val="FFFFFF"/>
              </w:rPr>
              <w:t>11h à 12h</w:t>
            </w:r>
          </w:p>
        </w:tc>
      </w:tr>
      <w:tr>
        <w:trPr>
          <w:cantSplit/>
          <w:trHeight w:val="510"/>
        </w:trPr>
        <w:tc>
          <w:tcPr>
            <w:tcW w:type="dxa" w:w="1474"/>
            <w:shd w:val="clear" w:color="auto" w:fill="DCE9F5"/>
          </w:tcPr>
          <w:p>
            <w:pPr>
              <w:pStyle w:val="CellText"/>
            </w:pPr>
            <w:r>
              <w:rPr>
                <w:b/>
              </w:rPr>
              <w:t>Lundi</w:t>
            </w:r>
          </w:p>
        </w:tc>
        <w:tc>
          <w:tcPr>
            <w:tcW w:type="dxa" w:w="2721"/>
          </w:tcPr>
          <w:p>
            <w:pPr>
              <w:pStyle w:val="CellText"/>
            </w:pPr>
            <w:r>
              <w:rPr>
                <w:b w:val="0"/>
              </w:rPr>
              <w:t>Préparation des observations</w:t>
            </w:r>
          </w:p>
        </w:tc>
        <w:tc>
          <w:tcPr>
            <w:tcW w:type="dxa" w:w="2721"/>
          </w:tcPr>
          <w:p>
            <w:pPr>
              <w:pStyle w:val="CellText"/>
            </w:pPr>
            <w:r>
              <w:rPr>
                <w:b w:val="0"/>
              </w:rPr>
              <w:t>Visite</w:t>
            </w:r>
          </w:p>
        </w:tc>
        <w:tc>
          <w:tcPr>
            <w:tcW w:type="dxa" w:w="2721"/>
          </w:tcPr>
          <w:p>
            <w:pPr>
              <w:pStyle w:val="CellText"/>
            </w:pPr>
            <w:r>
              <w:rPr>
                <w:b w:val="0"/>
              </w:rPr>
              <w:t>Activité de soins</w:t>
            </w:r>
          </w:p>
        </w:tc>
      </w:tr>
      <w:tr>
        <w:trPr>
          <w:cantSplit/>
          <w:trHeight w:val="510"/>
        </w:trPr>
        <w:tc>
          <w:tcPr>
            <w:tcW w:type="dxa" w:w="1474"/>
            <w:shd w:val="clear" w:color="auto" w:fill="DCE9F5"/>
          </w:tcPr>
          <w:p>
            <w:pPr>
              <w:pStyle w:val="CellText"/>
            </w:pPr>
            <w:r>
              <w:rPr>
                <w:b/>
              </w:rPr>
              <w:t>Mardi</w:t>
            </w:r>
          </w:p>
        </w:tc>
        <w:tc>
          <w:tcPr>
            <w:tcW w:type="dxa" w:w="2721"/>
          </w:tcPr>
          <w:p>
            <w:pPr>
              <w:pStyle w:val="CellText"/>
            </w:pPr>
            <w:r>
              <w:rPr>
                <w:b w:val="0"/>
              </w:rPr>
              <w:t>Visite</w:t>
            </w:r>
          </w:p>
        </w:tc>
        <w:tc>
          <w:tcPr>
            <w:tcW w:type="dxa" w:w="2721"/>
          </w:tcPr>
          <w:p>
            <w:pPr>
              <w:pStyle w:val="CellText"/>
            </w:pPr>
            <w:r>
              <w:rPr>
                <w:b w:val="0"/>
              </w:rPr>
              <w:t>Séance d’apprentissage</w:t>
            </w:r>
          </w:p>
        </w:tc>
        <w:tc>
          <w:tcPr>
            <w:tcW w:type="dxa" w:w="2721"/>
          </w:tcPr>
          <w:p>
            <w:pPr>
              <w:pStyle w:val="CellText"/>
            </w:pPr>
            <w:r>
              <w:rPr>
                <w:b w:val="0"/>
              </w:rPr>
              <w:t>Activité de soins</w:t>
            </w:r>
          </w:p>
        </w:tc>
      </w:tr>
      <w:tr>
        <w:trPr>
          <w:cantSplit/>
          <w:trHeight w:val="510"/>
        </w:trPr>
        <w:tc>
          <w:tcPr>
            <w:tcW w:type="dxa" w:w="1474"/>
            <w:shd w:val="clear" w:color="auto" w:fill="DCE9F5"/>
          </w:tcPr>
          <w:p>
            <w:pPr>
              <w:pStyle w:val="CellText"/>
            </w:pPr>
            <w:r>
              <w:rPr>
                <w:b/>
              </w:rPr>
              <w:t>Mercredi</w:t>
            </w:r>
          </w:p>
        </w:tc>
        <w:tc>
          <w:tcPr>
            <w:tcW w:type="dxa" w:w="2721"/>
          </w:tcPr>
          <w:p>
            <w:pPr>
              <w:pStyle w:val="CellText"/>
            </w:pPr>
            <w:r>
              <w:rPr>
                <w:b w:val="0"/>
              </w:rPr>
              <w:t>Préparation des dossiers</w:t>
            </w:r>
          </w:p>
        </w:tc>
        <w:tc>
          <w:tcPr>
            <w:tcW w:type="dxa" w:w="2721"/>
          </w:tcPr>
          <w:p>
            <w:pPr>
              <w:pStyle w:val="CellText"/>
            </w:pPr>
            <w:r>
              <w:rPr>
                <w:b w:val="0"/>
              </w:rPr>
              <w:t>Visite</w:t>
            </w:r>
          </w:p>
        </w:tc>
        <w:tc>
          <w:tcPr>
            <w:tcW w:type="dxa" w:w="2721"/>
          </w:tcPr>
          <w:p>
            <w:pPr>
              <w:pStyle w:val="CellText"/>
            </w:pPr>
            <w:r>
              <w:rPr>
                <w:b w:val="0"/>
              </w:rPr>
              <w:t>Activité de soins</w:t>
            </w:r>
          </w:p>
        </w:tc>
      </w:tr>
      <w:tr>
        <w:trPr>
          <w:cantSplit/>
          <w:trHeight w:val="510"/>
        </w:trPr>
        <w:tc>
          <w:tcPr>
            <w:tcW w:type="dxa" w:w="1474"/>
            <w:shd w:val="clear" w:color="auto" w:fill="DCE9F5"/>
          </w:tcPr>
          <w:p>
            <w:pPr>
              <w:pStyle w:val="CellText"/>
            </w:pPr>
            <w:r>
              <w:rPr>
                <w:b/>
              </w:rPr>
              <w:t>Jeudi</w:t>
            </w:r>
          </w:p>
        </w:tc>
        <w:tc>
          <w:tcPr>
            <w:tcW w:type="dxa" w:w="2721"/>
          </w:tcPr>
          <w:p>
            <w:pPr>
              <w:pStyle w:val="CellText"/>
            </w:pPr>
            <w:r>
              <w:rPr>
                <w:b w:val="0"/>
              </w:rPr>
              <w:t>Visite</w:t>
            </w:r>
          </w:p>
        </w:tc>
        <w:tc>
          <w:tcPr>
            <w:tcW w:type="dxa" w:w="2721"/>
          </w:tcPr>
          <w:p>
            <w:pPr>
              <w:pStyle w:val="CellText"/>
            </w:pPr>
            <w:r>
              <w:rPr>
                <w:b w:val="0"/>
              </w:rPr>
              <w:t>Séance d’apprentissage</w:t>
            </w:r>
          </w:p>
        </w:tc>
        <w:tc>
          <w:tcPr>
            <w:tcW w:type="dxa" w:w="2721"/>
          </w:tcPr>
          <w:p>
            <w:pPr>
              <w:pStyle w:val="CellText"/>
            </w:pPr>
            <w:r>
              <w:rPr>
                <w:b w:val="0"/>
              </w:rPr>
              <w:t>Activité de soins</w:t>
            </w:r>
          </w:p>
        </w:tc>
      </w:tr>
      <w:tr>
        <w:trPr>
          <w:cantSplit/>
          <w:trHeight w:val="510"/>
        </w:trPr>
        <w:tc>
          <w:tcPr>
            <w:tcW w:type="dxa" w:w="1474"/>
            <w:shd w:val="clear" w:color="auto" w:fill="DCE9F5"/>
          </w:tcPr>
          <w:p>
            <w:pPr>
              <w:pStyle w:val="CellText"/>
            </w:pPr>
            <w:r>
              <w:rPr>
                <w:b/>
              </w:rPr>
              <w:t>Vendredi</w:t>
            </w:r>
          </w:p>
        </w:tc>
        <w:tc>
          <w:tcPr>
            <w:tcW w:type="dxa" w:w="2721"/>
          </w:tcPr>
          <w:p>
            <w:pPr>
              <w:pStyle w:val="CellText"/>
            </w:pPr>
            <w:r>
              <w:rPr>
                <w:b w:val="0"/>
              </w:rPr>
              <w:t>Staff</w:t>
            </w:r>
          </w:p>
        </w:tc>
        <w:tc>
          <w:tcPr>
            <w:tcW w:type="dxa" w:w="2721"/>
          </w:tcPr>
          <w:p>
            <w:pPr>
              <w:pStyle w:val="CellText"/>
            </w:pPr>
            <w:r>
              <w:rPr>
                <w:b w:val="0"/>
              </w:rPr>
              <w:t>Activité de soins</w:t>
            </w:r>
          </w:p>
        </w:tc>
        <w:tc>
          <w:tcPr>
            <w:tcW w:type="dxa" w:w="2721"/>
          </w:tcPr>
          <w:p>
            <w:pPr>
              <w:pStyle w:val="CellText"/>
            </w:pPr>
            <w:r>
              <w:rPr>
                <w:b w:val="0"/>
              </w:rPr>
              <w:t>Activité de soins</w:t>
            </w:r>
          </w:p>
        </w:tc>
      </w:tr>
    </w:tbl>
    <w:p>
      <w:pPr>
        <w:spacing w:after="40"/>
      </w:pPr>
    </w:p>
    <w:p>
      <w:pPr>
        <w:spacing w:before="800"/>
        <w:jc w:val="center"/>
      </w:pPr>
      <w:r>
        <w:rPr>
          <w:b/>
          <w:color w:val="1F4E79"/>
        </w:rPr>
        <w:t>FACULTÉ DE MÉDECINE ET DE PHARMACIE — MARRAKECH</w:t>
      </w:r>
    </w:p>
    <w:p>
      <w:pPr>
        <w:jc w:val="center"/>
      </w:pPr>
      <w:r>
        <w:rPr>
          <w:b/>
        </w:rPr>
        <w:t>Université Cadi Ayyad</w:t>
      </w:r>
    </w:p>
    <w:p>
      <w:pPr>
        <w:spacing w:after="20"/>
        <w:jc w:val="center"/>
      </w:pPr>
      <w:r>
        <w:rPr>
          <w:sz w:val="19"/>
        </w:rPr>
        <w:t>Sidi Abbad – Assif, B.P. 7010, 40000 Marrakech</w:t>
      </w:r>
    </w:p>
    <w:p>
      <w:pPr>
        <w:spacing w:after="20"/>
        <w:jc w:val="center"/>
      </w:pPr>
      <w:r>
        <w:rPr>
          <w:sz w:val="19"/>
        </w:rPr>
        <w:t>Tél. : +212 5 24 33 98 98 · Fax : +212 5 24 43 28 87</w:t>
      </w:r>
    </w:p>
    <w:p>
      <w:pPr>
        <w:spacing w:after="20"/>
        <w:jc w:val="center"/>
      </w:pPr>
      <w:r>
        <w:rPr>
          <w:sz w:val="19"/>
        </w:rPr>
        <w:t>Site web Faculté : www.fmpm.ucam.ac.ma · Site web Université : www.uca.ma</w:t>
      </w:r>
    </w:p>
    <w:sectPr w:rsidR="00FC693F" w:rsidRPr="0006063C" w:rsidSect="00034616">
      <w:headerReference w:type="default" r:id="rId9"/>
      <w:footerReference w:type="default" r:id="rId10"/>
      <w:pgSz w:w="11906" w:h="16838"/>
      <w:pgMar w:top="1247" w:right="1134" w:bottom="1134"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B8C"/>
        <w:sz w:val="17"/>
      </w:rPr>
      <w:t xml:space="preserve">Page </w:t>
    </w:r>
    <w:r>
      <w:rPr>
        <w:color w:val="6B7B8C"/>
        <w:sz w:val="17"/>
      </w:rPr>
      <w:fldChar w:fldCharType="begin"/>
    </w:r>
    <w:r>
      <w:rPr>
        <w:color w:val="6B7B8C"/>
        <w:sz w:val="17"/>
      </w:rPr>
      <w:instrText xml:space="preserve"> PAGE </w:instrText>
    </w:r>
    <w:r>
      <w:rPr>
        <w:color w:val="6B7B8C"/>
        <w:sz w:val="17"/>
      </w:rPr>
      <w:fldChar w:fldCharType="separate"/>
    </w:r>
    <w:r>
      <w:rPr>
        <w:color w:val="6B7B8C"/>
        <w:sz w:val="17"/>
      </w:rPr>
      <w:t>1</w:t>
    </w:r>
    <w:r>
      <w:rPr>
        <w:color w:val="6B7B8C"/>
        <w:sz w:val="17"/>
      </w:rPr>
      <w:fldChar w:fldCharType="end"/>
    </w:r>
    <w:r>
      <w:rPr>
        <w:color w:val="6B7B8C"/>
        <w:sz w:val="17"/>
      </w:rPr>
      <w:t xml:space="preserve"> / </w:t>
    </w:r>
    <w:r>
      <w:rPr>
        <w:color w:val="6B7B8C"/>
        <w:sz w:val="17"/>
      </w:rPr>
      <w:fldChar w:fldCharType="begin"/>
    </w:r>
    <w:r>
      <w:rPr>
        <w:color w:val="6B7B8C"/>
        <w:sz w:val="17"/>
      </w:rPr>
      <w:instrText xml:space="preserve"> NUMPAGES </w:instrText>
    </w:r>
    <w:r>
      <w:rPr>
        <w:color w:val="6B7B8C"/>
        <w:sz w:val="17"/>
      </w:rPr>
      <w:fldChar w:fldCharType="separate"/>
    </w:r>
    <w:r>
      <w:rPr>
        <w:color w:val="6B7B8C"/>
        <w:sz w:val="17"/>
      </w:rPr>
      <w:t>1</w:t>
    </w:r>
    <w:r>
      <w:rPr>
        <w:color w:val="6B7B8C"/>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4" w:space="4" w:color="BFC9D4"/>
      </w:pBdr>
    </w:pPr>
    <w:r/>
    <w:r>
      <w:rPr>
        <w:color w:val="6B7B8C"/>
        <w:sz w:val="17"/>
      </w:rPr>
      <w:t>Faculté de Médecine et de Pharmacie de Marrakech  ·  Guide de stage hospitalier de l’étudiant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Bdr>
        <w:bottom w:val="single" w:sz="8" w:space="3" w:color="2E86C1"/>
      </w:pBdr>
    </w:pPr>
    <w:rPr>
      <w:rFonts w:ascii="Calibri" w:hAnsi="Calibri" w:cs="Calibri" w:eastAsia="Calibri"/>
      <w:b/>
      <w:bCs/>
      <w:i w:val="0"/>
      <w:color w:val="1F4E79"/>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Calibri" w:hAnsi="Calibri" w:cs="Calibri" w:eastAsia="Calibri"/>
      <w:b/>
      <w:bCs/>
      <w:i w:val="0"/>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Calibri" w:hAnsi="Calibri" w:cs="Calibri" w:eastAsia="Calibri"/>
      <w:b/>
      <w:bCs/>
      <w:i w:val="0"/>
      <w:color w:val="2E86C1"/>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Calibri" w:hAnsi="Calibri" w:cs="Calibri" w:eastAsia="Calibri"/>
      <w:b/>
      <w:bCs/>
      <w:i w:val="0"/>
      <w:iCs/>
      <w:color w:val="1F4E7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cs="Calibri" w:eastAsia="Calibri"/>
      <w:sz w:val="21"/>
    </w:rPr>
  </w:style>
  <w:style w:type="paragraph" w:styleId="ListBullet2">
    <w:name w:val="List Bullet 2"/>
    <w:basedOn w:val="Normal"/>
    <w:uiPriority w:val="99"/>
    <w:unhideWhenUsed/>
    <w:rsid w:val="00326F90"/>
    <w:pPr>
      <w:numPr>
        <w:numId w:val="2"/>
      </w:numPr>
      <w:spacing w:after="40"/>
      <w:ind w:left="907" w:hanging="340"/>
      <w:contextualSpacing/>
    </w:pPr>
    <w:rPr>
      <w:rFonts w:ascii="Calibri" w:hAnsi="Calibri" w:cs="Calibri" w:eastAsia="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head">
    <w:name w:val="Subhead"/>
    <w:basedOn w:val="Normal"/>
    <w:pPr>
      <w:keepNext/>
      <w:spacing w:before="120" w:after="40"/>
    </w:pPr>
    <w:rPr>
      <w:rFonts w:ascii="Calibri" w:hAnsi="Calibri" w:cs="Calibri" w:eastAsia="Calibri"/>
      <w:b/>
      <w:color w:val="1F4E79"/>
      <w:sz w:val="21"/>
    </w:rPr>
  </w:style>
  <w:style w:type="paragraph" w:customStyle="1" w:styleId="CellText">
    <w:name w:val="CellText"/>
    <w:basedOn w:val="Normal"/>
    <w:pPr>
      <w:spacing w:after="30" w:line="252" w:lineRule="auto"/>
    </w:pPr>
    <w:rPr>
      <w:rFonts w:ascii="Calibri" w:hAnsi="Calibri" w:cs="Calibri" w:eastAsia="Calibri"/>
      <w:sz w:val="18"/>
    </w:rPr>
  </w:style>
  <w:style w:type="paragraph" w:customStyle="1" w:styleId="TOC1">
    <w:name w:val="TOC 1"/>
    <w:basedOn w:val="Normal"/>
    <w:pPr>
      <w:spacing w:after="60" w:before="120"/>
      <w:ind w:left="0"/>
      <w:tabs>
        <w:tab w:val="right" w:leader="dot" w:pos="9638"/>
      </w:tabs>
    </w:pPr>
    <w:rPr>
      <w:rFonts w:ascii="Calibri" w:hAnsi="Calibri" w:cs="Calibri" w:eastAsia="Calibri"/>
      <w:b/>
      <w:color w:val="1F4E79"/>
      <w:sz w:val="21"/>
    </w:rPr>
  </w:style>
  <w:style w:type="paragraph" w:customStyle="1" w:styleId="TOC2">
    <w:name w:val="TOC 2"/>
    <w:basedOn w:val="Normal"/>
    <w:pPr>
      <w:spacing w:after="40" w:before="0"/>
      <w:ind w:left="340"/>
      <w:tabs>
        <w:tab w:val="right" w:leader="dot" w:pos="9638"/>
      </w:tabs>
    </w:pPr>
    <w:rPr>
      <w:rFonts w:ascii="Calibri" w:hAnsi="Calibri" w:cs="Calibri" w:eastAsia="Calibri"/>
      <w:b w:val="0"/>
      <w:color w:val="222222"/>
      <w:sz w:val="20"/>
    </w:rPr>
  </w:style>
  <w:style w:type="paragraph" w:customStyle="1" w:styleId="TOC3">
    <w:name w:val="TOC 3"/>
    <w:basedOn w:val="Normal"/>
    <w:pPr>
      <w:spacing w:after="40" w:before="0"/>
      <w:ind w:left="680"/>
      <w:tabs>
        <w:tab w:val="right" w:leader="dot" w:pos="9638"/>
      </w:tabs>
    </w:pPr>
    <w:rPr>
      <w:rFonts w:ascii="Calibri" w:hAnsi="Calibri" w:cs="Calibri" w:eastAsia="Calibri"/>
      <w:b w:val="0"/>
      <w:color w:val="222222"/>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stage hospitalier de l’étudiant — FMPM</dc:title>
  <dc:subject/>
  <dc:creator>Faculté de Médecine et de Pharmacie de Marrakech</dc:creator>
  <cp:keywords/>
  <dc:description>generated by python-docx</dc:description>
  <cp:lastModifiedBy/>
  <cp:revision>1</cp:revision>
  <dcterms:created xsi:type="dcterms:W3CDTF">2013-12-23T23:15:00Z</dcterms:created>
  <dcterms:modified xsi:type="dcterms:W3CDTF">2013-12-23T23:15:00Z</dcterms:modified>
  <cp:category/>
</cp:coreProperties>
</file>