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4AB4" w:rsidRPr="00221AF3" w:rsidRDefault="004C7FEE">
      <w:pPr>
        <w:spacing w:after="100"/>
        <w:jc w:val="center"/>
        <w:rPr>
          <w:rFonts w:ascii="JetBrains Mono" w:hAnsi="JetBrains Mono" w:cs="JetBrains Mono"/>
          <w:lang w:val="fr-FR"/>
        </w:rPr>
      </w:pPr>
      <w:bookmarkStart w:id="0" w:name="_GoBack"/>
      <w:r w:rsidRPr="00221AF3">
        <w:rPr>
          <w:rFonts w:ascii="JetBrains Mono" w:hAnsi="JetBrains Mono" w:cs="JetBrains Mono"/>
          <w:b/>
          <w:bCs/>
          <w:color w:val="1F3A5F"/>
          <w:sz w:val="44"/>
          <w:szCs w:val="44"/>
          <w:lang w:val="fr-FR"/>
        </w:rPr>
        <w:t>HÉMATOLOGIE-ONCOLOGIE</w:t>
      </w:r>
    </w:p>
    <w:p w:rsidR="009C4AB4" w:rsidRPr="00221AF3" w:rsidRDefault="004C7FEE">
      <w:pPr>
        <w:pBdr>
          <w:bottom w:val="double" w:sz="12" w:space="4" w:color="1F3A5F"/>
        </w:pBdr>
        <w:spacing w:after="240"/>
        <w:jc w:val="center"/>
        <w:rPr>
          <w:rFonts w:ascii="JetBrains Mono" w:hAnsi="JetBrains Mono" w:cs="JetBrains Mono"/>
          <w:lang w:val="fr-FR"/>
        </w:rPr>
      </w:pPr>
      <w:r w:rsidRPr="00221AF3">
        <w:rPr>
          <w:rFonts w:ascii="JetBrains Mono" w:hAnsi="JetBrains Mono" w:cs="JetBrains Mono"/>
          <w:b/>
          <w:bCs/>
          <w:color w:val="8B0000"/>
          <w:sz w:val="30"/>
          <w:szCs w:val="30"/>
          <w:lang w:val="fr-FR"/>
        </w:rPr>
        <w:t>Fiches QE Haute Fréquence — Concours / Examen 2026 — Version 1</w:t>
      </w:r>
    </w:p>
    <w:p w:rsidR="009C4AB4" w:rsidRPr="00221AF3" w:rsidRDefault="004C7FEE">
      <w:pPr>
        <w:spacing w:before="60" w:after="60"/>
        <w:jc w:val="center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i/>
          <w:iCs/>
          <w:color w:val="000000"/>
        </w:rPr>
        <w:t>Cross-match : 600 QEs officielles (2019→2025) × Cours AIO Hémato (614 p.) + Onco (659 p.)</w:t>
      </w:r>
    </w:p>
    <w:p w:rsidR="009C4AB4" w:rsidRPr="00221AF3" w:rsidRDefault="004C7FEE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221AF3">
        <w:rPr>
          <w:rFonts w:ascii="JetBrains Mono" w:hAnsi="JetBrains Mono" w:cs="JetBrains Mono"/>
          <w:b/>
          <w:bCs/>
          <w:color w:val="000000"/>
          <w:sz w:val="18"/>
          <w:szCs w:val="18"/>
          <w:lang w:val="fr-FR"/>
        </w:rPr>
        <w:t>Pr Raissi · Pr Lahlimi · Pr El Fadli · Pr El Omrani · Pr Essadi — FMPM</w:t>
      </w:r>
    </w:p>
    <w:p w:rsidR="009C4AB4" w:rsidRPr="00221AF3" w:rsidRDefault="004C7FEE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  <w:lang w:val="fr-FR"/>
        </w:rPr>
      </w:pPr>
      <w:r w:rsidRPr="00221AF3">
        <w:rPr>
          <w:rFonts w:ascii="JetBrains Mono" w:hAnsi="JetBrains Mono" w:cs="JetBrains Mono"/>
          <w:b/>
          <w:bCs/>
          <w:color w:val="FFFFFF"/>
          <w:sz w:val="24"/>
          <w:szCs w:val="24"/>
          <w:lang w:val="fr-FR"/>
        </w:rPr>
        <w:t>PARTIE 1 — CLASSEMENT DES LEÇONS PAR ORDRE D'IMPORTANCE</w:t>
      </w:r>
    </w:p>
    <w:p w:rsidR="009C4AB4" w:rsidRPr="00221AF3" w:rsidRDefault="004C7FEE">
      <w:pPr>
        <w:spacing w:before="60" w:after="60"/>
        <w:rPr>
          <w:rFonts w:ascii="JetBrains Mono" w:hAnsi="JetBrains Mono" w:cs="JetBrains Mono"/>
          <w:lang w:val="fr-FR"/>
        </w:rPr>
      </w:pPr>
      <w:r w:rsidRPr="00221AF3">
        <w:rPr>
          <w:rFonts w:ascii="JetBrains Mono" w:hAnsi="JetBrains Mono" w:cs="JetBrains Mono"/>
          <w:i/>
          <w:iCs/>
          <w:color w:val="000000"/>
          <w:lang w:val="fr-FR"/>
        </w:rPr>
        <w:t>Classement basé sur la fréquence réelle dans 600 QEs (12 sessions).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800"/>
        <w:gridCol w:w="1400"/>
        <w:gridCol w:w="2360"/>
      </w:tblGrid>
      <w:tr w:rsidR="009C4AB4" w:rsidRPr="00221AF3">
        <w:trPr>
          <w:tblHeader/>
        </w:trPr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Rang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Professeur</w:t>
            </w:r>
          </w:p>
        </w:tc>
      </w:tr>
      <w:tr w:rsidR="009C4AB4" w:rsidRPr="00221A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anémies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85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Hématologie (Pr Raissi &amp; coll.)</w:t>
            </w:r>
          </w:p>
        </w:tc>
      </w:tr>
      <w:tr w:rsidR="009C4AB4" w:rsidRPr="00221A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Radiothérapie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El Omrani</w:t>
            </w:r>
          </w:p>
        </w:tc>
      </w:tr>
      <w:tr w:rsidR="009C4AB4" w:rsidRPr="00221A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  <w:lang w:val="fr-FR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Les leucémies (LA · LMC · LLC)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Raissi / Pr Lahlimi</w:t>
            </w:r>
          </w:p>
        </w:tc>
      </w:tr>
      <w:tr w:rsidR="009C4AB4" w:rsidRPr="00221A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Chimiothérapie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Essadi</w:t>
            </w:r>
          </w:p>
        </w:tc>
      </w:tr>
      <w:tr w:rsidR="009C4AB4" w:rsidRPr="00221A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lymphomes (Hodgkin · LMNH)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Lahlimi</w:t>
            </w:r>
          </w:p>
        </w:tc>
      </w:tr>
      <w:tr w:rsidR="009C4AB4" w:rsidRPr="00221A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Douleur et Cancer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El Fadli</w:t>
            </w:r>
          </w:p>
        </w:tc>
      </w:tr>
      <w:tr w:rsidR="009C4AB4" w:rsidRPr="00221A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Épidémiologie des cancers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El Omrani</w:t>
            </w:r>
          </w:p>
        </w:tc>
      </w:tr>
      <w:tr w:rsidR="009C4AB4" w:rsidRPr="00221A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Hormonothérapie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El Omrani</w:t>
            </w:r>
          </w:p>
        </w:tc>
      </w:tr>
      <w:tr w:rsidR="009C4AB4" w:rsidRPr="00221A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Purpura Thrombopénique Immunologique (PTI)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Hématologie</w:t>
            </w:r>
          </w:p>
        </w:tc>
      </w:tr>
      <w:tr w:rsidR="009C4AB4" w:rsidRPr="00221A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Thérapies ciblées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Essadi</w:t>
            </w:r>
          </w:p>
        </w:tc>
      </w:tr>
      <w:tr w:rsidR="009C4AB4" w:rsidRPr="00221A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Transfusion sanguine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Hématologie</w:t>
            </w:r>
          </w:p>
        </w:tc>
      </w:tr>
      <w:tr w:rsidR="009C4AB4" w:rsidRPr="00221A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Myélome multiple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Lahlimi</w:t>
            </w:r>
          </w:p>
        </w:tc>
      </w:tr>
      <w:tr w:rsidR="009C4AB4" w:rsidRPr="00221A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Aplasie médullaire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Hématologie</w:t>
            </w:r>
          </w:p>
        </w:tc>
      </w:tr>
      <w:tr w:rsidR="009C4AB4" w:rsidRPr="00221A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  <w:lang w:val="fr-FR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Polyglobulie de Vaquez (SMP Phi-)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Hématologie</w:t>
            </w:r>
          </w:p>
        </w:tc>
      </w:tr>
      <w:tr w:rsidR="009C4AB4" w:rsidRPr="00221A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Hémophilie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Hématologie</w:t>
            </w:r>
          </w:p>
        </w:tc>
      </w:tr>
      <w:tr w:rsidR="009C4AB4" w:rsidRPr="00221A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CIVD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Raissi (Urgences hémato)</w:t>
            </w:r>
          </w:p>
        </w:tc>
      </w:tr>
      <w:tr w:rsidR="009C4AB4" w:rsidRPr="00221A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Urgences en oncologie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El Fadli</w:t>
            </w:r>
          </w:p>
        </w:tc>
      </w:tr>
      <w:tr w:rsidR="009C4AB4" w:rsidRPr="00221A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Transversal / Reconnaissance hématologique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9C4AB4" w:rsidRPr="00221A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  <w:lang w:val="fr-FR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Diagnostic et bilan d'extension des cancers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El Fadli</w:t>
            </w:r>
          </w:p>
        </w:tc>
      </w:tr>
    </w:tbl>
    <w:p w:rsidR="009C4AB4" w:rsidRPr="00221AF3" w:rsidRDefault="004C7FEE">
      <w:pPr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br w:type="page"/>
      </w:r>
    </w:p>
    <w:p w:rsidR="009C4AB4" w:rsidRPr="00221AF3" w:rsidRDefault="004C7FEE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  <w:lang w:val="fr-FR"/>
        </w:rPr>
      </w:pPr>
      <w:r w:rsidRPr="00221AF3">
        <w:rPr>
          <w:rFonts w:ascii="JetBrains Mono" w:hAnsi="JetBrains Mono" w:cs="JetBrains Mono"/>
          <w:b/>
          <w:bCs/>
          <w:color w:val="FFFFFF"/>
          <w:sz w:val="24"/>
          <w:szCs w:val="24"/>
          <w:lang w:val="fr-FR"/>
        </w:rPr>
        <w:lastRenderedPageBreak/>
        <w:t>PARTIE 2 — MOYENNE DE QUESTIONS PAR LEÇON PAR EXAMEN</w:t>
      </w:r>
    </w:p>
    <w:p w:rsidR="009C4AB4" w:rsidRPr="00221AF3" w:rsidRDefault="004C7FEE">
      <w:pPr>
        <w:spacing w:before="60" w:after="60"/>
        <w:rPr>
          <w:rFonts w:ascii="JetBrains Mono" w:hAnsi="JetBrains Mono" w:cs="JetBrains Mono"/>
          <w:lang w:val="fr-FR"/>
        </w:rPr>
      </w:pPr>
      <w:r w:rsidRPr="00221AF3">
        <w:rPr>
          <w:rFonts w:ascii="JetBrains Mono" w:hAnsi="JetBrains Mono" w:cs="JetBrains Mono"/>
          <w:i/>
          <w:iCs/>
          <w:color w:val="000000"/>
          <w:lang w:val="fr-FR"/>
        </w:rPr>
        <w:t>Statistiques calculées sur 12 sessions, chaque examen ~50 questions.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1400"/>
        <w:gridCol w:w="1700"/>
        <w:gridCol w:w="1860"/>
      </w:tblGrid>
      <w:tr w:rsidR="009C4AB4" w:rsidRPr="00221AF3">
        <w:trPr>
          <w:tblHeader/>
        </w:trPr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Moy/exam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% d'exam</w:t>
            </w:r>
          </w:p>
        </w:tc>
      </w:tr>
      <w:tr w:rsidR="009C4AB4" w:rsidRPr="00221A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anémies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85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7.08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14.2%</w:t>
            </w:r>
          </w:p>
        </w:tc>
      </w:tr>
      <w:tr w:rsidR="009C4AB4" w:rsidRPr="00221A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Radiothérapie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56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4.67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9.3%</w:t>
            </w:r>
          </w:p>
        </w:tc>
      </w:tr>
      <w:tr w:rsidR="009C4AB4" w:rsidRPr="00221A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  <w:lang w:val="fr-FR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Les leucémies (LA · LMC · LLC)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55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4.58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9.2%</w:t>
            </w:r>
          </w:p>
        </w:tc>
      </w:tr>
      <w:tr w:rsidR="009C4AB4" w:rsidRPr="00221A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Chimiothérapie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52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4.33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8.7%</w:t>
            </w:r>
          </w:p>
        </w:tc>
      </w:tr>
      <w:tr w:rsidR="009C4AB4" w:rsidRPr="00221A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lymphomes (Hodgkin · LMNH)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3.67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7.3%</w:t>
            </w:r>
          </w:p>
        </w:tc>
      </w:tr>
      <w:tr w:rsidR="009C4AB4" w:rsidRPr="00221A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Douleur et Cancer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2.67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5.3%</w:t>
            </w:r>
          </w:p>
        </w:tc>
      </w:tr>
      <w:tr w:rsidR="009C4AB4" w:rsidRPr="00221A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Épidémiologie des cancers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2.58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5.2%</w:t>
            </w:r>
          </w:p>
        </w:tc>
      </w:tr>
      <w:tr w:rsidR="009C4AB4" w:rsidRPr="00221A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Hormonothérapie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2.42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4.8%</w:t>
            </w:r>
          </w:p>
        </w:tc>
      </w:tr>
      <w:tr w:rsidR="009C4AB4" w:rsidRPr="00221A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Purpura Thrombopénique Immunologique (PTI)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2.33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4.7%</w:t>
            </w:r>
          </w:p>
        </w:tc>
      </w:tr>
      <w:tr w:rsidR="009C4AB4" w:rsidRPr="00221A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Thérapies ciblées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2.25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4.5%</w:t>
            </w:r>
          </w:p>
        </w:tc>
      </w:tr>
      <w:tr w:rsidR="009C4AB4" w:rsidRPr="00221A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Transfusion sanguine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2.17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4.3%</w:t>
            </w:r>
          </w:p>
        </w:tc>
      </w:tr>
      <w:tr w:rsidR="009C4AB4" w:rsidRPr="00221A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Myélome multiple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2.08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4.2%</w:t>
            </w:r>
          </w:p>
        </w:tc>
      </w:tr>
      <w:tr w:rsidR="009C4AB4" w:rsidRPr="00221A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Aplasie médullaire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1.83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3.7%</w:t>
            </w:r>
          </w:p>
        </w:tc>
      </w:tr>
      <w:tr w:rsidR="009C4AB4" w:rsidRPr="00221A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  <w:lang w:val="fr-FR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Polyglobulie de Vaquez (SMP Phi-)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1.83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3.7%</w:t>
            </w:r>
          </w:p>
        </w:tc>
      </w:tr>
      <w:tr w:rsidR="009C4AB4" w:rsidRPr="00221A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Hémophilie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1.58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3.2%</w:t>
            </w:r>
          </w:p>
        </w:tc>
      </w:tr>
      <w:tr w:rsidR="009C4AB4" w:rsidRPr="00221A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CIVD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1.33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2.7%</w:t>
            </w:r>
          </w:p>
        </w:tc>
      </w:tr>
      <w:tr w:rsidR="009C4AB4" w:rsidRPr="00221A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Urgences en oncologie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2.0%</w:t>
            </w:r>
          </w:p>
        </w:tc>
      </w:tr>
      <w:tr w:rsidR="009C4AB4" w:rsidRPr="00221A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Transversal / Reconnaissance hématologique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0.83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1.7%</w:t>
            </w:r>
          </w:p>
        </w:tc>
      </w:tr>
      <w:tr w:rsidR="009C4AB4" w:rsidRPr="00221A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  <w:lang w:val="fr-FR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Diagnostic et bilan d'extension des cancers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0.75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1.5%</w:t>
            </w:r>
          </w:p>
        </w:tc>
      </w:tr>
      <w:tr w:rsidR="009C4AB4" w:rsidRPr="00221A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TOTAL (programme 2026)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600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50.00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jc w:val="center"/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100%</w:t>
            </w:r>
          </w:p>
        </w:tc>
      </w:tr>
    </w:tbl>
    <w:p w:rsidR="009C4AB4" w:rsidRPr="00221AF3" w:rsidRDefault="004C7FEE">
      <w:pPr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br w:type="page"/>
      </w:r>
    </w:p>
    <w:p w:rsidR="009C4AB4" w:rsidRPr="00221AF3" w:rsidRDefault="004C7FEE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  <w:lang w:val="fr-FR"/>
        </w:rPr>
      </w:pPr>
      <w:r w:rsidRPr="00221AF3">
        <w:rPr>
          <w:rFonts w:ascii="JetBrains Mono" w:hAnsi="JetBrains Mono" w:cs="JetBrains Mono"/>
          <w:b/>
          <w:bCs/>
          <w:color w:val="FFFFFF"/>
          <w:sz w:val="24"/>
          <w:szCs w:val="24"/>
          <w:lang w:val="fr-FR"/>
        </w:rPr>
        <w:lastRenderedPageBreak/>
        <w:t>PARTIE 3 — QUESTIONS LES PLUS FRÉQUENTES (ORDRE STRICT PAR RANG)</w:t>
      </w:r>
    </w:p>
    <w:p w:rsidR="009C4AB4" w:rsidRPr="00221AF3" w:rsidRDefault="004C7FEE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221AF3">
        <w:rPr>
          <w:rFonts w:ascii="JetBrains Mono" w:hAnsi="JetBrains Mono" w:cs="JetBrains Mono"/>
          <w:i/>
          <w:iCs/>
          <w:color w:val="000000"/>
          <w:lang w:val="fr-FR"/>
        </w:rPr>
        <w:t>Format : faits (-) / pièges (⚠) / source (</w:t>
      </w:r>
      <w:r w:rsidRPr="00221AF3">
        <w:rPr>
          <w:rFonts w:ascii="Segoe UI Symbol" w:hAnsi="Segoe UI Symbol" w:cs="Segoe UI Symbol"/>
          <w:i/>
          <w:iCs/>
          <w:color w:val="000000"/>
        </w:rPr>
        <w:t>📖</w:t>
      </w:r>
      <w:r w:rsidRPr="00221AF3">
        <w:rPr>
          <w:rFonts w:ascii="JetBrains Mono" w:hAnsi="JetBrains Mono" w:cs="JetBrains Mono"/>
          <w:i/>
          <w:iCs/>
          <w:color w:val="000000"/>
          <w:lang w:val="fr-FR"/>
        </w:rPr>
        <w:t>) / lien cours (</w:t>
      </w:r>
      <w:r w:rsidRPr="00221AF3">
        <w:rPr>
          <w:rFonts w:ascii="Segoe UI Symbol" w:hAnsi="Segoe UI Symbol" w:cs="Segoe UI Symbol"/>
          <w:i/>
          <w:iCs/>
          <w:color w:val="000000"/>
        </w:rPr>
        <w:t>📎</w:t>
      </w:r>
      <w:r w:rsidRPr="00221AF3">
        <w:rPr>
          <w:rFonts w:ascii="JetBrains Mono" w:hAnsi="JetBrains Mono" w:cs="JetBrains Mono"/>
          <w:i/>
          <w:iCs/>
          <w:color w:val="000000"/>
          <w:lang w:val="fr-FR"/>
        </w:rPr>
        <w:t>) / citations (</w:t>
      </w:r>
      <w:r w:rsidRPr="00221AF3">
        <w:rPr>
          <w:rFonts w:ascii="Segoe UI Symbol" w:hAnsi="Segoe UI Symbol" w:cs="Segoe UI Symbol"/>
          <w:i/>
          <w:iCs/>
          <w:color w:val="000000"/>
        </w:rPr>
        <w:t>📋</w:t>
      </w:r>
      <w:r w:rsidRPr="00221AF3">
        <w:rPr>
          <w:rFonts w:ascii="JetBrains Mono" w:hAnsi="JetBrains Mono" w:cs="JetBrains Mono"/>
          <w:i/>
          <w:iCs/>
          <w:color w:val="000000"/>
          <w:lang w:val="fr-FR"/>
        </w:rPr>
        <w:t>)</w:t>
      </w:r>
    </w:p>
    <w:p w:rsidR="009C4AB4" w:rsidRPr="00221AF3" w:rsidRDefault="004C7FE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  <w:lang w:val="fr-FR"/>
        </w:rPr>
      </w:pPr>
      <w:r w:rsidRPr="00221AF3">
        <w:rPr>
          <w:rFonts w:ascii="JetBrains Mono" w:hAnsi="JetBrains Mono" w:cs="JetBrains Mono"/>
          <w:lang w:val="fr-FR"/>
        </w:rPr>
        <w:t>[RANG 1] LES ANÉMIES</w:t>
      </w:r>
    </w:p>
    <w:p w:rsidR="009C4AB4" w:rsidRPr="00221AF3" w:rsidRDefault="004C7FEE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221A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  <w:lang w:val="fr-FR"/>
        </w:rPr>
        <w:t>Hématologie (Pr Raissi &amp; coll.)  •  ~7,1 Q/examen  ·  85 Q au total (12 sessions, 2019→2025)</w:t>
      </w:r>
    </w:p>
    <w:p w:rsidR="009C4AB4" w:rsidRPr="00221AF3" w:rsidRDefault="004C7FEE">
      <w:pPr>
        <w:spacing w:before="40" w:after="40"/>
        <w:jc w:val="center"/>
        <w:rPr>
          <w:rFonts w:ascii="JetBrains Mono" w:hAnsi="JetBrains Mono" w:cs="JetBrains Mono"/>
          <w:lang w:val="fr-FR"/>
        </w:rPr>
      </w:pPr>
      <w:r w:rsidRPr="00221AF3">
        <w:rPr>
          <w:rFonts w:ascii="Segoe UI Symbol" w:hAnsi="Segoe UI Symbol" w:cs="Segoe UI Symbol"/>
          <w:i/>
          <w:iCs/>
          <w:color w:val="404040"/>
        </w:rPr>
        <w:t>📖</w:t>
      </w:r>
      <w:r w:rsidRPr="00221AF3">
        <w:rPr>
          <w:rFonts w:ascii="JetBrains Mono" w:hAnsi="JetBrains Mono" w:cs="JetBrains Mono"/>
          <w:i/>
          <w:iCs/>
          <w:color w:val="404040"/>
          <w:lang w:val="fr-FR"/>
        </w:rPr>
        <w:t xml:space="preserve"> Classification morphologique : microcytaire (VGM↓) / normocytaire / macrocytaire ; régénérative vs arégénérative (réticulocytes).</w:t>
      </w:r>
    </w:p>
    <w:p w:rsidR="009C4AB4" w:rsidRPr="00221AF3" w:rsidRDefault="004C7FEE">
      <w:pPr>
        <w:spacing w:before="40" w:after="80"/>
        <w:jc w:val="center"/>
        <w:rPr>
          <w:rFonts w:ascii="JetBrains Mono" w:hAnsi="JetBrains Mono" w:cs="JetBrains Mono"/>
          <w:lang w:val="fr-FR"/>
        </w:rPr>
      </w:pPr>
      <w:r w:rsidRPr="00221AF3">
        <w:rPr>
          <w:rFonts w:ascii="Segoe UI Symbol" w:hAnsi="Segoe UI Symbol" w:cs="Segoe UI Symbol"/>
          <w:color w:val="404040"/>
        </w:rPr>
        <w:t>📎</w:t>
      </w:r>
      <w:r w:rsidRPr="00221AF3">
        <w:rPr>
          <w:rFonts w:ascii="JetBrains Mono" w:hAnsi="JetBrains Mono" w:cs="JetBrains Mono"/>
          <w:color w:val="404040"/>
          <w:lang w:val="fr-FR"/>
        </w:rPr>
        <w:t xml:space="preserve"> Correction officielle N2025 (e-qe.online) : </w:t>
      </w:r>
      <w:hyperlink r:id="rId5" w:history="1">
        <w:r w:rsidRPr="00221AF3">
          <w:rPr>
            <w:rStyle w:val="Hyperlink"/>
            <w:rFonts w:ascii="JetBrains Mono" w:hAnsi="JetBrains Mono" w:cs="JetBrains Mono"/>
            <w:lang w:val="fr-FR"/>
          </w:rPr>
          <w:t>Ouvrir ↗</w:t>
        </w:r>
      </w:hyperlink>
    </w:p>
    <w:p w:rsidR="009C4AB4" w:rsidRPr="00221AF3" w:rsidRDefault="004C7FEE">
      <w:pPr>
        <w:spacing w:before="40" w:after="80"/>
        <w:jc w:val="center"/>
        <w:rPr>
          <w:rFonts w:ascii="JetBrains Mono" w:hAnsi="JetBrains Mono" w:cs="JetBrains Mono"/>
          <w:lang w:val="fr-FR"/>
        </w:rPr>
      </w:pPr>
      <w:r w:rsidRPr="00221AF3">
        <w:rPr>
          <w:rFonts w:ascii="Segoe UI Symbol" w:hAnsi="Segoe UI Symbol" w:cs="Segoe UI Symbol"/>
          <w:color w:val="404040"/>
        </w:rPr>
        <w:t>📎</w:t>
      </w:r>
      <w:r w:rsidRPr="00221AF3">
        <w:rPr>
          <w:rFonts w:ascii="JetBrains Mono" w:hAnsi="JetBrains Mono" w:cs="JetBrains Mono"/>
          <w:color w:val="404040"/>
          <w:lang w:val="fr-FR"/>
        </w:rPr>
        <w:t xml:space="preserve"> Correction officielle N2024 (e-qe.online) : </w:t>
      </w:r>
      <w:hyperlink r:id="rId6" w:history="1">
        <w:r w:rsidRPr="00221AF3">
          <w:rPr>
            <w:rStyle w:val="Hyperlink"/>
            <w:rFonts w:ascii="JetBrains Mono" w:hAnsi="JetBrains Mono" w:cs="JetBrains Mono"/>
            <w:lang w:val="fr-FR"/>
          </w:rPr>
          <w:t>Ouvrir ↗</w:t>
        </w:r>
      </w:hyperlink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Anémie microcytaire / carence martiale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221AF3">
        <w:rPr>
          <w:rFonts w:ascii="JetBrains Mono" w:hAnsi="JetBrains Mono" w:cs="JetBrains Mono"/>
          <w:lang w:val="fr-FR"/>
        </w:rPr>
        <w:t>Devant une anémie hypochrome microcytaire, l'examen INDISPENSABLE en 1re intention est la FERRITINÉMIE (reflet des réserves) — pas le fer sérique, pas la B12.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Critère d'ARRÊT du traitement martial = NORMALISATION de la ferritinémie (la ferritine est le dernier paramètre à se corriger).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Anémie ferriprive chez une femme jeune réglée = carence par spoliation menstruelle ; prise en charge = corriger le fer JUSQU'À normalisation de la ferritine + bilan étiologique (gynéco ± digestif), pas de transfusion d'emblée.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Étiologies d'une microcytaire hypochrome : carence martiale, thalassémie, anémie inflammatoire.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Ne pas transfuser en urgence une ferriprive bien tolérée : on traite la cause + supplémentation orale.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ferritine = 1er examen / critère d'arrêt — N2019 Q13-16, R2019 Q9, N2025 Q15-16 ; drépanocytose électrophorèse Hb ×4 (N2019 Q16, N2020 Q4, N2021 Q6, Oct2024 Q24).</w:t>
      </w:r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Anémie macrocytaire / mégaloblastique (carence B12-folates)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Le caractère MÉGALOBLASTIQUE repose sur le FROTTIS / MYÉLOGRAMME (mégaloblastes médullaires), pas sur le VGM seul.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Tableau « macrocytaire arégénérative + paresthésies/troubles neuro » → carence en vitamine B12 (syndrome neuro-anémique).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Diagnostic suspecté à l'hémogramme, CONFIRMÉ par le dosage de la vitamine B12.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Durée du traitement d'une anémie par carence en B12 = traitement À VIE (si cause non curable, ex. Biermer).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Contradiction inter-sessions sur la VOIE : N2024 admet la supplémentation B12 PAR VOIE ORALE comme possible/juste (N2024 Q14 → E vrai ; N2024 Q15 → E vrai), alors que R2024 marque la MÊME affirmation « traitement basé sur la supplémentation orale » comme FAUSSE (R2024, E exclu). EBM : la voie parentérale/IM reste la référence classique, mais l'oral à forte dose est validé dans de nombreux cas. → Retenir la version de l'énoncé de l'année.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B12 « à vie » ×3 (R2019 Q14, N2021 Q18, Oct2024 Q20) ; macrocytaire+paresthésies = B12 ×4 (N2020 Q2, N2021 Q7, Nov2024 Q22, Oct2024 Q29).</w:t>
      </w:r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Hémoglobinopathies (drépanocytose · thalassémies)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lastRenderedPageBreak/>
        <w:t>Examen INDISPENSABLE au diagnostic de drépanocytose ET des thalassémies = ÉLECTROPHORÈSE DE L'HÉMOGLOBINE (pas l'électrophorèse des protides, pas le myélogramme).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Thalassémie hétérozygote = trait thalassémique → pseudo-polyglobulie microcytaire (GR↑, VGM↓), souvent sans traitement.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α-thalassémies : délétion des 4 gènes α = Hydrops fœtalis (mort fœtale) ; délétion de 3 gènes = hémoglobinose H.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PIÈGE récurrent : la crise vaso-occlusive / syndrome pied-main n'est PAS une manifestation de la thalassémie mais de la DRÉPANOCYTOSE (×5).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Maladie de Cooley = β-thalassémie MAJEURE homozygote, à ne pas confondre avec le trait hétérozygote.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électrophorèse Hb (drépano) ×4 ; thalassémie hétérozygote N2024 Q10.</w:t>
      </w:r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Anémies hémolytiques constitutionnelles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Sphérocytose héréditaire (maladie de Minkowski-Chauffard) = anomalie de MEMBRANE du GR ; triade ictère néonatal / splénomégalie / lithiase biliaire pigmentaire ; traitement curatif = SPLÉNECTOMIE ; réticulocytose élevée (régénérative).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Déficit en G6PD (favisme) = transmission liée à l'X, hémolyse déclenchée par oxydants (fèves, médicaments).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La supplémentation en folates est un traitement adjuvant des hémolyses chroniques, pas le traitement de fond de la sphérocytose (qui est la splénectomie).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sphérocytose membrane/splénectomie/réticulocytes — R2019 Q22, N2020 Q9, N2021.</w:t>
      </w:r>
    </w:p>
    <w:p w:rsidR="009C4AB4" w:rsidRPr="00221AF3" w:rsidRDefault="004C7FE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[RANG 2] RADIOTHÉRAPIE</w:t>
      </w:r>
    </w:p>
    <w:p w:rsidR="009C4AB4" w:rsidRPr="00221AF3" w:rsidRDefault="004C7FEE">
      <w:pPr>
        <w:spacing w:before="60" w:after="60"/>
        <w:jc w:val="center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El Omrani  •  ~4,7 Q/examen  ·  56 Q au total (12 sessions, 2019→2025)</w:t>
      </w:r>
    </w:p>
    <w:p w:rsidR="009C4AB4" w:rsidRPr="00221AF3" w:rsidRDefault="004C7FEE">
      <w:pPr>
        <w:spacing w:before="40" w:after="8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color w:val="404040"/>
        </w:rPr>
        <w:t>📎</w:t>
      </w:r>
      <w:r w:rsidRPr="00221AF3">
        <w:rPr>
          <w:rFonts w:ascii="JetBrains Mono" w:hAnsi="JetBrains Mono" w:cs="JetBrains Mono"/>
          <w:color w:val="404040"/>
        </w:rPr>
        <w:t xml:space="preserve"> Correction officielle N2025 (e-qe.online) : </w:t>
      </w:r>
      <w:hyperlink r:id="rId7" w:history="1">
        <w:r w:rsidRPr="00221AF3">
          <w:rPr>
            <w:rStyle w:val="Hyperlink"/>
            <w:rFonts w:ascii="JetBrains Mono" w:hAnsi="JetBrains Mono" w:cs="JetBrains Mono"/>
          </w:rPr>
          <w:t>Ouvrir ↗</w:t>
        </w:r>
      </w:hyperlink>
    </w:p>
    <w:p w:rsidR="009C4AB4" w:rsidRPr="00221AF3" w:rsidRDefault="004C7FEE">
      <w:pPr>
        <w:spacing w:before="40" w:after="8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color w:val="404040"/>
        </w:rPr>
        <w:t>📎</w:t>
      </w:r>
      <w:r w:rsidRPr="00221AF3">
        <w:rPr>
          <w:rFonts w:ascii="JetBrains Mono" w:hAnsi="JetBrains Mono" w:cs="JetBrains Mono"/>
          <w:color w:val="404040"/>
        </w:rPr>
        <w:t xml:space="preserve"> Correction officielle N2022 (e-qe.online) : </w:t>
      </w:r>
      <w:hyperlink r:id="rId8" w:history="1">
        <w:r w:rsidRPr="00221AF3">
          <w:rPr>
            <w:rStyle w:val="Hyperlink"/>
            <w:rFonts w:ascii="JetBrains Mono" w:hAnsi="JetBrains Mono" w:cs="JetBrains Mono"/>
          </w:rPr>
          <w:t>Ouvrir ↗</w:t>
        </w:r>
      </w:hyperlink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Appareillage &amp; techniques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Accélérateur LINÉAIRE (LINAC) = production de faisceaux de haute énergie (photons/électrons) À VISÉE THÉRAPEUTIQUE (irradiation externe).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Le SIMULATEUR = appareil de RADIODIAGNOSTIC servant au repérage / positionnement / définition des volumes, PAS au traitement.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Curiethérapie (brachythérapie) = source radioactive AU CONTACT/dans la tumeur : interstitielle (prostate, sein) ou endocavitaire (col utérin).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PIÈGE majeur (×5) : le simulateur n'irradie pas le patient à visée curative — c'est un outil d'imagerie/repérage.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« un simulateur » ×5 (R2019 Q48, N2022 Q34, Nov2024 Q33, Oct2024 Q31, R2024 Q33) ; « accélérateurs linéaires » ×4 (N2019 Q47, R2019 Q49, N2020 Q47, N2025 Q33).</w:t>
      </w:r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Effets secondaires : aigus vs tardifs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Effets AIGUS : pendant/juste après l'irradiation, RÉVERSIBLES (mucite, radioépidermite, « mal des rayons ») — liés à l'atteinte des tissus à renouvellement rapide.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Effets TARDIFS/séquelles : &gt; 6 mois, IRRÉVERSIBLES (fibrose, sténoses, nécrose, cancers radio-induits) — liés aux tissus à renouvellement lent.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Ne pas classer les séquelles tardives (fibrose, cancer radio-induit) parmi les effets aigus réversibles.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séquelles de la radiothérapie externe ×4 (N2019 Q49, R2019 Q45, N2020 Q48, R2022 Q32).</w:t>
      </w:r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Curiethérapie par localisation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Cancer de la PROSTATE → curiethérapie INTERSTITIELLE (implants).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Cancer du SEIN → curiethérapie interstitielle (boost).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Cancer du COL utérin → curiethérapie ENDOCAVITAIRE (applicateurs intra-utérins/vaginaux).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curiethérapie prostate ×4 (R2019 Q46, N2021 Q34, N2022 Q32, N2024 Q48) ; sein ×4 (R2019 Q47, N2022 Q31, Nov2024 Q31, R2024 Q31).</w:t>
      </w:r>
    </w:p>
    <w:p w:rsidR="009C4AB4" w:rsidRPr="00221AF3" w:rsidRDefault="004C7FE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[RANG 3] LES LEUCÉMIES (LA · LMC · LLC)</w:t>
      </w:r>
    </w:p>
    <w:p w:rsidR="009C4AB4" w:rsidRPr="00221AF3" w:rsidRDefault="004C7FEE">
      <w:pPr>
        <w:spacing w:before="60" w:after="60"/>
        <w:jc w:val="center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Raissi / Pr Lahlimi  •  ~4,6 Q/examen  ·  55 Q au total (12 sessions, 2019→2025)</w:t>
      </w:r>
    </w:p>
    <w:p w:rsidR="009C4AB4" w:rsidRPr="00221AF3" w:rsidRDefault="004C7FEE">
      <w:pPr>
        <w:spacing w:before="40" w:after="4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</w:rPr>
        <w:t>📖</w:t>
      </w:r>
      <w:r w:rsidRPr="00221AF3">
        <w:rPr>
          <w:rFonts w:ascii="JetBrains Mono" w:hAnsi="JetBrains Mono" w:cs="JetBrains Mono"/>
          <w:i/>
          <w:iCs/>
          <w:color w:val="404040"/>
        </w:rPr>
        <w:t xml:space="preserve"> LA : ≥ 20 % de blastes médullaires (OMS). LMC : syndrome myéloprolifératif BCR-ABL+. LLC : prolifération lymphoïde B mature, stadification Binet (A/B/C).</w:t>
      </w:r>
    </w:p>
    <w:p w:rsidR="009C4AB4" w:rsidRPr="00221AF3" w:rsidRDefault="004C7FEE">
      <w:pPr>
        <w:spacing w:before="40" w:after="8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color w:val="404040"/>
        </w:rPr>
        <w:t>📎</w:t>
      </w:r>
      <w:r w:rsidRPr="00221AF3">
        <w:rPr>
          <w:rFonts w:ascii="JetBrains Mono" w:hAnsi="JetBrains Mono" w:cs="JetBrains Mono"/>
          <w:color w:val="404040"/>
        </w:rPr>
        <w:t xml:space="preserve"> Correction officielle N2025 (e-qe.online) : </w:t>
      </w:r>
      <w:hyperlink r:id="rId9" w:history="1">
        <w:r w:rsidRPr="00221AF3">
          <w:rPr>
            <w:rStyle w:val="Hyperlink"/>
            <w:rFonts w:ascii="JetBrains Mono" w:hAnsi="JetBrains Mono" w:cs="JetBrains Mono"/>
          </w:rPr>
          <w:t>Ouvrir ↗</w:t>
        </w:r>
      </w:hyperlink>
    </w:p>
    <w:p w:rsidR="009C4AB4" w:rsidRPr="00221AF3" w:rsidRDefault="004C7FEE">
      <w:pPr>
        <w:spacing w:before="40" w:after="8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color w:val="404040"/>
        </w:rPr>
        <w:t>📎</w:t>
      </w:r>
      <w:r w:rsidRPr="00221AF3">
        <w:rPr>
          <w:rFonts w:ascii="JetBrains Mono" w:hAnsi="JetBrains Mono" w:cs="JetBrains Mono"/>
          <w:color w:val="404040"/>
        </w:rPr>
        <w:t xml:space="preserve"> Correction officielle R2024 (e-qe.online) : </w:t>
      </w:r>
      <w:hyperlink r:id="rId10" w:history="1">
        <w:r w:rsidRPr="00221AF3">
          <w:rPr>
            <w:rStyle w:val="Hyperlink"/>
            <w:rFonts w:ascii="JetBrains Mono" w:hAnsi="JetBrains Mono" w:cs="JetBrains Mono"/>
          </w:rPr>
          <w:t>Ouvrir ↗</w:t>
        </w:r>
      </w:hyperlink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Leucémie myéloïde chronique (LMC)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LMC = chromosome Philadelphie t(9;22) → gène de fusion BCR-ABL ; diagnostic confirmé par le CARYOTYPE/biologie moléculaire.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Tableau typique : splénomégalie + hyperleucocytose avec MYÉLÉMIE équilibrée sans excès de blastes (phase chronique).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Traitement de 1re intention = INHIBITEURS DE TYROSINE KINASE (imatinib/ITK) → permet la guérison/rémission moléculaire profonde.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Un priapisme ou une leucostase peut révéler une LMC/LA hyperleucocytaire — urgence.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ITK 1re intention/guérison ×3 (R2019 Q4, Nov2024 Q30, Oct2024 Q9) + N2019 Q19, R2022 Q12 ; cas LMC N2025 Q17.</w:t>
      </w:r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Leucémie lymphoïde chronique (LLC)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LLC : diagnostic = hémogramme (hyperlymphocytose) + IMMUNOPHÉNOTYPAGE (score de Matutes).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Stade Binet A = ABSTENTION thérapeutique + surveillance.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Complication redoutée = syndrome de RICHTER (transformation en lymphome agressif).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Syndrome de Richter = complication de la LLC (piège répété ×4, classé ailleurs dans certaines sessions).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Richter = LLC ×4 (N2019 Q10, N2021 Q5, R2022 Q29, Oct2024 Q21).</w:t>
      </w:r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Leucémies aiguës (LAM · LAL)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Diagnostic de LA = présence de BLASTES en excès au MYÉLOGRAMME (≥ 20 %).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Corps/bâtonnets d'AUER = signature de la lignée MYÉLOÏDE (LAM).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LAL = la plus fréquente chez l'ENFANT ; sanctuaires = SNC et testicules.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Deux examens indispensables au diagnostic d'une LA = hémogramme + myélogramme.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LAM3 (promyélocytaire) = recherche SYSTÉMATIQUE d'une CIVD (cf. chapitre CIVD).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bâtonnets d'Auer = LAM ×3 (N2021 Q3, Nov2024 Q29, Oct2024 Q8) ; examens dgc LA (R2019 Q13, Oct2024 Q18) ; LA la + fréquente chez l'enfant (N2020 Q29, N2021 Q24).</w:t>
      </w:r>
    </w:p>
    <w:p w:rsidR="009C4AB4" w:rsidRPr="00221AF3" w:rsidRDefault="004C7FE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[RANG 4] CHIMIOTHÉRAPIE</w:t>
      </w:r>
    </w:p>
    <w:p w:rsidR="009C4AB4" w:rsidRPr="00221AF3" w:rsidRDefault="004C7FEE">
      <w:pPr>
        <w:spacing w:before="60" w:after="60"/>
        <w:jc w:val="center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Essadi  •  ~4,3 Q/examen  ·  52 Q au total (12 sessions, 2019→2025)</w:t>
      </w:r>
    </w:p>
    <w:p w:rsidR="009C4AB4" w:rsidRPr="00221AF3" w:rsidRDefault="004C7FEE">
      <w:pPr>
        <w:spacing w:before="40" w:after="8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color w:val="404040"/>
        </w:rPr>
        <w:t>📎</w:t>
      </w:r>
      <w:r w:rsidRPr="00221AF3">
        <w:rPr>
          <w:rFonts w:ascii="JetBrains Mono" w:hAnsi="JetBrains Mono" w:cs="JetBrains Mono"/>
          <w:color w:val="404040"/>
        </w:rPr>
        <w:t xml:space="preserve"> Correction officielle N2025 (e-qe.online) : </w:t>
      </w:r>
      <w:hyperlink r:id="rId11" w:history="1">
        <w:r w:rsidRPr="00221AF3">
          <w:rPr>
            <w:rStyle w:val="Hyperlink"/>
            <w:rFonts w:ascii="JetBrains Mono" w:hAnsi="JetBrains Mono" w:cs="JetBrains Mono"/>
          </w:rPr>
          <w:t>Ouvrir ↗</w:t>
        </w:r>
      </w:hyperlink>
    </w:p>
    <w:p w:rsidR="009C4AB4" w:rsidRPr="00221AF3" w:rsidRDefault="004C7FEE">
      <w:pPr>
        <w:spacing w:before="40" w:after="8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color w:val="404040"/>
        </w:rPr>
        <w:t>📎</w:t>
      </w:r>
      <w:r w:rsidRPr="00221AF3">
        <w:rPr>
          <w:rFonts w:ascii="JetBrains Mono" w:hAnsi="JetBrains Mono" w:cs="JetBrains Mono"/>
          <w:color w:val="404040"/>
        </w:rPr>
        <w:t xml:space="preserve"> Correction officielle N2024 (e-qe.online) : </w:t>
      </w:r>
      <w:hyperlink r:id="rId12" w:history="1">
        <w:r w:rsidRPr="00221AF3">
          <w:rPr>
            <w:rStyle w:val="Hyperlink"/>
            <w:rFonts w:ascii="JetBrains Mono" w:hAnsi="JetBrains Mono" w:cs="JetBrains Mono"/>
          </w:rPr>
          <w:t>Ouvrir ↗</w:t>
        </w:r>
      </w:hyperlink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Principes généraux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La chimiothérapie est un traitement SYSTÉMIQUE, non spécifique, agissant sur les cellules en DIVISION (tumorales ET saines → toxicité).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Modalités : NÉOADJUVANTE (avant chirurgie, réduire la tumeur) / ADJUVANTE (après, détruire la maladie micrométastatique) / palliative.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But de la chimio adjuvante = éradiquer les micrométastases et diminuer le risque de rechute.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« Adjuvante » ≠ « néoadjuvante » : l'adjuvante est POST-opératoire (micrométastases).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chimio = traitement systémique ×4 (N2024 Q40, Nov2024 Q45, Oct2024 Q38, R2024 Q48) ; buts adjuvante (N2021 Q44, N2023 Q43).</w:t>
      </w:r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Familles &amp; mécanismes d'action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Alkylants &amp; SELS DE PLATINE (cisplatine) : action DIRECTE sur l'ADN (pontages), indépendante du cycle.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ANTHRACYCLINES : inhibent la topo-isomérase II — toxicité CARDIAQUE CUMULATIVE dose-dépendante.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ANTIMÉTABOLITES (5-FU, méthotrexate) : phase S, blocage de la synthèse d'ADN (thymidylate synthase / dihydrofolate réductase).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TAXANES &amp; VINCA-ALCALOÏDES : phase M, action sur les microtubules du fuseau.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Irinotécan/topotécan : inhibiteurs de la topo-isomérase I.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Cisplatine = NÉPHROTOXICITÉ → hyperhydratation obligatoire ; anthracyclines = surveillance FEVG.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toxicité (cardiaque/rénale) ×4 (N2021 Q46, N2024 Q42, Nov2024 Q46, Oct2024 Q40) ; cytotoxiques (N2019 Q40, R2019 Q33).</w:t>
      </w:r>
    </w:p>
    <w:p w:rsidR="009C4AB4" w:rsidRPr="00221AF3" w:rsidRDefault="004C7FE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[RANG 5] LES LYMPHOMES (HODGKIN · LMNH)</w:t>
      </w:r>
    </w:p>
    <w:p w:rsidR="009C4AB4" w:rsidRPr="00221AF3" w:rsidRDefault="004C7FEE">
      <w:pPr>
        <w:spacing w:before="60" w:after="60"/>
        <w:jc w:val="center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Lahlimi  •  ~3,7 Q/examen  ·  44 Q au total (12 sessions, 2019→2025)</w:t>
      </w:r>
    </w:p>
    <w:p w:rsidR="009C4AB4" w:rsidRPr="00221AF3" w:rsidRDefault="004C7FEE">
      <w:pPr>
        <w:spacing w:before="40" w:after="4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</w:rPr>
        <w:t>📖</w:t>
      </w:r>
      <w:r w:rsidRPr="00221AF3">
        <w:rPr>
          <w:rFonts w:ascii="JetBrains Mono" w:hAnsi="JetBrains Mono" w:cs="JetBrains Mono"/>
          <w:i/>
          <w:iCs/>
          <w:color w:val="404040"/>
        </w:rPr>
        <w:t xml:space="preserve"> Stadification d'ANN ARBOR (I-IV ± A/B) = principal facteur pronostique. Hodgkin : cellule de Reed-Sternberg CD30+ / CD15+.</w:t>
      </w:r>
    </w:p>
    <w:p w:rsidR="009C4AB4" w:rsidRPr="00221AF3" w:rsidRDefault="004C7FEE">
      <w:pPr>
        <w:spacing w:before="40" w:after="8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color w:val="404040"/>
        </w:rPr>
        <w:t>📎</w:t>
      </w:r>
      <w:r w:rsidRPr="00221AF3">
        <w:rPr>
          <w:rFonts w:ascii="JetBrains Mono" w:hAnsi="JetBrains Mono" w:cs="JetBrains Mono"/>
          <w:color w:val="404040"/>
        </w:rPr>
        <w:t xml:space="preserve"> Correction officielle N2025 (e-qe.online) : </w:t>
      </w:r>
      <w:hyperlink r:id="rId13" w:history="1">
        <w:r w:rsidRPr="00221AF3">
          <w:rPr>
            <w:rStyle w:val="Hyperlink"/>
            <w:rFonts w:ascii="JetBrains Mono" w:hAnsi="JetBrains Mono" w:cs="JetBrains Mono"/>
          </w:rPr>
          <w:t>Ouvrir ↗</w:t>
        </w:r>
      </w:hyperlink>
    </w:p>
    <w:p w:rsidR="009C4AB4" w:rsidRPr="00221AF3" w:rsidRDefault="004C7FEE">
      <w:pPr>
        <w:spacing w:before="40" w:after="8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color w:val="404040"/>
        </w:rPr>
        <w:t>📎</w:t>
      </w:r>
      <w:r w:rsidRPr="00221AF3">
        <w:rPr>
          <w:rFonts w:ascii="JetBrains Mono" w:hAnsi="JetBrains Mono" w:cs="JetBrains Mono"/>
          <w:color w:val="404040"/>
        </w:rPr>
        <w:t xml:space="preserve"> Correction officielle N2020 (e-qe.online) : </w:t>
      </w:r>
      <w:hyperlink r:id="rId14" w:history="1">
        <w:r w:rsidRPr="00221AF3">
          <w:rPr>
            <w:rStyle w:val="Hyperlink"/>
            <w:rFonts w:ascii="JetBrains Mono" w:hAnsi="JetBrains Mono" w:cs="JetBrains Mono"/>
          </w:rPr>
          <w:t>Ouvrir ↗</w:t>
        </w:r>
      </w:hyperlink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Lymphome de Hodgkin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Cellule de REED-STERNBERG = CD30+ / CD15+ (diagnostic histologique).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lastRenderedPageBreak/>
        <w:t>Pourcentage de guérison après traitement d'un Hodgkin de stade I ≈ 90 % (excellent pronostic).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« BULKY » médiastinal = rapport médiastino-thoracique &gt; 0,35 (facteur de mauvais pronostic).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Stadification = ANN ARBOR ; l'atteinte SPLÉNIQUE ne fait PAS passer automatiquement au stade IV (la rate est considérée comme un territoire ganglionnaire).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Bulky = ratio &gt; 0,35 (piège chiffré répété ×4).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guérison stade I ≈90 % ×4 (N2019 Q26, N2020 Q15, N2021 Q25, Oct2024 Q1) ; Bulky &gt;0,35 ×4 (N2019 Q22, N2020 Q19, N2021 Q10, Oct2024 Q11).</w:t>
      </w:r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Lymphomes non hodgkiniens (LMNH)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LMNH agressif à grandes cellules B → protocole R-CHOP (rituximab + CHOP).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Chez l'enfant : Burkitt (forme abdominale) et lymphoblastique T (forme médiastinale) sont les plus fréquents.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lymphomes les + fréquents chez l'enfant ×2 (R2022 Q14, Oct2024 Q10).</w:t>
      </w:r>
    </w:p>
    <w:p w:rsidR="009C4AB4" w:rsidRPr="00221AF3" w:rsidRDefault="004C7FE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[RANG 6] DOULEUR ET CANCER</w:t>
      </w:r>
    </w:p>
    <w:p w:rsidR="009C4AB4" w:rsidRPr="00221AF3" w:rsidRDefault="004C7FEE">
      <w:pPr>
        <w:spacing w:before="60" w:after="60"/>
        <w:jc w:val="center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El Fadli  •  ~2,7 Q/examen  ·  32 Q au total (12 sessions, 2019→2025)</w:t>
      </w:r>
    </w:p>
    <w:p w:rsidR="009C4AB4" w:rsidRPr="00221AF3" w:rsidRDefault="004C7FEE">
      <w:pPr>
        <w:spacing w:before="40" w:after="4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</w:rPr>
        <w:t>📖</w:t>
      </w:r>
      <w:r w:rsidRPr="00221AF3">
        <w:rPr>
          <w:rFonts w:ascii="JetBrains Mono" w:hAnsi="JetBrains Mono" w:cs="JetBrains Mono"/>
          <w:i/>
          <w:iCs/>
          <w:color w:val="404040"/>
        </w:rPr>
        <w:t xml:space="preserve"> Paliers analgésiques OMS : I non-opioïdes · II opioïdes faibles · III opioïdes forts (morphine).</w:t>
      </w:r>
    </w:p>
    <w:p w:rsidR="009C4AB4" w:rsidRPr="00221AF3" w:rsidRDefault="004C7FEE">
      <w:pPr>
        <w:spacing w:before="40" w:after="8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color w:val="404040"/>
        </w:rPr>
        <w:t>📎</w:t>
      </w:r>
      <w:r w:rsidRPr="00221AF3">
        <w:rPr>
          <w:rFonts w:ascii="JetBrains Mono" w:hAnsi="JetBrains Mono" w:cs="JetBrains Mono"/>
          <w:color w:val="404040"/>
        </w:rPr>
        <w:t xml:space="preserve"> Correction officielle N2024 (e-qe.online) : </w:t>
      </w:r>
      <w:hyperlink r:id="rId15" w:history="1">
        <w:r w:rsidRPr="00221AF3">
          <w:rPr>
            <w:rStyle w:val="Hyperlink"/>
            <w:rFonts w:ascii="JetBrains Mono" w:hAnsi="JetBrains Mono" w:cs="JetBrains Mono"/>
          </w:rPr>
          <w:t>Ouvrir ↗</w:t>
        </w:r>
      </w:hyperlink>
    </w:p>
    <w:p w:rsidR="009C4AB4" w:rsidRPr="00221AF3" w:rsidRDefault="004C7FEE">
      <w:pPr>
        <w:spacing w:before="40" w:after="8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color w:val="404040"/>
        </w:rPr>
        <w:t>📎</w:t>
      </w:r>
      <w:r w:rsidRPr="00221AF3">
        <w:rPr>
          <w:rFonts w:ascii="JetBrains Mono" w:hAnsi="JetBrains Mono" w:cs="JetBrains Mono"/>
          <w:color w:val="404040"/>
        </w:rPr>
        <w:t xml:space="preserve"> Correction officielle R2024 (e-qe.online) : </w:t>
      </w:r>
      <w:hyperlink r:id="rId16" w:history="1">
        <w:r w:rsidRPr="00221AF3">
          <w:rPr>
            <w:rStyle w:val="Hyperlink"/>
            <w:rFonts w:ascii="JetBrains Mono" w:hAnsi="JetBrains Mono" w:cs="JetBrains Mono"/>
          </w:rPr>
          <w:t>Ouvrir ↗</w:t>
        </w:r>
      </w:hyperlink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Mécanismes &amp; types de douleur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Douleur NOCICEPTIVE : excès de stimulation des nocicepteurs → répond aux antalgiques des 3 paliers OMS.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Douleur NEUROPATHIQUE : lésion du système nerveux → traitement par antiépileptiques (gabapentine/prégabaline) et/ou antidépresseurs, PAS par les paliers classiques seuls.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La douleur cancéreuse est souvent MIXTE (nociceptive + neuropathique).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La douleur neuropathique répond mal aux antalgiques de palier — d'où les co-antalgiques spécifiques.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douleur cancéreuse ×4 (N2024 Q33, Nov2024 Q42, Oct2024 Q46, R2024 Q39) ; neuropathique ×3 (N2021 Q37, N2024 Q34, Oct2024 Q47).</w:t>
      </w:r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Principes de traitement (OMS)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Échelle OMS à 3 paliers ; titration des opioïdes, prévention systématique de la constipation sous morphiniques.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Réévaluation régulière, prise en compte des accès douloureux paroxystiques.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traitement de la douleur cancéreuse ×2 (N2024 Q35, Oct2024 Q48) ; nociceptive ×2 (Nov2024 Q43, R2024 Q40).</w:t>
      </w:r>
    </w:p>
    <w:p w:rsidR="009C4AB4" w:rsidRPr="00221AF3" w:rsidRDefault="004C7FE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[RANG 7] ÉPIDÉMIOLOGIE DES CANCERS</w:t>
      </w:r>
    </w:p>
    <w:p w:rsidR="009C4AB4" w:rsidRPr="00221AF3" w:rsidRDefault="004C7FEE">
      <w:pPr>
        <w:spacing w:before="60" w:after="60"/>
        <w:jc w:val="center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El Omrani  •  ~2,6 Q/examen  ·  31 Q au total (12 sessions, 2019→2025)</w:t>
      </w:r>
    </w:p>
    <w:p w:rsidR="009C4AB4" w:rsidRPr="00221AF3" w:rsidRDefault="004C7FEE">
      <w:pPr>
        <w:spacing w:before="40" w:after="8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color w:val="404040"/>
        </w:rPr>
        <w:lastRenderedPageBreak/>
        <w:t>📎</w:t>
      </w:r>
      <w:r w:rsidRPr="00221AF3">
        <w:rPr>
          <w:rFonts w:ascii="JetBrains Mono" w:hAnsi="JetBrains Mono" w:cs="JetBrains Mono"/>
          <w:color w:val="404040"/>
        </w:rPr>
        <w:t xml:space="preserve"> Correction officielle N2024 (e-qe.online) : </w:t>
      </w:r>
      <w:hyperlink r:id="rId17" w:history="1">
        <w:r w:rsidRPr="00221AF3">
          <w:rPr>
            <w:rStyle w:val="Hyperlink"/>
            <w:rFonts w:ascii="JetBrains Mono" w:hAnsi="JetBrains Mono" w:cs="JetBrains Mono"/>
          </w:rPr>
          <w:t>Ouvrir ↗</w:t>
        </w:r>
      </w:hyperlink>
    </w:p>
    <w:p w:rsidR="009C4AB4" w:rsidRPr="00221AF3" w:rsidRDefault="004C7FEE">
      <w:pPr>
        <w:spacing w:before="40" w:after="8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color w:val="404040"/>
        </w:rPr>
        <w:t>📎</w:t>
      </w:r>
      <w:r w:rsidRPr="00221AF3">
        <w:rPr>
          <w:rFonts w:ascii="JetBrains Mono" w:hAnsi="JetBrains Mono" w:cs="JetBrains Mono"/>
          <w:color w:val="404040"/>
        </w:rPr>
        <w:t xml:space="preserve"> Correction officielle R2024 (e-qe.online) : </w:t>
      </w:r>
      <w:hyperlink r:id="rId18" w:history="1">
        <w:r w:rsidRPr="00221AF3">
          <w:rPr>
            <w:rStyle w:val="Hyperlink"/>
            <w:rFonts w:ascii="JetBrains Mono" w:hAnsi="JetBrains Mono" w:cs="JetBrains Mono"/>
          </w:rPr>
          <w:t>Ouvrir ↗</w:t>
        </w:r>
      </w:hyperlink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Types d'études épidémiologiques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Épidémiologie DESCRIPTIVE : décrit la fréquence/répartition (incidence, prévalence, mortalité) — registres des cancers.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Épidémiologie ANALYTIQUE : recherche les facteurs de risque/causalité (cas-témoins, cohortes).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Étude CAS-TÉMOINS : rétrospective, part de la maladie → expose ; mesure l'ODDS RATIO ; adaptée aux maladies rares.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Étude de COHORTE : prospective, part de l'exposition → maladie ; mesure le RISQUE RELATIF / l'incidence.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Cas-témoins → odds ratio (pas d'incidence directe) ; cohorte → risque relatif/incidence. Ne pas inverser.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épidémio descriptive (N2024 Q31, Oct2024 Q44) ; cas-témoins (N2024 Q32, Oct2024 Q45) ; analytique (Nov2024 Q40, R2024 Q37) ; cohortes (Nov2024 Q41, R2024 Q38).</w:t>
      </w:r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Contexte marocain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Le Maroc dispose de registres des cancers régionaux (ex. Grand Casablanca, Rabat) alimentant les données nationales d'incidence.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registre des cancers du Maroc ×2 (N2020 Q33-34).</w:t>
      </w:r>
    </w:p>
    <w:p w:rsidR="009C4AB4" w:rsidRPr="00221AF3" w:rsidRDefault="004C7FE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[RANG 8] HORMONOTHÉRAPIE</w:t>
      </w:r>
    </w:p>
    <w:p w:rsidR="009C4AB4" w:rsidRPr="00221AF3" w:rsidRDefault="004C7FEE">
      <w:pPr>
        <w:spacing w:before="60" w:after="60"/>
        <w:jc w:val="center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El Omrani  •  ~2,4 Q/examen  ·  29 Q au total (12 sessions, 2019→2025)</w:t>
      </w:r>
    </w:p>
    <w:p w:rsidR="009C4AB4" w:rsidRPr="00221AF3" w:rsidRDefault="004C7FEE">
      <w:pPr>
        <w:spacing w:before="40" w:after="8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color w:val="404040"/>
        </w:rPr>
        <w:t>📎</w:t>
      </w:r>
      <w:r w:rsidRPr="00221AF3">
        <w:rPr>
          <w:rFonts w:ascii="JetBrains Mono" w:hAnsi="JetBrains Mono" w:cs="JetBrains Mono"/>
          <w:color w:val="404040"/>
        </w:rPr>
        <w:t xml:space="preserve"> Correction officielle N2024 (e-qe.online) : </w:t>
      </w:r>
      <w:hyperlink r:id="rId19" w:history="1">
        <w:r w:rsidRPr="00221AF3">
          <w:rPr>
            <w:rStyle w:val="Hyperlink"/>
            <w:rFonts w:ascii="JetBrains Mono" w:hAnsi="JetBrains Mono" w:cs="JetBrains Mono"/>
          </w:rPr>
          <w:t>Ouvrir ↗</w:t>
        </w:r>
      </w:hyperlink>
    </w:p>
    <w:p w:rsidR="009C4AB4" w:rsidRPr="00221AF3" w:rsidRDefault="004C7FEE">
      <w:pPr>
        <w:spacing w:before="40" w:after="8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color w:val="404040"/>
        </w:rPr>
        <w:t>📎</w:t>
      </w:r>
      <w:r w:rsidRPr="00221AF3">
        <w:rPr>
          <w:rFonts w:ascii="JetBrains Mono" w:hAnsi="JetBrains Mono" w:cs="JetBrains Mono"/>
          <w:color w:val="404040"/>
        </w:rPr>
        <w:t xml:space="preserve"> Correction officielle N2025 (e-qe.online) : </w:t>
      </w:r>
      <w:hyperlink r:id="rId20" w:history="1">
        <w:r w:rsidRPr="00221AF3">
          <w:rPr>
            <w:rStyle w:val="Hyperlink"/>
            <w:rFonts w:ascii="JetBrains Mono" w:hAnsi="JetBrains Mono" w:cs="JetBrains Mono"/>
          </w:rPr>
          <w:t>Ouvrir ↗</w:t>
        </w:r>
      </w:hyperlink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Hormonothérapie du cancer du sein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Indication = tumeurs HORMONO-SENSIBLES (récepteurs hormonaux RH+).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TAMOXIFÈNE = SERM : ANTI-œstrogène sur le sein mais effet PRO-œstrogène sur l'endomètre → risque de cancer de l'endomètre ; utilisé surtout en PRÉ-ménopause.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ANTI-AROMATASES (létrozole, anastrozole) : réservées à la POST-ménopause ; effet indésirable = perte osseuse/ostéoporose (PAS de risque endométrial).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Tamoxifène → surveillance gynécologique (risque endomètre) ; anti-aromatases → surveillance osseuse. Ne pas prescrire d'anti-aromatase seule chez une femme non ménopausée.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tamoxifène ×5 (R2019 Q41, N2022 Q40, N2023 Q36, N2024 Q38, N2025 Q48).</w:t>
      </w:r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Hormonothérapie suppressive (cancer prostate / sein)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Agonistes de la LH-RH = castration médicale ; risque d'effet « FLARE-UP » initial (poussée de testostérone) PRÉVENU par un anti-androgène (bicalutamide) en début de traitement.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L'hormonothérapie est historiquement considérée comme la 1re « thérapie ciblée » de l'histoire de l'oncologie.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Flare-up des agonistes LH-RH = aggravation transitoire ; toujours couvrir par anti-androgène au démarrage.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hormonothérapie des cancers ×3 (N2024 Q36, Oct2024 Q49, R2024 Q41) ; suppressive ×2 (N2024 Q37, Oct2024 Q50).</w:t>
      </w:r>
    </w:p>
    <w:p w:rsidR="009C4AB4" w:rsidRPr="00221AF3" w:rsidRDefault="004C7FE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[RANG 9] PURPURA THROMBOPÉNIQUE IMMUNOLOGIQUE (PTI)</w:t>
      </w:r>
    </w:p>
    <w:p w:rsidR="009C4AB4" w:rsidRPr="00221AF3" w:rsidRDefault="004C7FEE">
      <w:pPr>
        <w:spacing w:before="60" w:after="60"/>
        <w:jc w:val="center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Hématologie  •  ~2,3 Q/examen  ·  28 Q au total (12 sessions, 2019→2025)</w:t>
      </w:r>
    </w:p>
    <w:p w:rsidR="009C4AB4" w:rsidRPr="00221AF3" w:rsidRDefault="004C7FEE">
      <w:pPr>
        <w:spacing w:before="40" w:after="8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color w:val="404040"/>
        </w:rPr>
        <w:t>📎</w:t>
      </w:r>
      <w:r w:rsidRPr="00221AF3">
        <w:rPr>
          <w:rFonts w:ascii="JetBrains Mono" w:hAnsi="JetBrains Mono" w:cs="JetBrains Mono"/>
          <w:color w:val="404040"/>
        </w:rPr>
        <w:t xml:space="preserve"> Correction officielle N2024 (e-qe.online) : </w:t>
      </w:r>
      <w:hyperlink r:id="rId21" w:history="1">
        <w:r w:rsidRPr="00221AF3">
          <w:rPr>
            <w:rStyle w:val="Hyperlink"/>
            <w:rFonts w:ascii="JetBrains Mono" w:hAnsi="JetBrains Mono" w:cs="JetBrains Mono"/>
          </w:rPr>
          <w:t>Ouvrir ↗</w:t>
        </w:r>
      </w:hyperlink>
    </w:p>
    <w:p w:rsidR="009C4AB4" w:rsidRPr="00221AF3" w:rsidRDefault="004C7FEE">
      <w:pPr>
        <w:spacing w:before="40" w:after="8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color w:val="404040"/>
        </w:rPr>
        <w:t>📎</w:t>
      </w:r>
      <w:r w:rsidRPr="00221AF3">
        <w:rPr>
          <w:rFonts w:ascii="JetBrains Mono" w:hAnsi="JetBrains Mono" w:cs="JetBrains Mono"/>
          <w:color w:val="404040"/>
        </w:rPr>
        <w:t xml:space="preserve"> Correction officielle R2024 (e-qe.online) : </w:t>
      </w:r>
      <w:hyperlink r:id="rId22" w:history="1">
        <w:r w:rsidRPr="00221AF3">
          <w:rPr>
            <w:rStyle w:val="Hyperlink"/>
            <w:rFonts w:ascii="JetBrains Mono" w:hAnsi="JetBrains Mono" w:cs="JetBrains Mono"/>
          </w:rPr>
          <w:t>Ouvrir ↗</w:t>
        </w:r>
      </w:hyperlink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&amp; diagnostic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PTI = thrombopénie PÉRIPHÉRIQUE par destruction immunologique (auto-anticorps anti-glycoprotéines plaquettaires) — destruction périphérique, PAS centrale.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C'est un diagnostic d'ÉLIMINATION (moelle normale/riche en mégacaryocytes).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PTI dit CHRONIQUE après 12 MOIS d'évolution.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Pronostic globalement meilleur chez l'ENFANT (souvent résolutif).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PIÈGE ×4 : l'HÉMARTHROSE n'appartient PAS au PTI (purpura cutanéo-muqueux : pétéchies, ecchymoses, bulles) — l'hémarthrose évoque l'hémophilie.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dgc d'élimination N2019 Q5 ; chronique = 12 mois ×2 (R2019 Q7, N2020 Q22) ; hémarthrose inhabituelle ×2 (N2021 Q12, Oct2024 Q14).</w:t>
      </w:r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1re intention = CORTICOTHÉRAPIE (± immunoglobulines IV si urgence hémorragique).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2e intention/chronique réfractaire = splénectomie, agonistes du récepteur de la TPO, rituximab.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PAS de transfusion de plaquettes systématique (détruites immédiatement, réservée aux hémorragies vitales).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Ne pas transfuser des plaquettes en routine dans le PTI.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corticoïdes 1re intention ×3 (N2019 Q23, N2021 Q13, Oct2024 Q15) ; traitement 1re intention ×2 (N2024 Q12, R2024 Q13).</w:t>
      </w:r>
    </w:p>
    <w:p w:rsidR="009C4AB4" w:rsidRPr="00221AF3" w:rsidRDefault="004C7FE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[RANG 10] THÉRAPIES CIBLÉES</w:t>
      </w:r>
    </w:p>
    <w:p w:rsidR="009C4AB4" w:rsidRPr="00221AF3" w:rsidRDefault="004C7FEE">
      <w:pPr>
        <w:spacing w:before="60" w:after="60"/>
        <w:jc w:val="center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Essadi  •  ~2,3 Q/examen  ·  27 Q au total (12 sessions, 2019→2025)</w:t>
      </w:r>
    </w:p>
    <w:p w:rsidR="009C4AB4" w:rsidRPr="00221AF3" w:rsidRDefault="004C7FEE">
      <w:pPr>
        <w:spacing w:before="40" w:after="8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color w:val="404040"/>
        </w:rPr>
        <w:t>📎</w:t>
      </w:r>
      <w:r w:rsidRPr="00221AF3">
        <w:rPr>
          <w:rFonts w:ascii="JetBrains Mono" w:hAnsi="JetBrains Mono" w:cs="JetBrains Mono"/>
          <w:color w:val="404040"/>
        </w:rPr>
        <w:t xml:space="preserve"> Correction officielle N2024 (e-qe.online) : </w:t>
      </w:r>
      <w:hyperlink r:id="rId23" w:history="1">
        <w:r w:rsidRPr="00221AF3">
          <w:rPr>
            <w:rStyle w:val="Hyperlink"/>
            <w:rFonts w:ascii="JetBrains Mono" w:hAnsi="JetBrains Mono" w:cs="JetBrains Mono"/>
          </w:rPr>
          <w:t>Ouvrir ↗</w:t>
        </w:r>
      </w:hyperlink>
    </w:p>
    <w:p w:rsidR="009C4AB4" w:rsidRPr="00221AF3" w:rsidRDefault="004C7FEE">
      <w:pPr>
        <w:spacing w:before="40" w:after="8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color w:val="404040"/>
        </w:rPr>
        <w:t>📎</w:t>
      </w:r>
      <w:r w:rsidRPr="00221AF3">
        <w:rPr>
          <w:rFonts w:ascii="JetBrains Mono" w:hAnsi="JetBrains Mono" w:cs="JetBrains Mono"/>
          <w:color w:val="404040"/>
        </w:rPr>
        <w:t xml:space="preserve"> Correction officielle R2024 (e-qe.online) : </w:t>
      </w:r>
      <w:hyperlink r:id="rId24" w:history="1">
        <w:r w:rsidRPr="00221AF3">
          <w:rPr>
            <w:rStyle w:val="Hyperlink"/>
            <w:rFonts w:ascii="JetBrains Mono" w:hAnsi="JetBrains Mono" w:cs="JetBrains Mono"/>
          </w:rPr>
          <w:t>Ouvrir ↗</w:t>
        </w:r>
      </w:hyperlink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Généralités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Thérapies ciblées = traitement SYSTÉMIQUE, plus spécifique que la chimio, avec un spectre de toxicité PARTICULIER (≠ chimio classique) ; exigent un bilan du terrain (ex. statut HER2, mutations) avant prescription.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Deux grandes classes : ANTICORPS MONOCLONAUX (suffixe -MAB, voie IV, haut poids moléculaire) et PETITES MOLÉCULES (suffixe -NIB, voie ORALE).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« innovation/traitement systémique spécifique » ×6 (N2022 Q49, N2023 Q44, N2024 Q44, Nov2024 Q48, Oct2024 Q41, R2024 Q49).</w:t>
      </w:r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Cibles &amp; molécules (à connaître)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lastRenderedPageBreak/>
        <w:t>Anti-HER2 : TRASTUZUMAB, PERTUZUMAB (anticorps, IV) ; lapatinib (-nib, oral) — cancer du sein HER2+.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Anti-EGFR : CETUXIMAB, PANITUMUMAB — toxicité CUTANÉE caractéristique (rash acnéiforme).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Anti-VEGF / antiangiogénique : BEVACIZUMAB.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Pertuzumab : protéine de haut poids moléculaire, administrée par voie IV.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ERREUR D'ÉNONCÉ signalée : Nov2024 Q49 affirme « le Panitumumab est un anticorps monoclonal anti-HER2 » — c'est FAUX : le panitumumab est ANTI-EGFR (comme le cetuximab, N2024 Q46). Toxicité cutanée. Ne pas mémoriser l'énoncé erroné.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Bevacizumab cible le VEGF (angiogenèse), pas la famille HER — distracteur classique.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cetuximab anti-EGFR N2024 Q46, Oct2024 Q43 ; pertuzumab anti-HER2 N2024 Q45 ; famille HER (trastuzumab/pertuzumab) N2021 Q42.</w:t>
      </w:r>
    </w:p>
    <w:p w:rsidR="009C4AB4" w:rsidRPr="00221AF3" w:rsidRDefault="004C7FE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[RANG 11] TRANSFUSION SANGUINE</w:t>
      </w:r>
    </w:p>
    <w:p w:rsidR="009C4AB4" w:rsidRPr="00221AF3" w:rsidRDefault="004C7FEE">
      <w:pPr>
        <w:spacing w:before="60" w:after="60"/>
        <w:jc w:val="center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Hématologie  •  ~2,2 Q/examen  ·  26 Q au total (12 sessions, 2019→2025)</w:t>
      </w:r>
    </w:p>
    <w:p w:rsidR="009C4AB4" w:rsidRPr="00221AF3" w:rsidRDefault="004C7FEE">
      <w:pPr>
        <w:spacing w:before="40" w:after="8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color w:val="404040"/>
        </w:rPr>
        <w:t>📎</w:t>
      </w:r>
      <w:r w:rsidRPr="00221AF3">
        <w:rPr>
          <w:rFonts w:ascii="JetBrains Mono" w:hAnsi="JetBrains Mono" w:cs="JetBrains Mono"/>
          <w:color w:val="404040"/>
        </w:rPr>
        <w:t xml:space="preserve"> Correction officielle N2022 (e-qe.online) : </w:t>
      </w:r>
      <w:hyperlink r:id="rId25" w:history="1">
        <w:r w:rsidRPr="00221AF3">
          <w:rPr>
            <w:rStyle w:val="Hyperlink"/>
            <w:rFonts w:ascii="JetBrains Mono" w:hAnsi="JetBrains Mono" w:cs="JetBrains Mono"/>
          </w:rPr>
          <w:t>Ouvrir ↗</w:t>
        </w:r>
      </w:hyperlink>
    </w:p>
    <w:p w:rsidR="009C4AB4" w:rsidRPr="00221AF3" w:rsidRDefault="004C7FEE">
      <w:pPr>
        <w:spacing w:before="40" w:after="8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color w:val="404040"/>
        </w:rPr>
        <w:t>📎</w:t>
      </w:r>
      <w:r w:rsidRPr="00221AF3">
        <w:rPr>
          <w:rFonts w:ascii="JetBrains Mono" w:hAnsi="JetBrains Mono" w:cs="JetBrains Mono"/>
          <w:color w:val="404040"/>
        </w:rPr>
        <w:t xml:space="preserve"> Correction officielle Nov2024 (e-qe.online) : </w:t>
      </w:r>
      <w:hyperlink r:id="rId26" w:history="1">
        <w:r w:rsidRPr="00221AF3">
          <w:rPr>
            <w:rStyle w:val="Hyperlink"/>
            <w:rFonts w:ascii="JetBrains Mono" w:hAnsi="JetBrains Mono" w:cs="JetBrains Mono"/>
          </w:rPr>
          <w:t>Ouvrir ↗</w:t>
        </w:r>
      </w:hyperlink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Produits sanguins labiles &amp; qualifications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Culots globulaires (CGR) : conservés à +4 °C, jusqu'à 42 JOURS ; NE sont PAS conservés sous agitation ni congelés.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La DÉLEUCOCYTATION (filtration) du CGR prévient la réaction FRISSONS-HYPERTHERMIE (non hémolytique fébrile).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Qualifications du PLASMA FRAIS CONGELÉ (PFC) = VIRO-INACTIVÉ et SÉCURISÉ (≠ phénotypé, ≠ irradié).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Concentrés plaquettaires : irradiés chez l'immunodéprimé (prévention du GVH transfusionnel) ; sang O négatif = donneur universel en urgence.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Qualifications du PFC = viro-inactivé + sécurisé (piège répété ×5 : ni phénotypé, ni irradié, ni d'aphérèse).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qualifications PFC ×5 (R2019 Q25, N2022 Q26, R2022 Q15, Nov2024 Q16, Oct2024 Q26) ; CGR ×4 (N2019 Q9, R2019 Q15, N2022 Q29, R2022 Q27).</w:t>
      </w:r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Accidents transfusionnels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Accidents IMMÉDIATS : incompatibilité ABO (hémolyse aiguë), réaction frissons-hyperthermie, allergie, surcharge volémique, choc septique.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Hémolyse aiguë par incompatibilité ABO = hémolyse INTRAVASCULAIRE, se complique de CIVD, évolution souvent défavorable.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Incompatibilité Rhésus = accident plutôt RETARDÉ (vs ABO immédiat).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Nuance/contradiction sur le SENS de l'hémolyse ABO : N2022 Q27 valide l'item « lyse des hématies du RECEVEUR par les anticorps du DONNEUR ». Classiquement, le mécanisme dominant et le plus grave est l'INVERSE (anticorps anti-A/B du RECEVEUR lysant les hématies du DONNEUR, incompatibilité majeure). → Connaître la version de l'énoncé tout en gardant le mécanisme physiopathologique de référence en tête.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hémolyse ABO ×2 (N2019 Q30, N2022 Q27) ; accidents immédiats R2019 Q11, N2021 Q27.</w:t>
      </w:r>
    </w:p>
    <w:p w:rsidR="009C4AB4" w:rsidRPr="00221AF3" w:rsidRDefault="004C7FE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lastRenderedPageBreak/>
        <w:t>[RANG 12] MYÉLOME MULTIPLE</w:t>
      </w:r>
    </w:p>
    <w:p w:rsidR="009C4AB4" w:rsidRPr="00221AF3" w:rsidRDefault="004C7FEE">
      <w:pPr>
        <w:spacing w:before="60" w:after="60"/>
        <w:jc w:val="center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Lahlimi  •  ~2,1 Q/examen  ·  25 Q au total (12 sessions, 2019→2025)</w:t>
      </w:r>
    </w:p>
    <w:p w:rsidR="009C4AB4" w:rsidRPr="00221AF3" w:rsidRDefault="004C7FEE">
      <w:pPr>
        <w:spacing w:before="40" w:after="4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</w:rPr>
        <w:t>📖</w:t>
      </w:r>
      <w:r w:rsidRPr="00221AF3">
        <w:rPr>
          <w:rFonts w:ascii="JetBrains Mono" w:hAnsi="JetBrains Mono" w:cs="JetBrains Mono"/>
          <w:i/>
          <w:iCs/>
          <w:color w:val="404040"/>
        </w:rPr>
        <w:t xml:space="preserve"> Critères CRAB (hyperCalcémie · insuffisance Rénale · Anémie · Bone/atteinte osseuse). Maladie de Kahler.</w:t>
      </w:r>
    </w:p>
    <w:p w:rsidR="009C4AB4" w:rsidRPr="00221AF3" w:rsidRDefault="004C7FEE">
      <w:pPr>
        <w:spacing w:before="40" w:after="8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color w:val="404040"/>
        </w:rPr>
        <w:t>📎</w:t>
      </w:r>
      <w:r w:rsidRPr="00221AF3">
        <w:rPr>
          <w:rFonts w:ascii="JetBrains Mono" w:hAnsi="JetBrains Mono" w:cs="JetBrains Mono"/>
          <w:color w:val="404040"/>
        </w:rPr>
        <w:t xml:space="preserve"> Correction officielle N2021 (e-qe.online) : </w:t>
      </w:r>
      <w:hyperlink r:id="rId27" w:history="1">
        <w:r w:rsidRPr="00221AF3">
          <w:rPr>
            <w:rStyle w:val="Hyperlink"/>
            <w:rFonts w:ascii="JetBrains Mono" w:hAnsi="JetBrains Mono" w:cs="JetBrains Mono"/>
          </w:rPr>
          <w:t>Ouvrir ↗</w:t>
        </w:r>
      </w:hyperlink>
    </w:p>
    <w:p w:rsidR="009C4AB4" w:rsidRPr="00221AF3" w:rsidRDefault="004C7FEE">
      <w:pPr>
        <w:spacing w:before="40" w:after="8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color w:val="404040"/>
        </w:rPr>
        <w:t>📎</w:t>
      </w:r>
      <w:r w:rsidRPr="00221AF3">
        <w:rPr>
          <w:rFonts w:ascii="JetBrains Mono" w:hAnsi="JetBrains Mono" w:cs="JetBrains Mono"/>
          <w:color w:val="404040"/>
        </w:rPr>
        <w:t xml:space="preserve"> Correction officielle R2022 (e-qe.online) : </w:t>
      </w:r>
      <w:hyperlink r:id="rId28" w:history="1">
        <w:r w:rsidRPr="00221AF3">
          <w:rPr>
            <w:rStyle w:val="Hyperlink"/>
            <w:rFonts w:ascii="JetBrains Mono" w:hAnsi="JetBrains Mono" w:cs="JetBrains Mono"/>
          </w:rPr>
          <w:t>Ouvrir ↗</w:t>
        </w:r>
      </w:hyperlink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Myélome = maladie de KAHLER ; principale anomalie du MYÉLOGRAMME = PLASMOCYTES DYSTROPHIQUES en excès (plasmocytose médullaire).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Retentissement = CRAB ; pic monoclonal à l'électrophorèse des protéines sériques.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PIÈGE ×4 : « il n'existe PAS de signe radiologique SPÉCIFIQUE » du myélome — les lacunes à l'emporte-pièce (crâne) sont CARACTÉRISTIQUES mais non spécifiques. L'item « signe radiologique spécifique » est donc à manier prudemment selon la formulation de l'énoncé.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plasmocytes au myélogramme ×4 (N2019 Q20, N2020 Q14, N2021 Q4, Oct2024 Q13) ; signe radiologique « spécifique » ×4 (N2019 Q28, N2020 Q13, N2021 Q11, Oct2024 Q12).</w:t>
      </w:r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&amp; pronostic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THALIDOMIDE : effet principal = ANTI-ANGIOGÉNIQUE (+ immunomodulateur).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Stratégie : immuno-chimiothérapie ± AUTOGREFFE de cellules souches (pas d'allogreffe en standard) ; maladie INCURABLE (rémissions/rechutes).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Myélome = autogreffe (pas allogreffe en routine) ; maladie chronique incurable.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effet thalidomide (anti-angiogénique) ×4 (N2019 Q17, R2019 Q20, N2021 Q20, Oct2024 Q25).</w:t>
      </w:r>
    </w:p>
    <w:p w:rsidR="009C4AB4" w:rsidRPr="00221AF3" w:rsidRDefault="004C7FE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[RANG 13] APLASIE MÉDULLAIRE</w:t>
      </w:r>
    </w:p>
    <w:p w:rsidR="009C4AB4" w:rsidRPr="00221AF3" w:rsidRDefault="004C7FEE">
      <w:pPr>
        <w:spacing w:before="60" w:after="60"/>
        <w:jc w:val="center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Hématologie  •  ~1,8 Q/examen  ·  22 Q au total (12 sessions, 2019→2025)</w:t>
      </w:r>
    </w:p>
    <w:p w:rsidR="009C4AB4" w:rsidRPr="00221AF3" w:rsidRDefault="004C7FEE">
      <w:pPr>
        <w:spacing w:before="40" w:after="8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color w:val="404040"/>
        </w:rPr>
        <w:t>📎</w:t>
      </w:r>
      <w:r w:rsidRPr="00221AF3">
        <w:rPr>
          <w:rFonts w:ascii="JetBrains Mono" w:hAnsi="JetBrains Mono" w:cs="JetBrains Mono"/>
          <w:color w:val="404040"/>
        </w:rPr>
        <w:t xml:space="preserve"> Correction officielle N2025 (e-qe.online) : </w:t>
      </w:r>
      <w:hyperlink r:id="rId29" w:history="1">
        <w:r w:rsidRPr="00221AF3">
          <w:rPr>
            <w:rStyle w:val="Hyperlink"/>
            <w:rFonts w:ascii="JetBrains Mono" w:hAnsi="JetBrains Mono" w:cs="JetBrains Mono"/>
          </w:rPr>
          <w:t>Ouvrir ↗</w:t>
        </w:r>
      </w:hyperlink>
    </w:p>
    <w:p w:rsidR="009C4AB4" w:rsidRPr="00221AF3" w:rsidRDefault="004C7FEE">
      <w:pPr>
        <w:spacing w:before="40" w:after="8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color w:val="404040"/>
        </w:rPr>
        <w:t>📎</w:t>
      </w:r>
      <w:r w:rsidRPr="00221AF3">
        <w:rPr>
          <w:rFonts w:ascii="JetBrains Mono" w:hAnsi="JetBrains Mono" w:cs="JetBrains Mono"/>
          <w:color w:val="404040"/>
        </w:rPr>
        <w:t xml:space="preserve"> Correction officielle N2024 (e-qe.online) : </w:t>
      </w:r>
      <w:hyperlink r:id="rId30" w:history="1">
        <w:r w:rsidRPr="00221AF3">
          <w:rPr>
            <w:rStyle w:val="Hyperlink"/>
            <w:rFonts w:ascii="JetBrains Mono" w:hAnsi="JetBrains Mono" w:cs="JetBrains Mono"/>
          </w:rPr>
          <w:t>Ouvrir ↗</w:t>
        </w:r>
      </w:hyperlink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&amp; diagnostic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Aplasie médullaire = insuffisance médullaire QUANTITATIVE (moelle pauvre/désertique) → PANCYTOPÉNIE périphérique.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Diagnostic de CERTITUDE = BIOPSIE OSTÉO-MÉDULLAIRE (BOM) montrant une moelle pauvre — PAS le myélogramme seul.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Devant une pancytopénie isolée, l'examen clé = exploration médullaire (BOM).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PIÈGE ×5 : la certitude diagnostique repose sur la BIOPSIE médullaire (BOM), le myélogramme pouvant être faussement rassurant (« moelle pauvre »).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Absence d'organomégalie / d'adénopathies (≠ leucémie/lymphome).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BOM = certitude ×2 (N2019 Q21, R2019 Q1) ; pancytopénie isolée → exploration médullaire ×3 (N2020 Q30, N2021 Q1, Oct2024 Q2) ; « moelle pauvre » ×2 (N2024 Q2, R2024 Q8).</w:t>
      </w:r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Étiologies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lastRenderedPageBreak/>
        <w:t>Causes : idiopathique (la + fréquente), toxiques/médicamenteuses, radiques, virales.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CHLORAMPHÉNICOL = cause d'aplasie médullaire IRRÉVERSIBLE classique.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« dans une aplasie médullaire on retrouve » ×3 (N2023 Q1, N2024 Q1, R2024 Q1).</w:t>
      </w:r>
    </w:p>
    <w:p w:rsidR="009C4AB4" w:rsidRPr="00221AF3" w:rsidRDefault="004C7FE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[RANG 14] POLYGLOBULIE DE VAQUEZ (SMP Ph-)</w:t>
      </w:r>
    </w:p>
    <w:p w:rsidR="009C4AB4" w:rsidRPr="00221AF3" w:rsidRDefault="004C7FEE">
      <w:pPr>
        <w:spacing w:before="60" w:after="60"/>
        <w:jc w:val="center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Hématologie  •  ~1,8 Q/examen  ·  22 Q au total (12 sessions, 2019→2025)</w:t>
      </w:r>
    </w:p>
    <w:p w:rsidR="009C4AB4" w:rsidRPr="00221AF3" w:rsidRDefault="004C7FEE">
      <w:pPr>
        <w:spacing w:before="40" w:after="4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</w:rPr>
        <w:t>📖</w:t>
      </w:r>
      <w:r w:rsidRPr="00221AF3">
        <w:rPr>
          <w:rFonts w:ascii="JetBrains Mono" w:hAnsi="JetBrains Mono" w:cs="JetBrains Mono"/>
          <w:i/>
          <w:iCs/>
          <w:color w:val="404040"/>
        </w:rPr>
        <w:t xml:space="preserve"> Syndrome myéloprolifératif Philadelphie-NÉGATIF, mutation JAK2 V617F.</w:t>
      </w:r>
    </w:p>
    <w:p w:rsidR="009C4AB4" w:rsidRPr="00221AF3" w:rsidRDefault="004C7FEE">
      <w:pPr>
        <w:spacing w:before="40" w:after="8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color w:val="404040"/>
        </w:rPr>
        <w:t>📎</w:t>
      </w:r>
      <w:r w:rsidRPr="00221AF3">
        <w:rPr>
          <w:rFonts w:ascii="JetBrains Mono" w:hAnsi="JetBrains Mono" w:cs="JetBrains Mono"/>
          <w:color w:val="404040"/>
        </w:rPr>
        <w:t xml:space="preserve"> Correction officielle N2021 (e-qe.online) : </w:t>
      </w:r>
      <w:hyperlink r:id="rId31" w:history="1">
        <w:r w:rsidRPr="00221AF3">
          <w:rPr>
            <w:rStyle w:val="Hyperlink"/>
            <w:rFonts w:ascii="JetBrains Mono" w:hAnsi="JetBrains Mono" w:cs="JetBrains Mono"/>
          </w:rPr>
          <w:t>Ouvrir ↗</w:t>
        </w:r>
      </w:hyperlink>
    </w:p>
    <w:p w:rsidR="009C4AB4" w:rsidRPr="00221AF3" w:rsidRDefault="004C7FEE">
      <w:pPr>
        <w:spacing w:before="40" w:after="8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color w:val="404040"/>
        </w:rPr>
        <w:t>📎</w:t>
      </w:r>
      <w:r w:rsidRPr="00221AF3">
        <w:rPr>
          <w:rFonts w:ascii="JetBrains Mono" w:hAnsi="JetBrains Mono" w:cs="JetBrains Mono"/>
          <w:color w:val="404040"/>
        </w:rPr>
        <w:t xml:space="preserve"> Correction officielle R2024 (e-qe.online) : </w:t>
      </w:r>
      <w:hyperlink r:id="rId32" w:history="1">
        <w:r w:rsidRPr="00221AF3">
          <w:rPr>
            <w:rStyle w:val="Hyperlink"/>
            <w:rFonts w:ascii="JetBrains Mono" w:hAnsi="JetBrains Mono" w:cs="JetBrains Mono"/>
          </w:rPr>
          <w:t>Ouvrir ↗</w:t>
        </w:r>
      </w:hyperlink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 &amp; arguments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Vaquez = polyglobulie PRIMITIVE, mutation JAK2 positive, ÉRYTHROPOÏÉTINE (EPO) BASSE.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Arguments en faveur : hyperplaquettose, polynucléose neutrophile, splénomégalie, prurit À L'EAU (aquagénique).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Polyglobulies SECONDAIRES = EPO élevée, pas de splénomégalie ni de mutation JAK2.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PIÈGE EMBLÉMATIQUE ×6 : l'HIPPOCRATISME DIGITAL n'est PAS en faveur d'une maladie de Vaquez — il oriente vers une polyglobulie SECONDAIRE (hypoxie chronique). Question quasi identique répétée sur 6 sessions.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« hippocratisme digital » = item FAUX ×6 (N2019 Q15, R2019 Q18, N2020 Q20, N2021 Q21, R2022 Q3, Oct2024 Q23) ; prurit aquagénique ×2 (N2021 Q28, N2022 Q23).</w:t>
      </w:r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&amp; complications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Traitement : SAIGNÉES (phlébotomies) pour normaliser l'hématocrite ± hydroxyurée (cytoréduction), aspirine à faible dose.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Complications évolutives : transformation en leucémie aiguë ou myélofibrose ; risque thrombotique.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« la polyglobulie de Vaquez » ×3 (N2023 Q10, Nov2024 Q19, R2024 Q22).</w:t>
      </w:r>
    </w:p>
    <w:p w:rsidR="009C4AB4" w:rsidRPr="00221AF3" w:rsidRDefault="004C7FE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[RANG 15] HÉMOPHILIE</w:t>
      </w:r>
    </w:p>
    <w:p w:rsidR="009C4AB4" w:rsidRPr="00221AF3" w:rsidRDefault="004C7FEE">
      <w:pPr>
        <w:spacing w:before="60" w:after="60"/>
        <w:jc w:val="center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Hématologie  •  ~1,6 Q/examen  ·  19 Q au total (12 sessions, 2019→2025)</w:t>
      </w:r>
    </w:p>
    <w:p w:rsidR="009C4AB4" w:rsidRPr="00221AF3" w:rsidRDefault="004C7FEE">
      <w:pPr>
        <w:spacing w:before="40" w:after="4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</w:rPr>
        <w:t>📖</w:t>
      </w:r>
      <w:r w:rsidRPr="00221AF3">
        <w:rPr>
          <w:rFonts w:ascii="JetBrains Mono" w:hAnsi="JetBrains Mono" w:cs="JetBrains Mono"/>
          <w:i/>
          <w:iCs/>
          <w:color w:val="404040"/>
        </w:rPr>
        <w:t xml:space="preserve"> Maladie récessive liée à l'X. Sévérité : sévère &lt; 1 % · modérée 1-5 % · mineure &gt; 5 % de facteur.</w:t>
      </w:r>
    </w:p>
    <w:p w:rsidR="009C4AB4" w:rsidRPr="00221AF3" w:rsidRDefault="004C7FEE">
      <w:pPr>
        <w:spacing w:before="40" w:after="8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color w:val="404040"/>
        </w:rPr>
        <w:t>📎</w:t>
      </w:r>
      <w:r w:rsidRPr="00221AF3">
        <w:rPr>
          <w:rFonts w:ascii="JetBrains Mono" w:hAnsi="JetBrains Mono" w:cs="JetBrains Mono"/>
          <w:color w:val="404040"/>
        </w:rPr>
        <w:t xml:space="preserve"> Correction officielle N2024 (e-qe.online) : </w:t>
      </w:r>
      <w:hyperlink r:id="rId33" w:history="1">
        <w:r w:rsidRPr="00221AF3">
          <w:rPr>
            <w:rStyle w:val="Hyperlink"/>
            <w:rFonts w:ascii="JetBrains Mono" w:hAnsi="JetBrains Mono" w:cs="JetBrains Mono"/>
          </w:rPr>
          <w:t>Ouvrir ↗</w:t>
        </w:r>
      </w:hyperlink>
    </w:p>
    <w:p w:rsidR="009C4AB4" w:rsidRPr="00221AF3" w:rsidRDefault="004C7FEE">
      <w:pPr>
        <w:spacing w:before="40" w:after="8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color w:val="404040"/>
        </w:rPr>
        <w:t>📎</w:t>
      </w:r>
      <w:r w:rsidRPr="00221AF3">
        <w:rPr>
          <w:rFonts w:ascii="JetBrains Mono" w:hAnsi="JetBrains Mono" w:cs="JetBrains Mono"/>
          <w:color w:val="404040"/>
        </w:rPr>
        <w:t xml:space="preserve"> Correction officielle R2024 (e-qe.online) : </w:t>
      </w:r>
      <w:hyperlink r:id="rId34" w:history="1">
        <w:r w:rsidRPr="00221AF3">
          <w:rPr>
            <w:rStyle w:val="Hyperlink"/>
            <w:rFonts w:ascii="JetBrains Mono" w:hAnsi="JetBrains Mono" w:cs="JetBrains Mono"/>
          </w:rPr>
          <w:t>Ouvrir ↗</w:t>
        </w:r>
      </w:hyperlink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Hémophilie = déficit en facteur de la coagulation, transmission LIÉE À L'X (garçons atteints, mères conductrices).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Hémophilie A (déficit en FACTEUR VIII) plus fréquente que B (facteur IX).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Biologie : ALLONGEMENT ISOLÉ du TCA (TP/plaquettes normaux) ; au Maroc, révélation fréquente lors de la CIRCONCISION.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Manifestation typique = HÉMARTHROSES (genou, coude) répétées.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TCA allongé + TP normal + plaquettes normales = anomalie de la voie intrinsèque → doser FVIII/FIX.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« l'hémophilie A » ×3 (N2020 Q26, N2022 Q30, Nov2024 Q5) ; hémarthroses ×2 (N2024 Q9, R2024 Q14) ; hémophilie majeure ×2 (R2019 Q24, Oct2024 Q5).</w:t>
      </w:r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&amp; contre-indications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Traitement = substitution du facteur déficitaire (FVIII ou FIX) ; en urgence hémorragique, ADMINISTRER LE FACTEUR EN PREMIER.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Contre-indications ABSOLUES : aspirine, AINS, injections INTRAMUSCULAIRES, prise de température RECTALE, gestes invasifs sans couverture.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Médicaments/gestes à ne JAMAIS faire chez l'hémophile : aspirine, AINS, IM, voie rectale (piège répété ×3).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« médicament(s) à ne jamais administrer » ×3 (N2024 Q7, Nov2024 Q28, R2024 Q9) ; traitement hémophilie B ×2 (N2024 Q8, R2024 Q10).</w:t>
      </w:r>
    </w:p>
    <w:p w:rsidR="009C4AB4" w:rsidRPr="00221AF3" w:rsidRDefault="004C7FE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[RANG 16] CIVD (Coagulation Intravasculaire Disséminée)</w:t>
      </w:r>
    </w:p>
    <w:p w:rsidR="009C4AB4" w:rsidRPr="00221AF3" w:rsidRDefault="004C7FEE">
      <w:pPr>
        <w:spacing w:before="60" w:after="60"/>
        <w:jc w:val="center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Raissi — Urgences hématologiques  •  ~1,3 Q/examen  ·  16 Q au total (12 sessions, 2019→2025)</w:t>
      </w:r>
    </w:p>
    <w:p w:rsidR="009C4AB4" w:rsidRPr="00221AF3" w:rsidRDefault="004C7FEE">
      <w:pPr>
        <w:spacing w:before="40" w:after="8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color w:val="404040"/>
        </w:rPr>
        <w:t>📎</w:t>
      </w:r>
      <w:r w:rsidRPr="00221AF3">
        <w:rPr>
          <w:rFonts w:ascii="JetBrains Mono" w:hAnsi="JetBrains Mono" w:cs="JetBrains Mono"/>
          <w:color w:val="404040"/>
        </w:rPr>
        <w:t xml:space="preserve"> Correction officielle N2024 (e-qe.online) : </w:t>
      </w:r>
      <w:hyperlink r:id="rId35" w:history="1">
        <w:r w:rsidRPr="00221AF3">
          <w:rPr>
            <w:rStyle w:val="Hyperlink"/>
            <w:rFonts w:ascii="JetBrains Mono" w:hAnsi="JetBrains Mono" w:cs="JetBrains Mono"/>
          </w:rPr>
          <w:t>Ouvrir ↗</w:t>
        </w:r>
      </w:hyperlink>
    </w:p>
    <w:p w:rsidR="009C4AB4" w:rsidRPr="00221AF3" w:rsidRDefault="004C7FEE">
      <w:pPr>
        <w:spacing w:before="40" w:after="8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color w:val="404040"/>
        </w:rPr>
        <w:t>📎</w:t>
      </w:r>
      <w:r w:rsidRPr="00221AF3">
        <w:rPr>
          <w:rFonts w:ascii="JetBrains Mono" w:hAnsi="JetBrains Mono" w:cs="JetBrains Mono"/>
          <w:color w:val="404040"/>
        </w:rPr>
        <w:t xml:space="preserve"> Correction officielle R2024 (e-qe.online) : </w:t>
      </w:r>
      <w:hyperlink r:id="rId36" w:history="1">
        <w:r w:rsidRPr="00221AF3">
          <w:rPr>
            <w:rStyle w:val="Hyperlink"/>
            <w:rFonts w:ascii="JetBrains Mono" w:hAnsi="JetBrains Mono" w:cs="JetBrains Mono"/>
          </w:rPr>
          <w:t>Ouvrir ↗</w:t>
        </w:r>
      </w:hyperlink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Biologie &amp; diagnostic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CIVD = activation diffuse de la coagulation → consommation des facteurs et des plaquettes.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Profil biologique : TCA ALLONGÉ, TP/TQ DIMINUÉ, FIBRINOGÈNE BAS (consommé), D-DIMÈRES/PDF ÉLEVÉS, thrombopénie.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Le traitement essentiel = TRAITER LA CAUSE déclenchante.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Fibrinogène BAS (consommé) + D-dimères HAUTS = signature ; ne pas confondre avec une simple fibrinolyse.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CIVD fréquente dans certaines hémopathies ×4 (R2019 Q23, N2020 Q24, N2021 Q23, Oct2024 Q27).</w:t>
      </w:r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Étiologies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Hémopathie emblématique = LEUCÉMIE AIGUË PROMYÉLOCYTAIRE (LAM3) → recherche SYSTÉMATIQUE d'une CIVD.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Causes obstétricales/solides : utérus (hématome rétroplacentaire, embolie amniotique), poumon, prostate ; sepsis ; polytraumatisme.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Devant une LAM3, toujours rechercher et anticiper la CIVD (urgence).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CIVD obstétricale/LAM3 ×2 (N2024 Q4, R2024 Q5).</w:t>
      </w:r>
    </w:p>
    <w:p w:rsidR="009C4AB4" w:rsidRPr="00221AF3" w:rsidRDefault="004C7FE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[RANG 17] LES URGENCES EN ONCOLOGIE</w:t>
      </w:r>
    </w:p>
    <w:p w:rsidR="009C4AB4" w:rsidRPr="00221AF3" w:rsidRDefault="004C7FEE">
      <w:pPr>
        <w:spacing w:before="60" w:after="60"/>
        <w:jc w:val="center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El Fadli  •  ~1,0 Q/examen  ·  12 Q au total (12 sessions, 2019→2025)</w:t>
      </w:r>
    </w:p>
    <w:p w:rsidR="009C4AB4" w:rsidRPr="00221AF3" w:rsidRDefault="004C7FEE">
      <w:pPr>
        <w:spacing w:before="40" w:after="8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color w:val="404040"/>
        </w:rPr>
        <w:t>📎</w:t>
      </w:r>
      <w:r w:rsidRPr="00221AF3">
        <w:rPr>
          <w:rFonts w:ascii="JetBrains Mono" w:hAnsi="JetBrains Mono" w:cs="JetBrains Mono"/>
          <w:color w:val="404040"/>
        </w:rPr>
        <w:t xml:space="preserve"> Correction officielle N2025 (e-qe.online) : </w:t>
      </w:r>
      <w:hyperlink r:id="rId37" w:history="1">
        <w:r w:rsidRPr="00221AF3">
          <w:rPr>
            <w:rStyle w:val="Hyperlink"/>
            <w:rFonts w:ascii="JetBrains Mono" w:hAnsi="JetBrains Mono" w:cs="JetBrains Mono"/>
          </w:rPr>
          <w:t>Ouvrir ↗</w:t>
        </w:r>
      </w:hyperlink>
    </w:p>
    <w:p w:rsidR="009C4AB4" w:rsidRPr="00221AF3" w:rsidRDefault="004C7FEE">
      <w:pPr>
        <w:spacing w:before="40" w:after="8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color w:val="404040"/>
        </w:rPr>
        <w:lastRenderedPageBreak/>
        <w:t>📎</w:t>
      </w:r>
      <w:r w:rsidRPr="00221AF3">
        <w:rPr>
          <w:rFonts w:ascii="JetBrains Mono" w:hAnsi="JetBrains Mono" w:cs="JetBrains Mono"/>
          <w:color w:val="404040"/>
        </w:rPr>
        <w:t xml:space="preserve"> Correction officielle N2024 (e-qe.online) : </w:t>
      </w:r>
      <w:hyperlink r:id="rId38" w:history="1">
        <w:r w:rsidRPr="00221AF3">
          <w:rPr>
            <w:rStyle w:val="Hyperlink"/>
            <w:rFonts w:ascii="JetBrains Mono" w:hAnsi="JetBrains Mono" w:cs="JetBrains Mono"/>
          </w:rPr>
          <w:t>Ouvrir ↗</w:t>
        </w:r>
      </w:hyperlink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Urgences fréquentes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NEUTROPÉNIE FÉBRILE : PNN &lt; 500/mm³ + fièvre ≥ 38,3 °C → antibiothérapie à large spectre URGENTE (anti-BGN, ± anti-Pseudomonas).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SYNDROME DE LYSE TUMORALE : hyperkaliémie, hyperuricémie, hyperphosphorémie, HYPOcalcémie → hyperhydratation + hypo-uricémiant (rasburicase/allopurinol).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Autres : compression médullaire, syndrome cave supérieur, hypercalcémie maligne, leucostase, HTIC.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Neutropénie fébrile = URGENCE : antibiothérapie probabiliste sans attendre les résultats microbiologiques.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urgences oncologiques — N2023 Q50, N2024 Q49-50, N2025 Q11-13 &amp; Q37.</w:t>
      </w:r>
    </w:p>
    <w:p w:rsidR="009C4AB4" w:rsidRPr="00221AF3" w:rsidRDefault="004C7FE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[RANG 18] TRANSVERSAL — RECONNAISSANCE HÉMATOLOGIQUE</w:t>
      </w:r>
    </w:p>
    <w:p w:rsidR="009C4AB4" w:rsidRPr="00221AF3" w:rsidRDefault="004C7FEE">
      <w:pPr>
        <w:spacing w:before="60" w:after="60"/>
        <w:jc w:val="center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~0,8 Q/examen  ·  10 Q au total (12 sessions, 2019→2025)</w:t>
      </w:r>
    </w:p>
    <w:p w:rsidR="009C4AB4" w:rsidRPr="00221AF3" w:rsidRDefault="004C7FEE">
      <w:pPr>
        <w:spacing w:before="40" w:after="8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color w:val="404040"/>
        </w:rPr>
        <w:t>📎</w:t>
      </w:r>
      <w:r w:rsidRPr="00221AF3">
        <w:rPr>
          <w:rFonts w:ascii="JetBrains Mono" w:hAnsi="JetBrains Mono" w:cs="JetBrains Mono"/>
          <w:color w:val="404040"/>
        </w:rPr>
        <w:t xml:space="preserve"> Correction officielle N2024 (e-qe.online) : </w:t>
      </w:r>
      <w:hyperlink r:id="rId39" w:history="1">
        <w:r w:rsidRPr="00221AF3">
          <w:rPr>
            <w:rStyle w:val="Hyperlink"/>
            <w:rFonts w:ascii="JetBrains Mono" w:hAnsi="JetBrains Mono" w:cs="JetBrains Mono"/>
          </w:rPr>
          <w:t>Ouvrir ↗</w:t>
        </w:r>
      </w:hyperlink>
    </w:p>
    <w:p w:rsidR="009C4AB4" w:rsidRPr="00221AF3" w:rsidRDefault="004C7FEE">
      <w:pPr>
        <w:spacing w:before="40" w:after="8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color w:val="404040"/>
        </w:rPr>
        <w:t>📎</w:t>
      </w:r>
      <w:r w:rsidRPr="00221AF3">
        <w:rPr>
          <w:rFonts w:ascii="JetBrains Mono" w:hAnsi="JetBrains Mono" w:cs="JetBrains Mono"/>
          <w:color w:val="404040"/>
        </w:rPr>
        <w:t xml:space="preserve"> Correction officielle N2023 (e-qe.online) : </w:t>
      </w:r>
      <w:hyperlink r:id="rId40" w:history="1">
        <w:r w:rsidRPr="00221AF3">
          <w:rPr>
            <w:rStyle w:val="Hyperlink"/>
            <w:rFonts w:ascii="JetBrains Mono" w:hAnsi="JetBrains Mono" w:cs="JetBrains Mono"/>
          </w:rPr>
          <w:t>Ouvrir ↗</w:t>
        </w:r>
      </w:hyperlink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Questions de reconnaissance / d'élimination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Reliquat de questions transversales recoupant plusieurs cours (associations pathologie ↔ signe/examen, items « dans quelle pathologie on n'observe jamais… »).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Réviser surtout les associations exclusives : adénopathies (présentes dans LLC/lymphomes, absentes dans certaines pathologies), syndrome de Richter ↔ LLC.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Ces items « jamais/toujours » sont très discriminants : raisonner par élimination.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« dans quelle pathologie on n'observe jamais d'adénopathies » ×3 (N2019 Q27, R2022 Q16, Oct2024 Q4) ; Richter ↔ LLC ×4.</w:t>
      </w:r>
    </w:p>
    <w:p w:rsidR="009C4AB4" w:rsidRPr="00221AF3" w:rsidRDefault="004C7FEE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[RANG 19] DIAGNOSTIC ET BILAN D'EXTENSION DES CANCERS</w:t>
      </w:r>
    </w:p>
    <w:p w:rsidR="009C4AB4" w:rsidRPr="00221AF3" w:rsidRDefault="004C7FEE">
      <w:pPr>
        <w:spacing w:before="60" w:after="60"/>
        <w:jc w:val="center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El Fadli  •  ~0,8 Q/examen  ·  9 Q au total (12 sessions, 2019→2025)</w:t>
      </w:r>
    </w:p>
    <w:p w:rsidR="009C4AB4" w:rsidRPr="00221AF3" w:rsidRDefault="004C7FEE">
      <w:pPr>
        <w:spacing w:before="40" w:after="8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color w:val="404040"/>
        </w:rPr>
        <w:t>📎</w:t>
      </w:r>
      <w:r w:rsidRPr="00221AF3">
        <w:rPr>
          <w:rFonts w:ascii="JetBrains Mono" w:hAnsi="JetBrains Mono" w:cs="JetBrains Mono"/>
          <w:color w:val="404040"/>
        </w:rPr>
        <w:t xml:space="preserve"> Correction officielle N2024 (e-qe.online) : </w:t>
      </w:r>
      <w:hyperlink r:id="rId41" w:history="1">
        <w:r w:rsidRPr="00221AF3">
          <w:rPr>
            <w:rStyle w:val="Hyperlink"/>
            <w:rFonts w:ascii="JetBrains Mono" w:hAnsi="JetBrains Mono" w:cs="JetBrains Mono"/>
          </w:rPr>
          <w:t>Ouvrir ↗</w:t>
        </w:r>
      </w:hyperlink>
    </w:p>
    <w:p w:rsidR="009C4AB4" w:rsidRPr="00221AF3" w:rsidRDefault="004C7FEE">
      <w:pPr>
        <w:spacing w:before="40" w:after="80"/>
        <w:jc w:val="center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color w:val="404040"/>
        </w:rPr>
        <w:t>📎</w:t>
      </w:r>
      <w:r w:rsidRPr="00221AF3">
        <w:rPr>
          <w:rFonts w:ascii="JetBrains Mono" w:hAnsi="JetBrains Mono" w:cs="JetBrains Mono"/>
          <w:color w:val="404040"/>
        </w:rPr>
        <w:t xml:space="preserve"> Correction officielle R2024 (e-qe.online) : </w:t>
      </w:r>
      <w:hyperlink r:id="rId42" w:history="1">
        <w:r w:rsidRPr="00221AF3">
          <w:rPr>
            <w:rStyle w:val="Hyperlink"/>
            <w:rFonts w:ascii="JetBrains Mono" w:hAnsi="JetBrains Mono" w:cs="JetBrains Mono"/>
          </w:rPr>
          <w:t>Ouvrir ↗</w:t>
        </w:r>
      </w:hyperlink>
    </w:p>
    <w:p w:rsidR="009C4AB4" w:rsidRPr="00221AF3" w:rsidRDefault="004C7FEE">
      <w:pPr>
        <w:spacing w:before="1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Imagerie du bilan d'extension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TEP-SCAN (tomographie par émission de positons) : haute sensibilité pour les atteintes ganglionnaires et les métastases à distance (ex. cancer bronchique).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TDM thoraco-abdomino-pelvienne = bilan d'extension de base ; IRM pour cerveau/pelvis/moelle.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La cellule cancéreuse se définit par : prolifération incontrôlée, perte de la régulation, capacité d'invasion/métastase.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TEP = sensibilité élevée mais pièges de faux positifs inflammatoires — corrélation au contexte.</w:t>
      </w:r>
    </w:p>
    <w:p w:rsidR="009C4AB4" w:rsidRPr="00221AF3" w:rsidRDefault="004C7FEE">
      <w:pPr>
        <w:spacing w:before="20" w:after="60"/>
        <w:rPr>
          <w:rFonts w:ascii="JetBrains Mono" w:hAnsi="JetBrains Mono" w:cs="JetBrains Mono"/>
        </w:rPr>
      </w:pPr>
      <w:r w:rsidRPr="00221A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21A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TEP ×3 (N2020 Q45, N2022 Q37, R2024 Q36) ; TDM ×2 (R2019 Q50, R2022 Q35).</w:t>
      </w:r>
    </w:p>
    <w:p w:rsidR="009C4AB4" w:rsidRPr="00221AF3" w:rsidRDefault="004C7FEE">
      <w:pPr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br w:type="page"/>
      </w:r>
    </w:p>
    <w:p w:rsidR="009C4AB4" w:rsidRPr="00221AF3" w:rsidRDefault="004C7FEE">
      <w:pPr>
        <w:pBdr>
          <w:top w:val="single" w:sz="8" w:space="0" w:color="991B1B"/>
          <w:bottom w:val="single" w:sz="8" w:space="0" w:color="991B1B"/>
        </w:pBdr>
        <w:shd w:val="clear" w:color="auto" w:fill="991B1B"/>
        <w:spacing w:before="240" w:after="120"/>
        <w:jc w:val="center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4 — TOPICS HORS LEÇONS OFFICIELLES 2026 (COURS ANNULÉ)</w:t>
      </w:r>
    </w:p>
    <w:p w:rsidR="009C4AB4" w:rsidRPr="00221AF3" w:rsidRDefault="004C7FEE">
      <w:pPr>
        <w:pBdr>
          <w:top w:val="single" w:sz="16" w:space="0" w:color="991B1B"/>
          <w:left w:val="single" w:sz="16" w:space="0" w:color="991B1B"/>
          <w:bottom w:val="single" w:sz="16" w:space="0" w:color="991B1B"/>
          <w:right w:val="single" w:sz="16" w:space="0" w:color="991B1B"/>
        </w:pBdr>
        <w:shd w:val="clear" w:color="auto" w:fill="FEF2F2"/>
        <w:spacing w:before="200" w:after="80"/>
        <w:jc w:val="center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991B1B"/>
          <w:sz w:val="26"/>
          <w:szCs w:val="26"/>
        </w:rPr>
        <w:t>⚠ DISCLAIMER — À LIRE AVANT D'UTILISER CETTE SECTION ⚠</w:t>
      </w:r>
    </w:p>
    <w:p w:rsidR="009C4AB4" w:rsidRPr="00221AF3" w:rsidRDefault="004C7FEE">
      <w:pPr>
        <w:spacing w:before="60" w:after="60"/>
        <w:jc w:val="center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991B1B"/>
          <w:sz w:val="22"/>
          <w:szCs w:val="22"/>
        </w:rPr>
        <w:t>These lessons are NOT in the 2026 exam program.</w:t>
      </w:r>
    </w:p>
    <w:p w:rsidR="009C4AB4" w:rsidRPr="00221AF3" w:rsidRDefault="004C7FEE">
      <w:pPr>
        <w:spacing w:before="60" w:after="60"/>
        <w:jc w:val="center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991B1B"/>
          <w:sz w:val="22"/>
          <w:szCs w:val="22"/>
        </w:rPr>
        <w:t>Cours annulé — NOT officially scheduled.</w:t>
      </w:r>
    </w:p>
    <w:p w:rsidR="009C4AB4" w:rsidRPr="00221AF3" w:rsidRDefault="004C7FEE">
      <w:pPr>
        <w:spacing w:before="80" w:after="120"/>
        <w:jc w:val="center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991B1B"/>
          <w:sz w:val="24"/>
          <w:szCs w:val="24"/>
        </w:rPr>
        <w:t>USE AT YOUR OWN RISK — BUT GOOD TO KNOW.</w:t>
      </w:r>
    </w:p>
    <w:p w:rsidR="009C4AB4" w:rsidRPr="00221AF3" w:rsidRDefault="004C7FEE">
      <w:pPr>
        <w:spacing w:before="12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i/>
          <w:iCs/>
          <w:color w:val="000000"/>
        </w:rPr>
        <w:t>Ces topics représentaient historiquement ~0% des questions des examens passés. S'ils ne sont PAS au programme cette année, ils peuvent malgré tout :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Apparaître en question résiduelle ou rattrapage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Être recyclés à la dernière minute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Servir de "culture générale" médicale</w:t>
      </w:r>
    </w:p>
    <w:p w:rsidR="009C4AB4" w:rsidRPr="00221AF3" w:rsidRDefault="004C7FEE">
      <w:pPr>
        <w:spacing w:before="200" w:after="60"/>
        <w:jc w:val="center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i/>
          <w:iCs/>
          <w:color w:val="404040"/>
        </w:rPr>
        <w:t>(Aucun topic hors programme — tous les topics correspondent aux leçons officielles cette année.)</w:t>
      </w:r>
    </w:p>
    <w:p w:rsidR="009C4AB4" w:rsidRPr="00221AF3" w:rsidRDefault="004C7FEE">
      <w:pPr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br w:type="page"/>
      </w:r>
    </w:p>
    <w:p w:rsidR="009C4AB4" w:rsidRPr="00221AF3" w:rsidRDefault="004C7FEE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AIDE-MÉMOIRE FINAL — HIGH-YIELD CONCOURS HÉMATOLOGIE-ONCOLOGIE</w:t>
      </w:r>
    </w:p>
    <w:p w:rsidR="009C4AB4" w:rsidRPr="00221AF3" w:rsidRDefault="004C7FEE">
      <w:pPr>
        <w:pStyle w:val="Heading2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** CLASSIFICATIONS &amp; SCORES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C4AB4" w:rsidRPr="00221AF3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Ann Arbor (I-IV ± A/B)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Lymphomes (Hodgkin &amp; LMNH) — principal pronostic</w:t>
            </w:r>
          </w:p>
        </w:tc>
      </w:tr>
      <w:tr w:rsidR="009C4AB4" w:rsidRPr="00221AF3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Binet (A / B / C)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Leucémie lymphoïde chronique (LLC) — stade A = abstention</w:t>
            </w:r>
          </w:p>
        </w:tc>
      </w:tr>
      <w:tr w:rsidR="009C4AB4" w:rsidRPr="00221AF3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CRAB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Myélome : hyperCalcémie · Rénal · Anémie · Bone (os)</w:t>
            </w:r>
          </w:p>
        </w:tc>
      </w:tr>
      <w:tr w:rsidR="009C4AB4" w:rsidRPr="00221AF3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Sévérité hémophilie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Sévère &lt;1 % · Modérée 1-5 % · Mineure &gt;5 % de facteur</w:t>
            </w:r>
          </w:p>
        </w:tc>
      </w:tr>
      <w:tr w:rsidR="009C4AB4" w:rsidRPr="00221AF3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Paliers OMS (I-II-III)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Douleur cancéreuse : non-opioïde → opioïde faible → fort</w:t>
            </w:r>
          </w:p>
        </w:tc>
      </w:tr>
      <w:tr w:rsidR="009C4AB4" w:rsidRPr="00221AF3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LA = ≥ 20 % blastes (OMS)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Seuil diagnostique de leucémie aiguë au myélogramme</w:t>
            </w:r>
          </w:p>
        </w:tc>
      </w:tr>
    </w:tbl>
    <w:p w:rsidR="009C4AB4" w:rsidRPr="00221AF3" w:rsidRDefault="004C7FEE">
      <w:pPr>
        <w:pStyle w:val="Heading2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** MARQUEURS / CIBLES MOLÉCULAIRES CLÉS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9C4AB4" w:rsidRPr="00221AF3">
        <w:trPr>
          <w:tblHeader/>
        </w:trPr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Marqueur / Critère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Indication</w:t>
            </w:r>
          </w:p>
        </w:tc>
      </w:tr>
      <w:tr w:rsidR="009C4AB4" w:rsidRPr="00221AF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BCR-ABL — t(9;22), chromosome Philadelphie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LMC → inhibiteurs de tyrosine kinase (imatinib)</w:t>
            </w:r>
          </w:p>
        </w:tc>
      </w:tr>
      <w:tr w:rsidR="009C4AB4" w:rsidRPr="00221AF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JAK2 V617F + EPO BASSE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Maladie de Vaquez (SMP Ph-négatif)</w:t>
            </w:r>
          </w:p>
        </w:tc>
      </w:tr>
      <w:tr w:rsidR="009C4AB4" w:rsidRPr="00221AF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Reed-Sternberg CD30+ / CD15+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Lymphome de Hodgkin</w:t>
            </w:r>
          </w:p>
        </w:tc>
      </w:tr>
      <w:tr w:rsidR="009C4AB4" w:rsidRPr="00221AF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HER2 → trastuzumab/pertuzumab (-mab, IV)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Cancer du sein HER2+</w:t>
            </w:r>
          </w:p>
        </w:tc>
      </w:tr>
      <w:tr w:rsidR="009C4AB4" w:rsidRPr="00221AF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EGFR → cetuximab/panitumumab (-mab)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Toxicité CUTANÉE caractéristique</w:t>
            </w:r>
          </w:p>
        </w:tc>
      </w:tr>
      <w:tr w:rsidR="009C4AB4" w:rsidRPr="00221AF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VEGF → bevacizumab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Antiangiogénique</w:t>
            </w:r>
          </w:p>
        </w:tc>
      </w:tr>
      <w:tr w:rsidR="009C4AB4" w:rsidRPr="00221AF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-mab = anticorps monoclonal (IV) · -nib = petite molécule (orale)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Règle de nomenclature des thérapies ciblées</w:t>
            </w:r>
          </w:p>
        </w:tc>
      </w:tr>
      <w:tr w:rsidR="009C4AB4" w:rsidRPr="00221AF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Électrophorèse de l'hémoglobine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Diagnostic des drépanocytoses &amp; thalassémies</w:t>
            </w:r>
          </w:p>
        </w:tc>
      </w:tr>
      <w:tr w:rsidR="009C4AB4" w:rsidRPr="00221AF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Plasmocytes dystrophiques (myélogramme)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Myélome multiple (Kahler)</w:t>
            </w:r>
          </w:p>
        </w:tc>
      </w:tr>
      <w:tr w:rsidR="009C4AB4" w:rsidRPr="00221AF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Biopsie ostéo-médullaire (BOM)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4AB4" w:rsidRPr="00221AF3" w:rsidRDefault="004C7FEE">
            <w:pPr>
              <w:rPr>
                <w:rFonts w:ascii="JetBrains Mono" w:hAnsi="JetBrains Mono" w:cs="JetBrains Mono"/>
              </w:rPr>
            </w:pPr>
            <w:r w:rsidRPr="00221A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Certitude de l'aplasie médullaire</w:t>
            </w:r>
          </w:p>
        </w:tc>
      </w:tr>
    </w:tbl>
    <w:p w:rsidR="009C4AB4" w:rsidRPr="00221AF3" w:rsidRDefault="004C7FEE">
      <w:pPr>
        <w:pStyle w:val="Heading2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** PIÈGES CLASSIQUES (items récurrents FAUX) **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Hippocratisme digital → PAS Vaquez (= polyglobulie secondaire/hypoxie). Répété ×6.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Hémarthrose → PAS le PTI (= hémophilie). Le PTI donne un purpura cutanéo-muqueux. ×4.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Crise vaso-occlusive / pied-main → PAS thalassémie (= drépanocytose). ×5.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Atteinte splénique du Hodgkin → ne fait PAS passer au stade IV (rate = territoire ganglionnaire).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Myélome : pas de signe radiologique « spécifique » (lacunes à l'emporte-pièce = caractéristiques, non spécifiques). ×4.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Aplasie médullaire : certitude = BIOPSIE médullaire, pas le myélogramme seul. ×5.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Simulateur de radiothérapie = imagerie/repérage, n'irradie pas à visée curative. ×5.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PFC : qualifications = viro-inactivé + sécurisé (ni phénotypé, ni irradié, ni d'aphérèse). ×5.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Panitumumab = anti-EGFR (et non anti-HER2 comme l'affirme à tort l'énoncé Nov2024 Q49).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21AF3">
        <w:rPr>
          <w:rFonts w:ascii="JetBrains Mono" w:hAnsi="JetBrains Mono" w:cs="JetBrains Mono"/>
          <w:i/>
          <w:iCs/>
          <w:color w:val="B45309"/>
        </w:rPr>
        <w:t>Cas-témoins → odds ratio ; cohorte → risque relatif/incidence. Ne pas inverser.</w:t>
      </w:r>
    </w:p>
    <w:p w:rsidR="009C4AB4" w:rsidRPr="00221AF3" w:rsidRDefault="004C7FEE">
      <w:pPr>
        <w:pStyle w:val="Heading2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** SÉQUENCES &amp; RÉFLEXES **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Microcytaire hypochrome → ferritine (1er) ; arrêt du fer à la normalisation de la ferritine.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Macrocytaire arégénérative + signes neuro → B12 ; confirmation par dosage ; traitement à vie (Biermer).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Syndrome de lyse tumorale = K↑ · acide urique↑ · phosphore↑ · calcium↓ → hyperhydratation + rasburicase.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Neutropénie fébrile (PNN&lt;500 + ≥38,3 °C) → antibiothérapie large spectre immédiate.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CIVD = TP↓ · TCA↑ · fibrinogène↓ · D-dimères↑ → traiter la cause ; rechercher devant toute LAM3.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Agoniste LH-RH → risque flare-up → couvrir par anti-androgène (bicalutamide) au démarrage.</w:t>
      </w:r>
    </w:p>
    <w:p w:rsidR="009C4AB4" w:rsidRPr="00221AF3" w:rsidRDefault="004C7FEE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</w:rPr>
        <w:t>Hémophilie en urgence hémorragique → administrer le facteur déficitaire EN PREMIER ; jamais d'aspirine/AINS/IM.</w:t>
      </w:r>
    </w:p>
    <w:p w:rsidR="009C4AB4" w:rsidRPr="00221AF3" w:rsidRDefault="004C7FEE">
      <w:pPr>
        <w:spacing w:before="24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color w:val="000000"/>
        </w:rPr>
        <w:t xml:space="preserve"> </w:t>
      </w:r>
    </w:p>
    <w:p w:rsidR="009C4AB4" w:rsidRPr="00221AF3" w:rsidRDefault="009C4AB4">
      <w:pPr>
        <w:pBdr>
          <w:top w:val="double" w:sz="8" w:space="4" w:color="1F3A5F"/>
        </w:pBdr>
        <w:rPr>
          <w:rFonts w:ascii="JetBrains Mono" w:hAnsi="JetBrains Mono" w:cs="JetBrains Mono"/>
        </w:rPr>
      </w:pPr>
    </w:p>
    <w:p w:rsidR="009C4AB4" w:rsidRPr="00221AF3" w:rsidRDefault="004C7FEE">
      <w:pPr>
        <w:spacing w:before="60" w:after="60"/>
        <w:jc w:val="center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i/>
          <w:iCs/>
          <w:color w:val="000000"/>
          <w:sz w:val="18"/>
          <w:szCs w:val="18"/>
        </w:rPr>
        <w:t>Généré par Claude.ai (Claude (Opus)) — Version 1</w:t>
      </w:r>
    </w:p>
    <w:p w:rsidR="009C4AB4" w:rsidRPr="00221AF3" w:rsidRDefault="004C7FEE">
      <w:pPr>
        <w:spacing w:before="60" w:after="60"/>
        <w:jc w:val="center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i/>
          <w:iCs/>
          <w:color w:val="000000"/>
          <w:sz w:val="18"/>
          <w:szCs w:val="18"/>
        </w:rPr>
        <w:t>Cross-match 600 QEs officielles × Cours AIO Hémato (614 p.) + Onco (659 p.)</w:t>
      </w:r>
    </w:p>
    <w:p w:rsidR="009C4AB4" w:rsidRPr="00221AF3" w:rsidRDefault="004C7FEE">
      <w:pPr>
        <w:spacing w:before="60" w:after="60"/>
        <w:jc w:val="center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i/>
          <w:iCs/>
          <w:color w:val="000000"/>
          <w:sz w:val="18"/>
          <w:szCs w:val="18"/>
        </w:rPr>
        <w:t>Pr Raissi · Pr Lahlimi · Pr El Fadli · Pr El Omrani · Pr Essadi — FMPM</w:t>
      </w:r>
    </w:p>
    <w:p w:rsidR="009C4AB4" w:rsidRPr="00221AF3" w:rsidRDefault="004C7FEE">
      <w:pPr>
        <w:spacing w:before="20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b/>
          <w:bCs/>
          <w:color w:val="065F46"/>
        </w:rPr>
        <w:t>Améliorations Version 1 :</w:t>
      </w:r>
    </w:p>
    <w:p w:rsidR="009C4AB4" w:rsidRPr="00221AF3" w:rsidRDefault="004C7FEE">
      <w:pPr>
        <w:spacing w:before="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color w:val="065F46"/>
          <w:sz w:val="18"/>
          <w:szCs w:val="18"/>
        </w:rPr>
        <w:t>✓ 600/600 QE analysées sur 12 sessions (Normal 2019 → Normal 2025).</w:t>
      </w:r>
    </w:p>
    <w:p w:rsidR="009C4AB4" w:rsidRPr="00221AF3" w:rsidRDefault="004C7FEE">
      <w:pPr>
        <w:spacing w:before="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color w:val="065F46"/>
          <w:sz w:val="18"/>
          <w:szCs w:val="18"/>
        </w:rPr>
        <w:t>✓ Session « Octobre 2024 » : énoncés présents mais SANS corrigé officiel dans la source (correction collective non transcrite) — réponses validées sur le cours AIO / EBM, jamais inventées.</w:t>
      </w:r>
    </w:p>
    <w:p w:rsidR="009C4AB4" w:rsidRPr="00221AF3" w:rsidRDefault="004C7FEE">
      <w:pPr>
        <w:spacing w:before="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color w:val="065F46"/>
          <w:sz w:val="18"/>
          <w:szCs w:val="18"/>
        </w:rPr>
        <w:t>✓ Les 65 « questions inclassifiables » ont été redistribuées dans leur cours d'origine + une section transversale résiduelle (reconnaissance hématologique).</w:t>
      </w:r>
    </w:p>
    <w:p w:rsidR="009C4AB4" w:rsidRPr="00221AF3" w:rsidRDefault="004C7FEE">
      <w:pPr>
        <w:spacing w:before="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color w:val="065F46"/>
          <w:sz w:val="18"/>
          <w:szCs w:val="18"/>
        </w:rPr>
        <w:t>✓ PARTIE 3 strictement par rang de fréquence ; déduplication des questions répétées ; FAUX explicites (⚠).</w:t>
      </w:r>
    </w:p>
    <w:p w:rsidR="009C4AB4" w:rsidRPr="00221AF3" w:rsidRDefault="004C7FEE">
      <w:pPr>
        <w:spacing w:before="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color w:val="065F46"/>
          <w:sz w:val="18"/>
          <w:szCs w:val="18"/>
        </w:rPr>
        <w:t>✓ Contradictions inter-sessions signalées (ex. B12 orale vs parentérale N2024 vs R2024 ; sens de l'hémolyse ABO).</w:t>
      </w:r>
    </w:p>
    <w:p w:rsidR="009C4AB4" w:rsidRPr="00221AF3" w:rsidRDefault="004C7FEE">
      <w:pPr>
        <w:spacing w:before="60" w:after="60"/>
        <w:rPr>
          <w:rFonts w:ascii="JetBrains Mono" w:hAnsi="JetBrains Mono" w:cs="JetBrains Mono"/>
        </w:rPr>
      </w:pPr>
      <w:r w:rsidRPr="00221AF3">
        <w:rPr>
          <w:rFonts w:ascii="JetBrains Mono" w:hAnsi="JetBrains Mono" w:cs="JetBrains Mono"/>
          <w:color w:val="065F46"/>
          <w:sz w:val="18"/>
          <w:szCs w:val="18"/>
        </w:rPr>
        <w:lastRenderedPageBreak/>
        <w:t>✓ Corrigés-source : 12 examens corrigés e-qe.online (2019-2025) — liens fournis dans le chat.</w:t>
      </w:r>
      <w:bookmarkEnd w:id="0"/>
    </w:p>
    <w:sectPr w:rsidR="009C4AB4" w:rsidRPr="00221AF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2F211C"/>
    <w:multiLevelType w:val="hybridMultilevel"/>
    <w:tmpl w:val="C42EB28C"/>
    <w:lvl w:ilvl="0" w:tplc="342CC914">
      <w:start w:val="1"/>
      <w:numFmt w:val="bullet"/>
      <w:lvlText w:val="•"/>
      <w:lvlJc w:val="left"/>
      <w:pPr>
        <w:ind w:left="720" w:hanging="360"/>
      </w:pPr>
    </w:lvl>
    <w:lvl w:ilvl="1" w:tplc="A066FC3C">
      <w:numFmt w:val="decimal"/>
      <w:lvlText w:val=""/>
      <w:lvlJc w:val="left"/>
    </w:lvl>
    <w:lvl w:ilvl="2" w:tplc="17C073E0">
      <w:numFmt w:val="decimal"/>
      <w:lvlText w:val=""/>
      <w:lvlJc w:val="left"/>
    </w:lvl>
    <w:lvl w:ilvl="3" w:tplc="DC880C64">
      <w:numFmt w:val="decimal"/>
      <w:lvlText w:val=""/>
      <w:lvlJc w:val="left"/>
    </w:lvl>
    <w:lvl w:ilvl="4" w:tplc="C72679BC">
      <w:numFmt w:val="decimal"/>
      <w:lvlText w:val=""/>
      <w:lvlJc w:val="left"/>
    </w:lvl>
    <w:lvl w:ilvl="5" w:tplc="8118DFB2">
      <w:numFmt w:val="decimal"/>
      <w:lvlText w:val=""/>
      <w:lvlJc w:val="left"/>
    </w:lvl>
    <w:lvl w:ilvl="6" w:tplc="70886E6C">
      <w:numFmt w:val="decimal"/>
      <w:lvlText w:val=""/>
      <w:lvlJc w:val="left"/>
    </w:lvl>
    <w:lvl w:ilvl="7" w:tplc="C394A14A">
      <w:numFmt w:val="decimal"/>
      <w:lvlText w:val=""/>
      <w:lvlJc w:val="left"/>
    </w:lvl>
    <w:lvl w:ilvl="8" w:tplc="28360B00">
      <w:numFmt w:val="decimal"/>
      <w:lvlText w:val=""/>
      <w:lvlJc w:val="left"/>
    </w:lvl>
  </w:abstractNum>
  <w:abstractNum w:abstractNumId="1" w15:restartNumberingAfterBreak="0">
    <w:nsid w:val="7C4F3E89"/>
    <w:multiLevelType w:val="hybridMultilevel"/>
    <w:tmpl w:val="7966E43E"/>
    <w:lvl w:ilvl="0" w:tplc="A16E87B0">
      <w:start w:val="1"/>
      <w:numFmt w:val="bullet"/>
      <w:lvlText w:val="●"/>
      <w:lvlJc w:val="left"/>
      <w:pPr>
        <w:ind w:left="720" w:hanging="360"/>
      </w:pPr>
    </w:lvl>
    <w:lvl w:ilvl="1" w:tplc="CFCA2AC8">
      <w:start w:val="1"/>
      <w:numFmt w:val="bullet"/>
      <w:lvlText w:val="○"/>
      <w:lvlJc w:val="left"/>
      <w:pPr>
        <w:ind w:left="1440" w:hanging="360"/>
      </w:pPr>
    </w:lvl>
    <w:lvl w:ilvl="2" w:tplc="B0DEBDFE">
      <w:start w:val="1"/>
      <w:numFmt w:val="bullet"/>
      <w:lvlText w:val="■"/>
      <w:lvlJc w:val="left"/>
      <w:pPr>
        <w:ind w:left="2160" w:hanging="360"/>
      </w:pPr>
    </w:lvl>
    <w:lvl w:ilvl="3" w:tplc="56C2D7AA">
      <w:start w:val="1"/>
      <w:numFmt w:val="bullet"/>
      <w:lvlText w:val="●"/>
      <w:lvlJc w:val="left"/>
      <w:pPr>
        <w:ind w:left="2880" w:hanging="360"/>
      </w:pPr>
    </w:lvl>
    <w:lvl w:ilvl="4" w:tplc="43209640">
      <w:start w:val="1"/>
      <w:numFmt w:val="bullet"/>
      <w:lvlText w:val="○"/>
      <w:lvlJc w:val="left"/>
      <w:pPr>
        <w:ind w:left="3600" w:hanging="360"/>
      </w:pPr>
    </w:lvl>
    <w:lvl w:ilvl="5" w:tplc="8F0C5F16">
      <w:start w:val="1"/>
      <w:numFmt w:val="bullet"/>
      <w:lvlText w:val="■"/>
      <w:lvlJc w:val="left"/>
      <w:pPr>
        <w:ind w:left="4320" w:hanging="360"/>
      </w:pPr>
    </w:lvl>
    <w:lvl w:ilvl="6" w:tplc="3412E770">
      <w:start w:val="1"/>
      <w:numFmt w:val="bullet"/>
      <w:lvlText w:val="●"/>
      <w:lvlJc w:val="left"/>
      <w:pPr>
        <w:ind w:left="5040" w:hanging="360"/>
      </w:pPr>
    </w:lvl>
    <w:lvl w:ilvl="7" w:tplc="5AF4BE06">
      <w:start w:val="1"/>
      <w:numFmt w:val="bullet"/>
      <w:lvlText w:val="●"/>
      <w:lvlJc w:val="left"/>
      <w:pPr>
        <w:ind w:left="5760" w:hanging="360"/>
      </w:pPr>
    </w:lvl>
    <w:lvl w:ilvl="8" w:tplc="9FEA63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AB4"/>
    <w:rsid w:val="00221AF3"/>
    <w:rsid w:val="004C7FEE"/>
    <w:rsid w:val="009C4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30FFD6A-158E-4DA6-8060-C3716178C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8B0000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-qe.online/exam/63e024c9-9ca5-4b23-a387-5478fdec6c46" TargetMode="External"/><Relationship Id="rId13" Type="http://schemas.openxmlformats.org/officeDocument/2006/relationships/hyperlink" Target="https://www.e-qe.online/exam/73f18a54-1efd-4d52-9293-247853fdd76b" TargetMode="External"/><Relationship Id="rId18" Type="http://schemas.openxmlformats.org/officeDocument/2006/relationships/hyperlink" Target="https://www.e-qe.online/exam/016b710e-639f-4150-b6a3-471afdf07e01" TargetMode="External"/><Relationship Id="rId26" Type="http://schemas.openxmlformats.org/officeDocument/2006/relationships/hyperlink" Target="https://www.e-qe.online/exam/60717d3a-490c-43f7-b101-c8cfa9202403" TargetMode="External"/><Relationship Id="rId39" Type="http://schemas.openxmlformats.org/officeDocument/2006/relationships/hyperlink" Target="https://www.e-qe.online/exam/5fcacd0a-ec53-4cca-abac-8bb4e0b71a37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e-qe.online/exam/5fcacd0a-ec53-4cca-abac-8bb4e0b71a37" TargetMode="External"/><Relationship Id="rId34" Type="http://schemas.openxmlformats.org/officeDocument/2006/relationships/hyperlink" Target="https://www.e-qe.online/exam/016b710e-639f-4150-b6a3-471afdf07e01" TargetMode="External"/><Relationship Id="rId42" Type="http://schemas.openxmlformats.org/officeDocument/2006/relationships/hyperlink" Target="https://www.e-qe.online/exam/016b710e-639f-4150-b6a3-471afdf07e01" TargetMode="External"/><Relationship Id="rId7" Type="http://schemas.openxmlformats.org/officeDocument/2006/relationships/hyperlink" Target="https://www.e-qe.online/exam/73f18a54-1efd-4d52-9293-247853fdd76b" TargetMode="External"/><Relationship Id="rId12" Type="http://schemas.openxmlformats.org/officeDocument/2006/relationships/hyperlink" Target="https://www.e-qe.online/exam/5fcacd0a-ec53-4cca-abac-8bb4e0b71a37" TargetMode="External"/><Relationship Id="rId17" Type="http://schemas.openxmlformats.org/officeDocument/2006/relationships/hyperlink" Target="https://www.e-qe.online/exam/5fcacd0a-ec53-4cca-abac-8bb4e0b71a37" TargetMode="External"/><Relationship Id="rId25" Type="http://schemas.openxmlformats.org/officeDocument/2006/relationships/hyperlink" Target="https://www.e-qe.online/exam/63e024c9-9ca5-4b23-a387-5478fdec6c46" TargetMode="External"/><Relationship Id="rId33" Type="http://schemas.openxmlformats.org/officeDocument/2006/relationships/hyperlink" Target="https://www.e-qe.online/exam/5fcacd0a-ec53-4cca-abac-8bb4e0b71a37" TargetMode="External"/><Relationship Id="rId38" Type="http://schemas.openxmlformats.org/officeDocument/2006/relationships/hyperlink" Target="https://www.e-qe.online/exam/5fcacd0a-ec53-4cca-abac-8bb4e0b71a37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e-qe.online/exam/016b710e-639f-4150-b6a3-471afdf07e01" TargetMode="External"/><Relationship Id="rId20" Type="http://schemas.openxmlformats.org/officeDocument/2006/relationships/hyperlink" Target="https://www.e-qe.online/exam/73f18a54-1efd-4d52-9293-247853fdd76b" TargetMode="External"/><Relationship Id="rId29" Type="http://schemas.openxmlformats.org/officeDocument/2006/relationships/hyperlink" Target="https://www.e-qe.online/exam/73f18a54-1efd-4d52-9293-247853fdd76b" TargetMode="External"/><Relationship Id="rId41" Type="http://schemas.openxmlformats.org/officeDocument/2006/relationships/hyperlink" Target="https://www.e-qe.online/exam/5fcacd0a-ec53-4cca-abac-8bb4e0b71a3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e-qe.online/exam/5fcacd0a-ec53-4cca-abac-8bb4e0b71a37" TargetMode="External"/><Relationship Id="rId11" Type="http://schemas.openxmlformats.org/officeDocument/2006/relationships/hyperlink" Target="https://www.e-qe.online/exam/73f18a54-1efd-4d52-9293-247853fdd76b" TargetMode="External"/><Relationship Id="rId24" Type="http://schemas.openxmlformats.org/officeDocument/2006/relationships/hyperlink" Target="https://www.e-qe.online/exam/016b710e-639f-4150-b6a3-471afdf07e01" TargetMode="External"/><Relationship Id="rId32" Type="http://schemas.openxmlformats.org/officeDocument/2006/relationships/hyperlink" Target="https://www.e-qe.online/exam/016b710e-639f-4150-b6a3-471afdf07e01" TargetMode="External"/><Relationship Id="rId37" Type="http://schemas.openxmlformats.org/officeDocument/2006/relationships/hyperlink" Target="https://www.e-qe.online/exam/73f18a54-1efd-4d52-9293-247853fdd76b" TargetMode="External"/><Relationship Id="rId40" Type="http://schemas.openxmlformats.org/officeDocument/2006/relationships/hyperlink" Target="https://www.e-qe.online/exam/0e864cf8-4a3d-4550-8bfe-3697120e0bba" TargetMode="External"/><Relationship Id="rId5" Type="http://schemas.openxmlformats.org/officeDocument/2006/relationships/hyperlink" Target="https://www.e-qe.online/exam/73f18a54-1efd-4d52-9293-247853fdd76b" TargetMode="External"/><Relationship Id="rId15" Type="http://schemas.openxmlformats.org/officeDocument/2006/relationships/hyperlink" Target="https://www.e-qe.online/exam/5fcacd0a-ec53-4cca-abac-8bb4e0b71a37" TargetMode="External"/><Relationship Id="rId23" Type="http://schemas.openxmlformats.org/officeDocument/2006/relationships/hyperlink" Target="https://www.e-qe.online/exam/5fcacd0a-ec53-4cca-abac-8bb4e0b71a37" TargetMode="External"/><Relationship Id="rId28" Type="http://schemas.openxmlformats.org/officeDocument/2006/relationships/hyperlink" Target="https://www.e-qe.online/exam/1759e6f3-d7d9-4ac8-931e-a9aeb9c132c1" TargetMode="External"/><Relationship Id="rId36" Type="http://schemas.openxmlformats.org/officeDocument/2006/relationships/hyperlink" Target="https://www.e-qe.online/exam/016b710e-639f-4150-b6a3-471afdf07e01" TargetMode="External"/><Relationship Id="rId10" Type="http://schemas.openxmlformats.org/officeDocument/2006/relationships/hyperlink" Target="https://www.e-qe.online/exam/016b710e-639f-4150-b6a3-471afdf07e01" TargetMode="External"/><Relationship Id="rId19" Type="http://schemas.openxmlformats.org/officeDocument/2006/relationships/hyperlink" Target="https://www.e-qe.online/exam/5fcacd0a-ec53-4cca-abac-8bb4e0b71a37" TargetMode="External"/><Relationship Id="rId31" Type="http://schemas.openxmlformats.org/officeDocument/2006/relationships/hyperlink" Target="https://www.e-qe.online/exam/40fc6ad7-3579-4129-98a1-e52b30a0d03d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e-qe.online/exam/73f18a54-1efd-4d52-9293-247853fdd76b" TargetMode="External"/><Relationship Id="rId14" Type="http://schemas.openxmlformats.org/officeDocument/2006/relationships/hyperlink" Target="https://www.e-qe.online/exam/9a991fcb-cbd9-4675-abb3-126c7c12be15" TargetMode="External"/><Relationship Id="rId22" Type="http://schemas.openxmlformats.org/officeDocument/2006/relationships/hyperlink" Target="https://www.e-qe.online/exam/016b710e-639f-4150-b6a3-471afdf07e01" TargetMode="External"/><Relationship Id="rId27" Type="http://schemas.openxmlformats.org/officeDocument/2006/relationships/hyperlink" Target="https://www.e-qe.online/exam/40fc6ad7-3579-4129-98a1-e52b30a0d03d" TargetMode="External"/><Relationship Id="rId30" Type="http://schemas.openxmlformats.org/officeDocument/2006/relationships/hyperlink" Target="https://www.e-qe.online/exam/5fcacd0a-ec53-4cca-abac-8bb4e0b71a37" TargetMode="External"/><Relationship Id="rId35" Type="http://schemas.openxmlformats.org/officeDocument/2006/relationships/hyperlink" Target="https://www.e-qe.online/exam/5fcacd0a-ec53-4cca-abac-8bb4e0b71a37" TargetMode="External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5659</Words>
  <Characters>32257</Characters>
  <Application>Microsoft Office Word</Application>
  <DocSecurity>0</DocSecurity>
  <Lines>268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HÉMATOLOGIE-ONCOLOGIE - QE Haute Fréquence</vt:lpstr>
    </vt:vector>
  </TitlesOfParts>
  <Company/>
  <LinksUpToDate>false</LinksUpToDate>
  <CharactersWithSpaces>37841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HÉMATOLOGIE-ONCOLOGIE - QE Haute Fréquence</dc:title>
  <dc:creator>Claude.ai</dc:creator>
  <dc:description>Generated by qe-analysis skill</dc:description>
  <cp:lastModifiedBy>tool</cp:lastModifiedBy>
  <cp:revision>3</cp:revision>
  <dcterms:created xsi:type="dcterms:W3CDTF">2026-06-02T08:42:00Z</dcterms:created>
  <dcterms:modified xsi:type="dcterms:W3CDTF">2026-07-06T19:17:00Z</dcterms:modified>
</cp:coreProperties>
</file>