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SANTÉ PUBLIQUE</w:t>
      </w:r>
    </w:p>
    <w:p>
      <w:pPr>
        <w:pBdr>
          <w:bottom w:val="double" w:color="1F3A5F" w:sz="12" w:space="4"/>
        </w:pBdr>
        <w:spacing w:after="240" w:before="0"/>
        <w:jc w:val="center"/>
      </w:pPr>
      <w:r>
        <w:rPr>
          <w:rFonts w:ascii="Arial" w:cs="Arial" w:eastAsia="Arial" w:hAnsi="Arial"/>
          <w:b/>
          <w:bCs/>
          <w:color w:val="8B0000"/>
          <w:sz w:val="30"/>
          <w:szCs w:val="30"/>
        </w:rPr>
        <w:t xml:space="preserve">Fiches QE Haute Fréquence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Cross-match : 541 QEs officielles (2017→2025) × Cours AIO Santé Publique 2025-2026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8"/>
          <w:szCs w:val="18"/>
        </w:rPr>
        <w:t xml:space="preserve">Pr Amine, Pr Sebbani, Pr Adermouch — FMPM 2026</w:t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1 — CLASSEMENT DES LEÇONS PAR ORDRE D'IMPORTANCE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Classement basé sur la fréquence réelle dans 541 QEs (11 sessions).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1400"/>
        <w:gridCol w:w="2360"/>
      </w:tblGrid>
      <w:tr>
        <w:trPr>
          <w:tblHeader/>
        </w:trP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Professeur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Études étiologiques (cas-témoins + cohorte)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Amine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Études descriptives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60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Amine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Promotion et prévention en Santé Publique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Sebbani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Concepts en santé publique (partie 1 et 2)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Adermouch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Déterminants de la santé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Adermouch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Sécurité et qualité de soins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Sebbani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Santé environnementale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Adermouch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Intervention en Santé Publique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Sebbani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Essai clinique randomisé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Amine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Santé et maladie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Adermouch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Mesure de fréquence en épidémiologie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Amine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Initiation à la méthodologie de recherche clinique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— (pas de QE)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Amine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Critères de causalité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— (pas de QE)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Amine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Validité d'un test diagnostic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— (pas de QE)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Amine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Planification d'une intervention en SP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— (pas de QE)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Sebbani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Caractériser l'exposition environnementale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— (pas de QE)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Adermouch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Intervention environnementale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— (pas de QE)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Adermouch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2 — MOYENNE DE QUESTIONS PAR LEÇON PAR EXAMEN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Statistiques calculées sur 11 sessions, chaque examen ~49.2 questions.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1700"/>
        <w:gridCol w:w="1860"/>
      </w:tblGrid>
      <w:tr>
        <w:trPr>
          <w:tblHeader/>
        </w:trP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d'exam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Études étiologiques (cas-témoins + cohorte)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8.45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17.2%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Études descriptives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5.45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Promotion et prévention en SP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5.18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Concepts en santé publique (partie 1 et 2)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5.18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Déterminants de la santé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4.64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Sécurité et qualité de soins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4.18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Santé environnementale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3.82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7.8%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Intervention en Santé Publique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2.91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Essai clinique randomisé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2.55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Santé et maladie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Mesure de fréquence en épidémiologie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0.45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Leçons sans QE historique (6 leçons)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TOTAL leçons officielles avec QE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494 Q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44.9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91.3%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3 — QUESTIONS LES PLUS FRÉQUENTES (ORDRE STRICT PAR RANG)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Format : faits (-) / pièges (⚠) / source (📖) / lien cours (📎) / citations (📋)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1] ÉTUDES ÉTIOLOGIQUES (CAS-TÉMOINS + COHORTE)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Amine  •  ~8.45 Q/examen (17.2% de l'examen)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Méthodologie de recherche clinique — études analytiques observationnelles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Cours officiel : </w:t>
      </w:r>
      <w:hyperlink w:history="1" r:id="rIdg1layafakdjqshmjdl-ig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études étiologiques incluent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Étude cas-témoins (observationnelle, rétrospective)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Étude de cohorte (observationnelle, prospective ou rétrospective)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L'essai clinique randomisé est INTERVENTIONNEL, PAS étiologique observationnel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L'étude transversale est DESCRIPTIVE, pas étiologique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L'étude cas-témoins — caractéristiques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Compare un groupe « cas » (malades) à un groupe « témoins » (non malades)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Recherche rétrospective de l'exposition antérieure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Calcule l'ODDS RATIO (OR) — PAS le risque relatif, PAS l'incidence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Adaptée aux maladies rares et à longue période de latence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Rapide, peu coûteuse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Sujette aux BIAIS D'INFORMATION (biais de mémoire +++)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permet PAS de calculer l'incidence ni la prévalence ni le risque relatif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prouve PAS la causalité (séquence temporelle ambiguë)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NON randomisée (pas d'essai clinique sur cas-témoins)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L'étude de cohorte — caractéristiques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Compare un groupe exposé à un groupe non exposé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Suivi prospectif de l'apparition de la maladie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Calcule l'INCIDENCE + le RISQUE RELATIF (RR)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Établit la RELATION TEMPORELLE exposition → maladie (preuve de chronologie)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Adaptée aux expositions fréquentes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Long suivi nécessaire → coût élevé, perdus de vue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Inadaptée aux maladies rares (nécessite gros échantillon)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permet PAS le calcul de la prévalence (= étude transversale)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Coût ÉLEVÉ (pas « coût faible »)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Interprétation de l'intervalle de confiance (IC 95%)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Association significative si IC NE CONTIENT PAS 1 (pour OR ou RR)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 IC = [0.4 ; 6.2] et contient 1 → ASSOCIATION NON SIGNIFICATIVE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RR &gt; 1 ou OR &gt; 1 → facteur de RISQUE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RR &lt; 1 ou OR &lt; 1 → facteur PROTECTEUR (si significatif)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seuil de signification est 1 (PAS 0) pour OR/RR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seuil 0 s'applique aux différences (différence de moyennes, de pourcentages)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Cohorte prospective vs rétrospective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Prospective : exposition mesurée AVANT la survenue de la maladie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Rétrospective (historique) : exposition recherchée dans des dossiers antérieurs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deux types sont des études étiologiques observationnelles longitudinales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cohorte rétrospective ≠ étude cas-témoins (la cohorte part de l'exposition)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2] ÉTUDES DESCRIPTIVES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Amine  •  ~5.45 Q/examen (11.1% de l'examen)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Méthodologie de recherche clinique — études descriptives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Cours officiel : </w:t>
      </w:r>
      <w:hyperlink w:history="1" r:id="rId9lpvrjgq5n5cu-ntdfeyc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Types d'études descriptives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Étude transversale (= prévalence à un instant donné)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Étude de série de cas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Étude écologique (population)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Étude longitudinale descriptive (sans groupe de comparaison)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L'étude cas-témoins est ANALYTIQUE, pas descriptive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L'essai clinique est INTERVENTIONNEL, pas descriptif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L'étude transversale — but et résultat principal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Mesure la PRÉVALENCE (cas existants à un instant donné)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Estime l'ampleur d'un problème de santé dans une population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Génératrice d'hypothèses (PAS de test d'hypothèse causale)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Rapide, peu coûteuse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permet PAS de mesurer l'incidence (= apparition de nouveaux cas, nécessite suivi)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permet PAS d'établir une séquence temporelle exposition-maladie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permet PAS de calculer un risque relatif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Types d'échantillonnage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Échantillon probabiliste (aléatoire simple, systématique, stratifié, en grappes)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Sondage systématique : probabilité égale pour chaque unité d'être tirée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Échantillon non probabiliste (accidentel, par convenance, en boule de neige)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échantillon « accidentel » est NON probabiliste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Inférence statistique impossible avec un échantillon non probabiliste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Types de variables et de questions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Variables quantitatives (continues / discrètes)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Variables qualitatives (nominales / ordinales)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Questions FERMÉES : rapides à remplir, simples à coder, limitent la liberté d'expression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Questions OUVERTES : laissent libre expression, mais difficiles à coder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questions fermées NE SONT PAS difficiles à interpréter (au contraire, simples à coder)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poids est une variable QUANTITATIVE CONTINUE (correspond à une question fermée numérique)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3] PROMOTION ET PRÉVENTION EN SANTÉ PUBLIQUE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Sebbani  •  ~5.18 Q/examen (10.5% de l'examen)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Charte d'Ottawa OMS 1986 — Promotion de la santé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Cours officiel : </w:t>
      </w:r>
      <w:hyperlink w:history="1" r:id="rIde8tuqr2lhadaqimfb_2da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Promotion vs Prévention — différences fondamentales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Promotion = modèle BIO-PSYCHO-SOCIAL, agit sur les DÉTERMINANTS de la santé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Promotion considère la population comme SUJET (acteur, pas objet)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Prévention = action sur les facteurs de risque d'une maladie spécifique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Prévention considère plus souvent la population comme OBJET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promotion N'EST PAS basée sur la responsabilité individuelle (= prévention)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promotion N'ADOPTE PAS une approche verticale par programmes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confondre EPS (éducation pour la santé) avec promotion globale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niveaux de prévention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Prévention PRIMAIRE : empêcher l'apparition de la maladie (vaccination, hygiène, éducation)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Prévention SECONDAIRE : dépistage précoce + traitement précoce (frottis, mammographie)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Prévention TERTIAIRE : limiter complications et séquelles, réadaptation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Certains auteurs : prévention QUATERNAIRE (éviter le surmédicalisation iatrogène)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dépistage est de la prévention SECONDAIRE (pas primaire)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rééducation post-AVC est TERTIAIRE (pas secondaire)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5 axes de la Charte d'Ottawa (OMS 1986)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Élaborer des politiques publiques saines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Créer des milieux favorables à la santé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Renforcer l'action communautaire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Acquérir des aptitudes individuelles (éducation pour la santé)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Réorienter les services de santé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sensibilisation individuelle SEULE ne couvre que « aptitudes individuelles » (PAS les 4 autres axes)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Prévention de l'HTA (mesures non médicamenteuses)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Réduction de l'apport sodé (idéal &lt; 5-6 g/j)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Activité physique aérobie régulière (≥ 150 min/semaine)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Régime DASH (riche en fruits, légumes, faible en graisses saturées)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Observance des recommandations thérapeutiques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Arrêt du tabac, réduction de l'alcool, perte de poids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régime hyperprotidique N'EST PAS recommandé dans l'HTA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Réduction du sodium à 7 g/j est INSUFFISANTE (cible &lt; 5 g/j idéalement)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Modèle de soins de Wagner pour les maladies chroniques (CCM)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Soins INTÉGRÉS, GLOBAUX et CONTINUS centrés sur le patient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Soins PRIMAIRES coordonnés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Implique : patient activé + équipe préparée + système organisé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Particulièrement adapté aux troubles mentaux et maladies chroniques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modèle Wagner N'EST PAS basé sur les soins d'urgence ni les soins tertiaires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Soins continus ≠ soins épisodiques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4] CONCEPTS EN SANTÉ PUBLIQUE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Adermouch  •  ~5.18 Q/examen (10.5% de l'examen)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Classification Internationale du Fonctionnement (CIF) — OMS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Cours officiel : </w:t>
      </w:r>
      <w:hyperlink w:history="1" r:id="rIdxitwwirxo-pcxsirbfgiq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Triade CIF (OMS) : déficience / incapacité / handicap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DÉFICIENCE = anomalie de la structure anatomique ou de la fonction organique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INCAPACITÉ = diminution de la possibilité de réaliser une ACTIVITÉ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HANDICAP (désavantage social) = désavantage qui limite l'accomplissement d'un RÔLE social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Déficience ≠ incapacité ≠ handicap (PIÈGE CLASSIQUE répété chaque année)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L'incapacité N'EST PAS une anomalie anatomique (= déficience)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L'incapacité N'EST PAS un désavantage social (= handicap)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L'incapacité N'EST PAS une manifestation de la phase pré-clinique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Modèles de définition de la santé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Modèle BIOMÉDICAL : santé = absence de maladie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Modèle ÉCOLOGIQUE / capacité d'adaptation : santé = capacité d'adaptation à l'environnement (OMS révisée)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Modèle BIO-PSYCHO-SOCIAL : intègre dimensions physiques, mentales, sociales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Modèle HOLISTIQUE : approche globale incluant spirituel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Capacité d'adaptation = modèle ÉCOLOGIQUE (PAS holistique, PAS bio-psycho-social)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modèle biomédical EST RÉDUCTEUR (centré sur la maladie)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Caractéristiques fondamentales de la santé publique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Rôle MAJEUR de la PRÉVENTION (≠ médecine curative)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Responsabilité COLLECTIVE face à la santé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Action ciblant la POPULATION (PAS l'individu)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Action sur les DÉTERMINANTS de la santé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SP n'est PAS basée sur la médecine curative individuelle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Différence claire avec la médecine clinique (individu vs population)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Phases du processus de développement de la maladie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Phase d'exposition aux facteurs de risque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Phase pré-clinique (subclinique, asymptomatique) — dépistage possible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Phase clinique (manifestation des symptômes)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Phase de résolution / chronicité / complications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L'incapacité survient APRÈS la phase clinique (résultat de la maladie)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dépistage cible la phase PRÉ-CLINIQUE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5] DÉTERMINANTS DE LA SANTÉ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Adermouch  •  ~4.64 Q/examen (9.4% de l'examen)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Modèles de Lalonde, Dahlgren-Whitehead, OMS — déterminants sociaux de la santé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Cours officiel : </w:t>
      </w:r>
      <w:hyperlink w:history="1" r:id="rIdiutzhtr8k3wgdcua4rpbg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grandes catégories de déterminants de la santé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Déterminants BIOLOGIQUES : âge, sexe, génétique, hérédité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Déterminants COMPORTEMENTAUX : tabac, alcool, alimentation, sédentarité, sexualité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Déterminants SOCIAUX : niveau d'éducation, revenu, profession, conditions de vie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Déterminants ENVIRONNEMENTAUX : qualité air/eau/sol, habitat, milieu de travail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Déterminants liés au SYSTÈME DE SANTÉ : accès, qualité, couverture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L'âge est un déterminant BIOLOGIQUE (PAS comportemental ni social)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tabagisme est COMPORTEMENTAL (PAS biologique)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pauvreté est un déterminant SOCIAL (PAS biologique)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 système de soins marocain — caractéristiques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Budget annuel alloué à la santé par l'État (mais part FAIBLE dans le budget total)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Contribution DIRECTE des ménages importante (out-of-pocket élevé)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Assurance maladie ne couvre PAS la totalité de la population (taux en progression)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Système mixte : public, privé, traditionnel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L'assurance maladie NE COUVRE PAS la totalité de la population au Maroc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part du budget santé est FAIBLE (souvent &lt; 6% du budget total)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contribution directe des ménages est IMPORTANTE (signe de barrière financière)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Approches d'intervention en santé publique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Approche BIOMÉDICALE : centrée sur la maladie, individuelle (= médecin clinicien)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Approche BIO-PSYCHO-SOCIALE : intègre les dimensions sociales et psychologiques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Approche GLOBALE / holistique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Approche PRÉVENTIVE : agit avant la maladie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Approche PROMOTIONNELLE : agit sur les déterminants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L'intervention du médecin traitant est principalement BIOMÉDICALE + PRÉVENTIVE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consultation de sevrage tabagique est PRÉVENTIVE (PAS promotionnelle au sens large)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6] SÉCURITÉ ET QUALITÉ DE SOINS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Sebbani  •  ~4.18 Q/examen (8.5% de l'examen)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Définitions OMS — Sécurité du patient &amp; dimensions de la qualité des soins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Cours officiel : </w:t>
      </w:r>
      <w:hyperlink w:history="1" r:id="rIdjhr-vowok1cucpmg6pc3o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Définitions clés en sécurité des soins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ÉVÉNEMENT INDÉSIRABLE (EI) = situation DÉFAVORABLE au patient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ERREUR MÉDICALE = EI ÉVITABLE (caractère évitable identifié)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EI ASSOCIÉ AUX SOINS (EIAS) = EI lié aux activités de soins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Presque accident (near miss) = événement évité de justesse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retard d'intervention chirurgicale par perte de bilan = EI + erreur médicale + EIAS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résultat lié à l'évolution NATURELLE de la maladie n'est PAS un EI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Tout EI n'est PAS forcément une erreur médicale (≠ caractère évitable)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6-7 dimensions de la qualité des soins (IOM / OMS)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EFFICACITÉ : capacité à atteindre le résultat thérapeutique attendu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EFFICIENCE : rapport qualité-prix, optimisation des ressources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SÉCURITÉ : minimiser les risques pour le patient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ACCEPTABILITÉ / centrage patient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ACCESSIBILITÉ : géographique, financière, culturelle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ÉQUITÉ : même qualité pour tous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CONTINUITÉ : suivi cohérent dans le temps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Efficacité ≠ efficience (efficience inclut le COÛT)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L'efficience inclut le rapport qualité-prix (« délivrer des soins optimaux au moindre coût »)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Efficacité = atteindre le résultat ; efficience = l'atteindre avec un coût optimal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Méthodes d'amélioration de la qualité et analyse des EI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AUDIT CLINIQUE (interne ou externe) : comparaison à un référentiel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REVUE DE MORBIDITÉ-MORTALITÉ (RMM) : analyse rétrospective des EI graves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PATIENT TRACEUR : suit le parcours d'un patient pour évaluer les pratiques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ENQUÊTE DE SATISFACTION : perception patient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MÉTHODE DES 5 POURQUOI : analyse de cause racine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RECOMMANDATIONS DE BONNES PRATIQUES + ALARM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CERTIFICATION / accréditation des établissements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Pour un EI à incidence élevée (fièvre post-injection) → RMM est l'approche la plus appropriée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signalement à l'équipe + analyse + formation = recommandations communes (PAS sanction)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simple constat n'est PAS une méthode d'amélioration de la qualité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Évaluation d'un programme de santé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Évaluation NORMATIVE : conformité aux normes / atteinte des objectifs opérationnels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Évaluation PRAGMATIQUE : conformité du processus (souvent en cours de programme)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Évaluation de RECHERCHE : études pharmaco-épidémiologiques, RCT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Évaluation peut être faite À DIFFÉRENTS MOMENTS (avant, pendant, après)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L'évaluation N'EST PAS uniquement faite en fin de programme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L'efficacité THÉORIQUE intermédiaire n'est pas un standard reconnu (on parle d'efficacité réelle)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Transmission des agents infectieux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Transmission DIRECTE : contact physique direct (toucher, gouttelettes proches)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Transmission INDIRECTE : via vecteur, support contaminé, aérosols, fluides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Exemples directs : grippe (gouttelettes), tuberculose (aérosols)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Exemples indirects : hépatite A (eau/aliments), tétanos (sol), paludisme (moustique)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tétanos est INDIRECT (par contamination tellurique)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paludisme est INDIRECT (vecteur = moustique)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L'hépatite A est INDIRECTE (féco-orale via eau/aliments)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7] SANTÉ ENVIRONNEMENTALE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Adermouch  •  ~3.82 Q/examen (7.8% de l'examen)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Modèle DPSEEA (OMS) — Driving forces, Pressures, States, Exposures, Effects, Actions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Cours officiel : </w:t>
      </w:r>
      <w:hyperlink w:history="1" r:id="rIdtje0kvob3x_zy8o0oguf9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Types d'agents environnementaux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Agents PHYSIQUES : radiations ionisantes/UV, bruit, chaleur, vibrations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Agents CHIMIQUES : polluants atmosphériques, pesticides, métaux lourds, aérosols industriels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Agents BIOLOGIQUES : bactéries, virus, champignons, allergènes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Agents VIVANTS : vecteurs (moustiques, tiques), faune nuisible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radiations (accident nucléaire) sont des agents PHYSIQUES (PAS chimiques)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aérosols industriels sont CHIMIQUES (PAS physiques ni biologiques)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moustique vecteur est un agent VIVANT (PAS biologique au sens strict)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Vecteurs / milieux d'exposition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AIR (inhalation de polluants, aérosols, particules fines)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EAU (ingestion d'eau contaminée — bactéries, métaux lourds)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SOL (contact cutané, ingestion de poussières)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ALIMENTS (ingestion d'aliments contaminés ou avec résidus de pesticides)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seul agent peut emprunter plusieurs vecteurs (ex. plomb : air + eau + aliments)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L'identification du vecteur conditionne la stratégie de prévention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Modèles temporels d'exposition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CONTINUE : exposition permanente (ex. tabagisme régulier)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INTERMITTENTE : exposition répétée à intervalles (ex. exposition professionnelle)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CONCENTRÉE : exposition brève mais à forte dose (ex. accident industriel)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ALÉATOIRE (random) : exposition imprévisible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exposition CONCENTRÉE = courte durée + forte dose (pas une exposition étalée)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exposition continue n'est pas forcément intermittente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Voies d'exposition (pénétration dans l'organisme)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INHALATION (voie respiratoire) — la plus fréquente pour les polluants atmosphériques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INGESTION (voie digestive) — eau/aliments contaminés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ABSORPTION CUTANÉE — pesticides, solvants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Voie transplacentaire (effet sur le fœtus)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Inhalation = voie respiratoire (PAS digestive)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Pour un polluant dans l'air → la voie principale est l'inhalation (pas l'ingestion)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Types d'effets sur la santé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 AIGU : apparition rapide après l'exposition (ex. syndrome d'irradiation aiguë)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 CHRONIQUE : apparition après exposition prolongée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 RETARDÉ : apparition années après l'exposition (ex. cancer de la thyroïde post-irradiation)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 INFRACLINIQUE : modifications biologiques sans symptômes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L'irradiation aiguë + cancer thyroïdien tardif illustrent les effets AIGU + RETARDÉ (PAS chronique)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effet « positif » n'a pas de sens en toxicologie environnementale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8] INTERVENTION EN SANTÉ PUBLIQUE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Sebbani  •  ~2.91 Q/examen (5.9% de l'examen)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Critères SMART + Principes de l'offre de soins au Maroc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Cours officiel : </w:t>
      </w:r>
      <w:hyperlink w:history="1" r:id="rIdsmkf3ba_aratxht1lgivb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5 composantes d'une intervention en santé publique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ACTEURS (qui intervient)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STRUCTURES (où l'intervention a lieu)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PROCESSUS (comment elle se déroule)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MOYENS (ressources mobilisées)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RÉSULTATS (objectifs atteints)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L'ENVIRONNEMENT (contexte de l'intervention)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FINALITÉ (but général visé)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intervention sans description du PROCESSUS ou des MOYENS est incomplète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Type d'intervention (niveau et population cible)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Intervention PRÉCLINIQUE : avant l'apparition de symptômes (vaccination, hygiène)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Intervention CLINIQUE : sur patient symptomatique (consultation, prescription)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Intervention POST-CLINIQUE : rééducation, réadaptation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Intervention INDIVIDUELLE : ciblée sur une personne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Intervention POPULATIONNELLE : ciblée sur un groupe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consultation avec prescription = intervention CLINIQUE + INDIVIDUELLE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Critères SMART pour un objectif d'intervention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 = Spécifique (précis)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 = Mesurable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 = Atteignable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 = Réaliste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 = Temps défini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objectif SMART doit être PRÉCIS + MESURABLE + TEMPS DÉFINI minimum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Sensible » n'est PAS un critère SMART (piège classique)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Critères d'inclusion d'une intervention de dépistage (OMS Wilson-Jungner)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Maladie GRAVE = problème de santé publique important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Histoire naturelle de la maladie CONNUE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Test de dépistage FIABLE, EFFICACE, ACCEPTABLE, peu coûteux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disponible à un stade précoce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Coût du programme acceptable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Proportion importante de la population concernée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L'ABSENCE de test fiable est un CONTRE-ARGUMENT (pas un argument de dépistage)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coût FAIBLE de PEC est un argument (un coût élevé est un frein, pas un argument)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Principes de l'offre de soins au Maroc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ÉGALITÉ : même droit aux soins pour tous les citoyens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ÉQUITÉ : adaptation aux besoins spécifiques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SOLIDARITÉ : entraide collective (assurance maladie)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GRADATION : organisation par niveaux (primaire → secondaire → tertiaire)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COMPLÉMENTARITÉ : entre niveaux et secteurs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PARTENARIAT public-privé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INTERSECTORIALITÉ : action de plusieurs secteurs (santé, éducation, social)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Quand un patient saute le centre de santé pour aller directement au CHU → défaut de GRADATION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L'action concertée DRS + CHU illustre COMPLÉMENTARITÉ + INTERSECTORIALITÉ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9] ESSAI CLINIQUE RANDOMISÉ (ECR)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Amine  •  ~2.55 Q/examen (5.2% de l'examen)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Méthodologie de recherche clinique — niveau de preuve le plus élevé (étude expérimentale)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Cours officiel : </w:t>
      </w:r>
      <w:hyperlink w:history="1" r:id="rIdm_txmpv9dd4ynzn9mnlxo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et caractéristiques de l'ECR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Étude INTERVENTIONNELLE (≠ observationnelle)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Étude LONGITUDINALE et PROSPECTIVE (suivi des patients)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Comparaison entre ≥ 2 groupes (traitement vs placebo, ou nouveau vs standard)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Niveau de preuve LE PLUS ÉLEVÉ pour évaluer l'efficacité d'un traitement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L'ECR N'EST PAS une étude observationnelle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L'ECR N'EST PAS rétrospective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La randomisation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RÉPARTITION ALÉATOIRE (tirage au sort) des sujets en 2 groupes ou plus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Basée sur le HASARD (pas sur choix du chercheur ni faisabilité)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Permet de constituer des groupes COMPARABLES sur les caractéristiques connues ET INCONNUES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Permet de contrôler les facteurs de confusion CONNUS ET INCONNUS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Rend possible l'inférence statistique causale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randomisation NE PEUT PAS être réalisée dans une étude cas-témoins (observationnelle)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randomisation N'EST PAS basée sur les contraintes du terrain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Elle NE constitue PAS deux groupes IDENTIQUES (mais COMPARABLES)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Insu (aveugle)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Simple aveugle : le patient ignore son groupe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Double aveugle : patient + investigateur ignorent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Triple aveugle : + statisticien aussi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Réduit le BIAIS DE MESURE et le biais d'évaluation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L'insu réduit les biais d'INFORMATION (PAS de sélection)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L'insu n'est pas toujours possible (chirurgie, thérapies comportementales)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Sondage systématique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Probabilité égale pour chaque unité statistique d'être tirée au sort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Méthode probabiliste d'échantillonnage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Tirage d'une unité tous les « k » éléments (k = N/n)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Si on tire « toutes les k unités » à partir d'un point aléatoire → PROBABILITÉ ÉGALE (VRAI)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10] SANTÉ ET MALADIE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Adermouch  •  ~2.09 Q/examen (4.2% de l'examen)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Théorie de la transition épidémiologique (Omran 1971)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Cours officiel : </w:t>
      </w:r>
      <w:hyperlink w:history="1" r:id="rId_62iudblv6zuxxv3cqgvh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La transition épidémiologique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DIMINUTION des maladies infectieuses + AUGMENTATION des maladies chroniques (non transmissibles)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Causée par : urbanisation, allongement espérance de vie, vaccination, antibiotiques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 Maroc : transition en cours, double fardeau (maladies infectieuses encore présentes + maladies chroniques)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 n'est PAS « augmentation des deux » (piège fréquent)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 n'est PAS « diminution des deux »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C'est diminution infectieuses + AUGMENTATION chroniques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transitions impactant le Maroc (et les systèmes de santé)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Transition DÉMOGRAPHIQUE (vieillissement, baisse fécondité)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Transition ÉPIDÉMIOLOGIQUE (changement profil des maladies)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Transition NUTRITIONNELLE (sous-nutrition → surnutrition / obésité)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Transition SOCIALE / urbaine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DEUX transitions qui impactent le PLUS l'utilisation des services de santé = DÉMOGRAPHIQUE + ÉPIDÉMIOLOGIQUE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Effets sur la santé (rappel transversal avec santé environnementale)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 AIGU vs CHRONIQUE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 RETARDÉ (cancers post-exposition)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 INFRACLINIQUE (modifications biologiques asymptomatiques)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effet peut être à la fois CHRONIQUE et RETARDÉ (ex. cancer, fibrose)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11] MESURE DE FRÉQUENCE EN ÉPIDÉMIOLOGIE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Amine  •  ~0.45 Q/examen (0.9% de l'examen)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Indicateurs épidémiologiques fondamentaux — Incidence, prévalence, mortalité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Cours officiel : </w:t>
      </w:r>
      <w:hyperlink w:history="1" r:id="rIdxnthmhkftco6t5ldceyk8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Incidence vs Prévalence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INCIDENCE = nouveaux cas survenant pendant une période donnée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Incidence CUMULÉE = nouveaux cas / personnes à risque au début de la période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Densité d'INCIDENCE = nouveaux cas / personnes-temps de suivi (= TAUX)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PRÉVALENCE = tous les cas (anciens + nouveaux) à un INSTANT donné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Prévalence ponctuelle ≠ prévalence de période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prévalence n'est PAS « le nombre de nouveaux cas » (= incidence)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Incidence est un TAUX (avec dénominateur personnes-temps)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Prévalence est une PROPORTION (sans dimension temporelle au numérateur)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Taux brut de mortalité (TBM)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TBM = (nombre de décès durant une période) / (effectif moyen de la population durant la même période)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Exprimé pour 1 000 ou 100 000 habitants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Indicateur GLOBAL de mortalité (toutes causes confondues)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TBM N'EST PAS spécifique d'une cause (= taux spécifique par cause)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TBM N'EST PAS spécifique d'une tranche d'âge (= taux spécifique par âge)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dénominateur est l'effectif MOYEN, pas la population « au milieu » de la période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Autres indicateurs de fréquence courants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Taux de létalité = décès dus à une maladie / cas de la maladie (gravité)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Taux de natalité = naissances vivantes / population moyenne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Taux de mortalité infantile (TMI) = décès &lt; 1 an / naissances vivantes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Taux de fécondité = naissances vivantes / femmes en âge de procréer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Létalité ≠ mortalité (létalité = parmi les malades ; mortalité = parmi la population générale)</w:t>
      </w:r>
    </w:p>
    <w:p>
      <w:r>
        <w:br w:type="page"/>
      </w:r>
    </w:p>
    <w:p>
      <w:pPr>
        <w:pBdr>
          <w:top w:val="single" w:color="991B1B" w:sz="8"/>
          <w:bottom w:val="single" w:color="991B1B" w:sz="8"/>
        </w:pBdr>
        <w:shd w:fill="991B1B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4 — TOPICS HORS LEÇONS OFFICIELLES 2026 (COURS ANNULÉ)</w:t>
      </w:r>
    </w:p>
    <w:p>
      <w:pPr>
        <w:pBdr>
          <w:top w:val="single" w:color="991B1B" w:sz="16"/>
          <w:bottom w:val="single" w:color="991B1B" w:sz="16"/>
          <w:left w:val="single" w:color="991B1B" w:sz="16"/>
          <w:right w:val="single" w:color="991B1B" w:sz="16"/>
        </w:pBdr>
        <w:shd w:fill="FEF2F2" w:val="clear"/>
        <w:spacing w:after="80" w:before="200"/>
        <w:jc w:val="center"/>
      </w:pPr>
      <w:r>
        <w:rPr>
          <w:rFonts w:ascii="Arial" w:cs="Arial" w:eastAsia="Arial" w:hAnsi="Arial"/>
          <w:b/>
          <w:bCs/>
          <w:color w:val="991B1B"/>
          <w:sz w:val="26"/>
          <w:szCs w:val="26"/>
        </w:rPr>
        <w:t xml:space="preserve">⚠ DISCLAIMER — À LIRE AVANT D'UTILISER CETTE SECTION ⚠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These lessons are NOT in the 2026 exam program.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Cours annulé — NOT officially scheduled.</w:t>
      </w:r>
    </w:p>
    <w:p>
      <w:pPr>
        <w:spacing w:after="12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4"/>
          <w:szCs w:val="24"/>
        </w:rPr>
        <w:t xml:space="preserve">USE AT YOUR OWN RISK — BUT GOOD TO KNOW.</w:t>
      </w:r>
    </w:p>
    <w:p>
      <w:pPr>
        <w:spacing w:after="60" w:before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Ces topics représentaient historiquement ~8.7% des questions des examens passés. S'ils ne sont PAS au programme cette année, ils peuvent malgré tout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Apparaître en question résiduelle ou rattrapage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Être recyclés à la dernière minute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Servir de "culture générale" médicale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Topics hors programme 2026 (par fréquence décroissante)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1600"/>
        <w:gridCol w:w="2260"/>
      </w:tblGrid>
      <w:tr>
        <w:trPr>
          <w:tblHeader/>
        </w:trP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Topic (hors programme)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Questions inclassifiables / transversales (cas cliniques)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47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4.27</w:t>
            </w:r>
          </w:p>
        </w:tc>
      </w:tr>
    </w:tbl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[HORS 1] QUESTIONS INCLASSIFIABLES / TRANSVERSALES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47 questions — 4.27 Q/examen — Questions cross-cutting (cas cliniques, calculs)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Nature des questions inclassifiables dans la banque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plupart sont des sous-questions de CAS CLINIQUES intégrés (énoncé global avec plusieurs questions enchaînées)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Couvrent des notions transversales : séquence temporelle exposition-maladie, calculs de proportions, application aux situations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Plusieurs touchent les leçons « Initiation à la méthodologie », « Critères de causalité », « Validité d'un test diagnostic » qui n'ont pas leur tag dédié dans la banque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 ne sont PAS des cours annulés — les notions sous-jacentes SONT au programme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Elles font partie des cas cliniques qui peuvent tomber à n'importe quel 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Notions classiques apparaissant dans les inclassifiables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Distinction étude prospective / rétrospective / transversale à partir d'un cas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Calcul de proportion (ex. % de tabagiques dans l'étude)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Caractéristiques générales de la SP : rôle prévention + responsabilité collective + action populationnelle + agir sur déterminants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Critères de causalité de Hill (force, cohérence, temporalité, plausibilité biologique, spécificité, gradient dose-réponse, expérimentation, analogie, cohérence)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À RÉVISER : critères de Hill, validité d'un test diagnostic (Se/Sp/VPP/VPN), méthodologie de recherche clinique (Pr Amine — 3 parties)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Validité d'un test diagnostic (notions clés non couvertes ailleurs)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SENSIBILITÉ (Se) = vrais positifs / (vrais positifs + faux négatifs) = capacité à détecter les malades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SPÉCIFICITÉ (Sp) = vrais négatifs / (vrais négatifs + faux positifs) = capacité à éviter les faux positifs chez les non-malades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VPP = vrais positifs / (vrais positifs + faux positifs) — dépend de la PRÉVALENCE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VPN = vrais négatifs / (vrais négatifs + faux négatifs) — dépend de la PRÉVALENCE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Se et Sp NE DÉPENDENT PAS de la prévalence (= propriétés du test)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VPP et VPN DÉPENDENT de la prévalence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Quand prévalence ↑ → VPP ↑ et VPN ↓</w:t>
      </w:r>
    </w:p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AIDE-MÉMOIRE FINAL — HIGH-YIELD CONCOURS SANTÉ PUBLIQUE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INDICATEURS ÉPIDÉMIOLOGIQUES ET MÉTHODOLOGIQUES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Incidence cumulée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Nouveaux cas / personnes à risque (sur période)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Densité d'incidence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Nouveaux cas / personnes-temps (TAUX)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Prévalence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Tous cas / population (instant) — PROPORTION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Taux brut mortalité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Décès / effectif moyen (période)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Odds ratio (OR)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Cas-témoins — pas d'incidence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Risque relatif (RR)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Cohorte / ECR — incidence exposés / non-exposés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IC 95% significatif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NE contient PAS 1 (pour OR/RR)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TYPES D'ÉTUDES ET LEUR USAGE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Marqueur / Critère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Étude transversale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Mesure PRÉVALENCE (un instant)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Étude cas-témoins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Maladies RARES — calcule OR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Étude de cohorte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Calcule INCIDENCE et RR — séquence temporelle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Essai clinique randomisé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Évalue EFFICACITÉ d'une intervention — niveau preuve max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Étude écologique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Compare populations entières — biais écologique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Méta-analyse / revue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Synthèse quantitative de la littérature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PIÈGES CLASSIQUES DU CONCOURS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Cas-témoins → calcule OR seulement (PAS RR, PAS incidence, PAS prévalence)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Étude transversale → calcule PRÉVALENCE seulement (PAS incidence)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Cohorte → calcule INCIDENCE + RR (PAS prévalence)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Randomisation contrôle facteurs de confusion CONNUS ET INCONNUS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IC 95% significatif si EXCLUT 1 (pour OR/RR), pas 0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Promotion = bio-psycho-social + action sur déterminants (≠ prévention)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Déficience (anatomie) ≠ Incapacité (activité) ≠ Handicap (rôle social)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Capacité d'adaptation = modèle ÉCOLOGIQUE de la santé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Transition épidémiologique = ↓ infectieuses + ↑ chroniques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Critères SMART = Spécifique + Mesurable + Atteignable + Réaliste + Temps défini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EI évitable = ERREUR médicale ; EI lié aux soins = EIAS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RMM = analyse rétrospective d'EI graves (revue mortalité-morbidité)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Tétanos / paludisme / hépatite A = transmission INDIRECTE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Au Maroc : assurance maladie ne couvre PAS toute la population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Dépistage = prévention SECONDAIRE (pas primaire)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SCHÉMAS CONCEPTUELS CLÉS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Exposition → Maladie : cohorte établit la séquence temporelle (causalité chronologique)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Charte d'Ottawa (1986) : 5 axes — politiques publiques + milieux favorables + action communautaire + aptitudes individuelles + réorientation services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CIF (OMS) : Maladie → Déficience → Incapacité → Handicap (désavantage social)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Pyramide niveaux de preuve : Avis expert &lt; Cas &lt; Transversale &lt; Cas-témoins &lt; Cohorte &lt; ECR &lt; Méta-analyse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Modèle Wagner CCM : soins intégrés + globaux + continus pour maladies chroniques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Niveaux prévention : Primaire (avant) → Secondaire (dépistage) → Tertiaire (séquelles)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Critères causalité de Hill : Force + Cohérence + Temporalité + Plausibilité biologique + Spécificité + Gradient dose-réponse + Expérimentation + Analogie + Cohérence</w:t>
      </w:r>
    </w:p>
    <w:p>
      <w:pPr>
        <w:spacing w:after="6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Bdr>
          <w:top w:val="double" w:color="1F3A5F" w:sz="8" w:space="4"/>
        </w:pBdr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Généré par Claude.ai (claude-opus-4-7)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Cross-match 541 QEs officielles × Cours AIO Santé Publique 2025-2026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000000"/>
          <w:sz w:val="18"/>
          <w:szCs w:val="18"/>
        </w:rPr>
        <w:t xml:space="preserve">Pr Amine, Pr Sebbani, Pr Adermouch — FMPM 2026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5F46"/>
          <w:sz w:val="20"/>
          <w:szCs w:val="20"/>
        </w:rPr>
        <w:t xml:space="preserve">Améliorations Version 1 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PARTIE 3 strictement par rang (1 → 11) — leçons officielles uniquement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13 topics QE consolidés en 11 leçons officielles (cas-témoins + cohorte regroupés, sécurité + qualité regroupés)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6 leçons officielles sans QE historique listées en Partie 1 (mentions « pas de QE »)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Déduplication des questions répétées + FAUX explicites avec ⚠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Aide-mémoire adapté à la Santé Publique (indicateurs épidémio, types d'études, pièges méthodologiques)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PARTIE 4 utilisée pour les questions inclassifiables (cas cliniques transversaux) avec notions Hill + validité test diagnostic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8B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1layafakdjqshmjdl-ig" Type="http://schemas.openxmlformats.org/officeDocument/2006/relationships/hyperlink" Target="[URL &#224; compl&#233;ter par l&apos;utilisateur]" TargetMode="External"/><Relationship Id="rId9lpvrjgq5n5cu-ntdfeyc" Type="http://schemas.openxmlformats.org/officeDocument/2006/relationships/hyperlink" Target="[URL &#224; compl&#233;ter par l&apos;utilisateur]" TargetMode="External"/><Relationship Id="rIde8tuqr2lhadaqimfb_2da" Type="http://schemas.openxmlformats.org/officeDocument/2006/relationships/hyperlink" Target="[URL &#224; compl&#233;ter par l&apos;utilisateur]" TargetMode="External"/><Relationship Id="rIdxitwwirxo-pcxsirbfgiq" Type="http://schemas.openxmlformats.org/officeDocument/2006/relationships/hyperlink" Target="[URL &#224; compl&#233;ter par l&apos;utilisateur]" TargetMode="External"/><Relationship Id="rIdiutzhtr8k3wgdcua4rpbg" Type="http://schemas.openxmlformats.org/officeDocument/2006/relationships/hyperlink" Target="[URL &#224; compl&#233;ter par l&apos;utilisateur]" TargetMode="External"/><Relationship Id="rIdjhr-vowok1cucpmg6pc3o" Type="http://schemas.openxmlformats.org/officeDocument/2006/relationships/hyperlink" Target="[URL &#224; compl&#233;ter par l&apos;utilisateur]" TargetMode="External"/><Relationship Id="rIdtje0kvob3x_zy8o0oguf9" Type="http://schemas.openxmlformats.org/officeDocument/2006/relationships/hyperlink" Target="[URL &#224; compl&#233;ter par l&apos;utilisateur]" TargetMode="External"/><Relationship Id="rIdsmkf3ba_aratxht1lgivb" Type="http://schemas.openxmlformats.org/officeDocument/2006/relationships/hyperlink" Target="[URL &#224; compl&#233;ter par l&apos;utilisateur]" TargetMode="External"/><Relationship Id="rIdm_txmpv9dd4ynzn9mnlxo" Type="http://schemas.openxmlformats.org/officeDocument/2006/relationships/hyperlink" Target="[URL &#224; compl&#233;ter par l&apos;utilisateur]" TargetMode="External"/><Relationship Id="rId_62iudblv6zuxxv3cqgvh" Type="http://schemas.openxmlformats.org/officeDocument/2006/relationships/hyperlink" Target="[URL &#224; compl&#233;ter par l&apos;utilisateur]" TargetMode="External"/><Relationship Id="rIdxnthmhkftco6t5ldceyk8" Type="http://schemas.openxmlformats.org/officeDocument/2006/relationships/hyperlink" Target="[URL &#224; compl&#233;ter par l&apos;utilisateur]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SANTÉ PUBLIQUE - QE Haute Fréquence</dc:title>
  <dc:creator>Claude.ai</dc:creator>
  <dc:description>Generated by qe-analysis skill</dc:description>
  <cp:lastModifiedBy>Un-named</cp:lastModifiedBy>
  <cp:revision>1</cp:revision>
  <dcterms:created xsi:type="dcterms:W3CDTF">2026-05-23T13:29:21.160Z</dcterms:created>
  <dcterms:modified xsi:type="dcterms:W3CDTF">2026-05-23T13:29:21.162Z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