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100"/>
        <w:jc w:val="center"/>
      </w:pPr>
      <w:r>
        <w:rPr>
          <w:b/>
          <w:bCs/>
          <w:color w:val="1F3A5F"/>
          <w:sz w:val="44"/>
          <w:szCs w:val="44"/>
          <w:rFonts w:ascii="Arial" w:cs="Arial" w:eastAsia="Arial" w:hAnsi="Arial"/>
        </w:rPr>
        <w:t xml:space="preserve">THÉRAPEUTIQUE</w:t>
      </w:r>
    </w:p>
    <w:p>
      <w:pPr>
        <w:pBdr>
          <w:bottom w:val="double" w:color="1F3A5F" w:sz="12" w:space="4"/>
        </w:pBdr>
        <w:spacing w:before="0" w:after="240"/>
        <w:jc w:val="center"/>
      </w:pPr>
      <w:r>
        <w:rPr>
          <w:b/>
          <w:bCs/>
          <w:color w:val="8B0000"/>
          <w:sz w:val="30"/>
          <w:szCs w:val="30"/>
          <w:rFonts w:ascii="Arial" w:cs="Arial" w:eastAsia="Arial" w:hAnsi="Arial"/>
        </w:rPr>
        <w:t xml:space="preserve">Fiches QE Haute Fréquence — Synthèse par leçon — Version 1</w:t>
      </w:r>
    </w:p>
    <w:p>
      <w:pPr>
        <w:spacing w:before="60" w:after="60"/>
        <w:jc w:val="center"/>
      </w:pPr>
      <w:r>
        <w:rPr>
          <w:b w:val="false"/>
          <w:bCs w:val="false"/>
          <w:i/>
          <w:iCs/>
          <w:color w:val="000000"/>
          <w:sz w:val="20"/>
          <w:szCs w:val="20"/>
          <w:rFonts w:ascii="Arial" w:cs="Arial" w:eastAsia="Arial" w:hAnsi="Arial"/>
        </w:rPr>
        <w:t xml:space="preserve">Cross-match : 700 QEs officielles (2018 → 2025) × Synthèse Thérapeutique AIO (1197 pages)</w:t>
      </w:r>
    </w:p>
    <w:p>
      <w:pPr>
        <w:spacing w:before="60" w:after="60"/>
        <w:jc w:val="center"/>
      </w:pPr>
      <w:r>
        <w:rPr>
          <w:b/>
          <w:bCs/>
          <w:i w:val="false"/>
          <w:iCs w:val="false"/>
          <w:color w:val="000000"/>
          <w:sz w:val="18"/>
          <w:szCs w:val="18"/>
          <w:rFonts w:ascii="Arial" w:cs="Arial" w:eastAsia="Arial" w:hAnsi="Arial"/>
        </w:rPr>
        <w:t xml:space="preserve">14 sessions d'examen (Mai 2018 → Normal 2025) — corrections officielles</w:t>
      </w:r>
    </w:p>
    <w:p>
      <w:pPr>
        <w:pBdr>
          <w:top w:val="single" w:color="1F3A5F" w:sz="8"/>
          <w:bottom w:val="single" w:color="1F3A5F" w:sz="8"/>
        </w:pBdr>
        <w:shd w:fill="1F3A5F" w:val="clear"/>
        <w:spacing w:before="240" w:after="120"/>
        <w:jc w:val="center"/>
      </w:pPr>
      <w:r>
        <w:rPr>
          <w:b/>
          <w:bCs/>
          <w:color w:val="FFFFFF"/>
          <w:sz w:val="24"/>
          <w:szCs w:val="24"/>
          <w:rFonts w:ascii="Arial" w:cs="Arial" w:eastAsia="Arial" w:hAnsi="Arial"/>
        </w:rPr>
        <w:t xml:space="preserve">PARTIE 1 — CLASSEMENT DES LEÇONS PAR ORDRE D'IMPORTANCE</w:t>
      </w:r>
    </w:p>
    <w:p>
      <w:pPr>
        <w:spacing w:before="60" w:after="60"/>
        <w:jc w:val="left"/>
      </w:pPr>
      <w:r>
        <w:rPr>
          <w:b w:val="false"/>
          <w:bCs w:val="false"/>
          <w:i/>
          <w:iCs/>
          <w:color w:val="000000"/>
          <w:sz w:val="20"/>
          <w:szCs w:val="20"/>
          <w:rFonts w:ascii="Arial" w:cs="Arial" w:eastAsia="Arial" w:hAnsi="Arial"/>
        </w:rPr>
        <w:t xml:space="preserve">Classement basé sur la fréquence réelle dans 700 QEs (14 sessions).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800"/>
        <w:gridCol w:w="1400"/>
        <w:gridCol w:w="2360"/>
      </w:tblGrid>
      <w:tr>
        <w:trPr>
          <w:tblHeader/>
        </w:trP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Rang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Leçon officielle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Total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Professeur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1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Vaccination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8B0000"/>
                <w:sz w:val="18"/>
                <w:szCs w:val="18"/>
                <w:rFonts w:ascii="Arial" w:cs="Arial" w:eastAsia="Arial" w:hAnsi="Arial"/>
              </w:rPr>
              <w:t xml:space="preserve">56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2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Pathologie thyroïdienne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8B0000"/>
                <w:sz w:val="18"/>
                <w:szCs w:val="18"/>
                <w:rFonts w:ascii="Arial" w:cs="Arial" w:eastAsia="Arial" w:hAnsi="Arial"/>
              </w:rPr>
              <w:t xml:space="preserve">53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3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Migraine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8B0000"/>
                <w:sz w:val="18"/>
                <w:szCs w:val="18"/>
                <w:rFonts w:ascii="Arial" w:cs="Arial" w:eastAsia="Arial" w:hAnsi="Arial"/>
              </w:rPr>
              <w:t xml:space="preserve">48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4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IRABC — Infections respiratoires basses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8B0000"/>
                <w:sz w:val="18"/>
                <w:szCs w:val="18"/>
                <w:rFonts w:ascii="Arial" w:cs="Arial" w:eastAsia="Arial" w:hAnsi="Arial"/>
              </w:rPr>
              <w:t xml:space="preserve">48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5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Transplantation rénale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8B0000"/>
                <w:sz w:val="18"/>
                <w:szCs w:val="18"/>
                <w:rFonts w:ascii="Arial" w:cs="Arial" w:eastAsia="Arial" w:hAnsi="Arial"/>
              </w:rPr>
              <w:t xml:space="preserve">46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6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Diabète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8B0000"/>
                <w:sz w:val="18"/>
                <w:szCs w:val="18"/>
                <w:rFonts w:ascii="Arial" w:cs="Arial" w:eastAsia="Arial" w:hAnsi="Arial"/>
              </w:rPr>
              <w:t xml:space="preserve">44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7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Corticothérapie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8B0000"/>
                <w:sz w:val="18"/>
                <w:szCs w:val="18"/>
                <w:rFonts w:ascii="Arial" w:cs="Arial" w:eastAsia="Arial" w:hAnsi="Arial"/>
              </w:rPr>
              <w:t xml:space="preserve">43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8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Épilepsie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8B0000"/>
                <w:sz w:val="18"/>
                <w:szCs w:val="18"/>
                <w:rFonts w:ascii="Arial" w:cs="Arial" w:eastAsia="Arial" w:hAnsi="Arial"/>
              </w:rPr>
              <w:t xml:space="preserve">38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9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HTA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8B0000"/>
                <w:sz w:val="18"/>
                <w:szCs w:val="18"/>
                <w:rFonts w:ascii="Arial" w:cs="Arial" w:eastAsia="Arial" w:hAnsi="Arial"/>
              </w:rPr>
              <w:t xml:space="preserve">33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10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Antibacillaires — Tuberculose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8B0000"/>
                <w:sz w:val="18"/>
                <w:szCs w:val="18"/>
                <w:rFonts w:ascii="Arial" w:cs="Arial" w:eastAsia="Arial" w:hAnsi="Arial"/>
              </w:rPr>
              <w:t xml:space="preserve">33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11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Dermatologie — Dermocorticoïdes &amp; Antiseptiques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8B0000"/>
                <w:sz w:val="18"/>
                <w:szCs w:val="18"/>
                <w:rFonts w:ascii="Arial" w:cs="Arial" w:eastAsia="Arial" w:hAnsi="Arial"/>
              </w:rPr>
              <w:t xml:space="preserve">31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12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Asthme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8B0000"/>
                <w:sz w:val="18"/>
                <w:szCs w:val="18"/>
                <w:rFonts w:ascii="Arial" w:cs="Arial" w:eastAsia="Arial" w:hAnsi="Arial"/>
              </w:rPr>
              <w:t xml:space="preserve">31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13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AINS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8B0000"/>
                <w:sz w:val="18"/>
                <w:szCs w:val="18"/>
                <w:rFonts w:ascii="Arial" w:cs="Arial" w:eastAsia="Arial" w:hAnsi="Arial"/>
              </w:rPr>
              <w:t xml:space="preserve">29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14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Antibiothérapie — Principes &amp; Échecs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8B0000"/>
                <w:sz w:val="18"/>
                <w:szCs w:val="18"/>
                <w:rFonts w:ascii="Arial" w:cs="Arial" w:eastAsia="Arial" w:hAnsi="Arial"/>
              </w:rPr>
              <w:t xml:space="preserve">28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15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UGD &amp; Helicobacter pylori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8B0000"/>
                <w:sz w:val="18"/>
                <w:szCs w:val="18"/>
                <w:rFonts w:ascii="Arial" w:cs="Arial" w:eastAsia="Arial" w:hAnsi="Arial"/>
              </w:rPr>
              <w:t xml:space="preserve">26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16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OMA — Otite moyenne aiguë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8B0000"/>
                <w:sz w:val="18"/>
                <w:szCs w:val="18"/>
                <w:rFonts w:ascii="Arial" w:cs="Arial" w:eastAsia="Arial" w:hAnsi="Arial"/>
              </w:rPr>
              <w:t xml:space="preserve">25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17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Douleur thoracique aiguë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8B0000"/>
                <w:sz w:val="18"/>
                <w:szCs w:val="18"/>
                <w:rFonts w:ascii="Arial" w:cs="Arial" w:eastAsia="Arial" w:hAnsi="Arial"/>
              </w:rPr>
              <w:t xml:space="preserve">17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18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Angine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8B0000"/>
                <w:sz w:val="18"/>
                <w:szCs w:val="18"/>
                <w:rFonts w:ascii="Arial" w:cs="Arial" w:eastAsia="Arial" w:hAnsi="Arial"/>
              </w:rPr>
              <w:t xml:space="preserve">16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19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SCA — Syndrome coronarien aigu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8B0000"/>
                <w:sz w:val="18"/>
                <w:szCs w:val="18"/>
                <w:rFonts w:ascii="Arial" w:cs="Arial" w:eastAsia="Arial" w:hAnsi="Arial"/>
              </w:rPr>
              <w:t xml:space="preserve">15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20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RGO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8B0000"/>
                <w:sz w:val="18"/>
                <w:szCs w:val="18"/>
                <w:rFonts w:ascii="Arial" w:cs="Arial" w:eastAsia="Arial" w:hAnsi="Arial"/>
              </w:rPr>
              <w:t xml:space="preserve">15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21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Sinusite &amp; Rhinite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8B0000"/>
                <w:sz w:val="18"/>
                <w:szCs w:val="18"/>
                <w:rFonts w:ascii="Arial" w:cs="Arial" w:eastAsia="Arial" w:hAnsi="Arial"/>
              </w:rPr>
              <w:t xml:space="preserve">14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22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IRC &amp; troubles métaboliques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8B0000"/>
                <w:sz w:val="18"/>
                <w:szCs w:val="18"/>
                <w:rFonts w:ascii="Arial" w:cs="Arial" w:eastAsia="Arial" w:hAnsi="Arial"/>
              </w:rPr>
              <w:t xml:space="preserve">10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—</w:t>
            </w:r>
          </w:p>
        </w:tc>
      </w:tr>
    </w:tbl>
    <w:p>
      <w:r>
        <w:br w:type="page"/>
      </w:r>
    </w:p>
    <w:p>
      <w:pPr>
        <w:pBdr>
          <w:top w:val="single" w:color="1F3A5F" w:sz="8"/>
          <w:bottom w:val="single" w:color="1F3A5F" w:sz="8"/>
        </w:pBdr>
        <w:shd w:fill="1F3A5F" w:val="clear"/>
        <w:spacing w:before="240" w:after="120"/>
        <w:jc w:val="center"/>
      </w:pPr>
      <w:r>
        <w:rPr>
          <w:b/>
          <w:bCs/>
          <w:color w:val="FFFFFF"/>
          <w:sz w:val="24"/>
          <w:szCs w:val="24"/>
          <w:rFonts w:ascii="Arial" w:cs="Arial" w:eastAsia="Arial" w:hAnsi="Arial"/>
        </w:rPr>
        <w:t xml:space="preserve">PARTIE 2 — MOYENNE DE QUESTIONS PAR LEÇON PAR EXAMEN</w:t>
      </w:r>
    </w:p>
    <w:p>
      <w:pPr>
        <w:spacing w:before="60" w:after="60"/>
        <w:jc w:val="left"/>
      </w:pPr>
      <w:r>
        <w:rPr>
          <w:b w:val="false"/>
          <w:bCs w:val="false"/>
          <w:i/>
          <w:iCs/>
          <w:color w:val="000000"/>
          <w:sz w:val="20"/>
          <w:szCs w:val="20"/>
          <w:rFonts w:ascii="Arial" w:cs="Arial" w:eastAsia="Arial" w:hAnsi="Arial"/>
        </w:rPr>
        <w:t xml:space="preserve">Statistiques calculées sur 14 sessions, chaque examen ~50 questions.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400"/>
        <w:gridCol w:w="1700"/>
        <w:gridCol w:w="1860"/>
      </w:tblGrid>
      <w:tr>
        <w:trPr>
          <w:tblHeader/>
        </w:trP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Leçon officielle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Total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Moy/exam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% d'exam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Vaccination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56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8B0000"/>
                <w:sz w:val="18"/>
                <w:szCs w:val="18"/>
                <w:rFonts w:ascii="Arial" w:cs="Arial" w:eastAsia="Arial" w:hAnsi="Arial"/>
              </w:rPr>
              <w:t xml:space="preserve">4.00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8.0%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Pathologie thyroïdienne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53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8B0000"/>
                <w:sz w:val="18"/>
                <w:szCs w:val="18"/>
                <w:rFonts w:ascii="Arial" w:cs="Arial" w:eastAsia="Arial" w:hAnsi="Arial"/>
              </w:rPr>
              <w:t xml:space="preserve">3.79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7.6%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Migraine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48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8B0000"/>
                <w:sz w:val="18"/>
                <w:szCs w:val="18"/>
                <w:rFonts w:ascii="Arial" w:cs="Arial" w:eastAsia="Arial" w:hAnsi="Arial"/>
              </w:rPr>
              <w:t xml:space="preserve">3.43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6.9%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IRABC — Infections respiratoires basses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48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8B0000"/>
                <w:sz w:val="18"/>
                <w:szCs w:val="18"/>
                <w:rFonts w:ascii="Arial" w:cs="Arial" w:eastAsia="Arial" w:hAnsi="Arial"/>
              </w:rPr>
              <w:t xml:space="preserve">3.43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6.9%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Transplantation rénale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46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8B0000"/>
                <w:sz w:val="18"/>
                <w:szCs w:val="18"/>
                <w:rFonts w:ascii="Arial" w:cs="Arial" w:eastAsia="Arial" w:hAnsi="Arial"/>
              </w:rPr>
              <w:t xml:space="preserve">3.29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6.6%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Diabète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44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8B0000"/>
                <w:sz w:val="18"/>
                <w:szCs w:val="18"/>
                <w:rFonts w:ascii="Arial" w:cs="Arial" w:eastAsia="Arial" w:hAnsi="Arial"/>
              </w:rPr>
              <w:t xml:space="preserve">3.14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6.3%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Corticothérapie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43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8B0000"/>
                <w:sz w:val="18"/>
                <w:szCs w:val="18"/>
                <w:rFonts w:ascii="Arial" w:cs="Arial" w:eastAsia="Arial" w:hAnsi="Arial"/>
              </w:rPr>
              <w:t xml:space="preserve">3.07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6.1%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Épilepsie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38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8B0000"/>
                <w:sz w:val="18"/>
                <w:szCs w:val="18"/>
                <w:rFonts w:ascii="Arial" w:cs="Arial" w:eastAsia="Arial" w:hAnsi="Arial"/>
              </w:rPr>
              <w:t xml:space="preserve">2.71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5.4%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HTA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33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8B0000"/>
                <w:sz w:val="18"/>
                <w:szCs w:val="18"/>
                <w:rFonts w:ascii="Arial" w:cs="Arial" w:eastAsia="Arial" w:hAnsi="Arial"/>
              </w:rPr>
              <w:t xml:space="preserve">2.36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4.7%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Antibacillaires — Tuberculose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33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8B0000"/>
                <w:sz w:val="18"/>
                <w:szCs w:val="18"/>
                <w:rFonts w:ascii="Arial" w:cs="Arial" w:eastAsia="Arial" w:hAnsi="Arial"/>
              </w:rPr>
              <w:t xml:space="preserve">2.36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4.7%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Dermatologie — Dermocorticoïdes &amp; Antiseptiques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31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8B0000"/>
                <w:sz w:val="18"/>
                <w:szCs w:val="18"/>
                <w:rFonts w:ascii="Arial" w:cs="Arial" w:eastAsia="Arial" w:hAnsi="Arial"/>
              </w:rPr>
              <w:t xml:space="preserve">2.21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4.4%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Asthme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31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8B0000"/>
                <w:sz w:val="18"/>
                <w:szCs w:val="18"/>
                <w:rFonts w:ascii="Arial" w:cs="Arial" w:eastAsia="Arial" w:hAnsi="Arial"/>
              </w:rPr>
              <w:t xml:space="preserve">2.21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4.4%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AINS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29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8B0000"/>
                <w:sz w:val="18"/>
                <w:szCs w:val="18"/>
                <w:rFonts w:ascii="Arial" w:cs="Arial" w:eastAsia="Arial" w:hAnsi="Arial"/>
              </w:rPr>
              <w:t xml:space="preserve">2.07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4.1%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Antibiothérapie — Principes &amp; Échecs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28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8B0000"/>
                <w:sz w:val="18"/>
                <w:szCs w:val="18"/>
                <w:rFonts w:ascii="Arial" w:cs="Arial" w:eastAsia="Arial" w:hAnsi="Arial"/>
              </w:rPr>
              <w:t xml:space="preserve">2.00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4.0%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UGD &amp; Helicobacter pylori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26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8B0000"/>
                <w:sz w:val="18"/>
                <w:szCs w:val="18"/>
                <w:rFonts w:ascii="Arial" w:cs="Arial" w:eastAsia="Arial" w:hAnsi="Arial"/>
              </w:rPr>
              <w:t xml:space="preserve">1.86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3.7%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OMA — Otite moyenne aiguë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25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8B0000"/>
                <w:sz w:val="18"/>
                <w:szCs w:val="18"/>
                <w:rFonts w:ascii="Arial" w:cs="Arial" w:eastAsia="Arial" w:hAnsi="Arial"/>
              </w:rPr>
              <w:t xml:space="preserve">1.79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3.6%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Douleur thoracique aiguë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17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8B0000"/>
                <w:sz w:val="18"/>
                <w:szCs w:val="18"/>
                <w:rFonts w:ascii="Arial" w:cs="Arial" w:eastAsia="Arial" w:hAnsi="Arial"/>
              </w:rPr>
              <w:t xml:space="preserve">1.21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2.4%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Angine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16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8B0000"/>
                <w:sz w:val="18"/>
                <w:szCs w:val="18"/>
                <w:rFonts w:ascii="Arial" w:cs="Arial" w:eastAsia="Arial" w:hAnsi="Arial"/>
              </w:rPr>
              <w:t xml:space="preserve">1.14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2.3%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SCA — Syndrome coronarien aigu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15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8B0000"/>
                <w:sz w:val="18"/>
                <w:szCs w:val="18"/>
                <w:rFonts w:ascii="Arial" w:cs="Arial" w:eastAsia="Arial" w:hAnsi="Arial"/>
              </w:rPr>
              <w:t xml:space="preserve">1.07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2.1%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RGO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15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8B0000"/>
                <w:sz w:val="18"/>
                <w:szCs w:val="18"/>
                <w:rFonts w:ascii="Arial" w:cs="Arial" w:eastAsia="Arial" w:hAnsi="Arial"/>
              </w:rPr>
              <w:t xml:space="preserve">1.07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2.1%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Sinusite &amp; Rhinite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14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8B0000"/>
                <w:sz w:val="18"/>
                <w:szCs w:val="18"/>
                <w:rFonts w:ascii="Arial" w:cs="Arial" w:eastAsia="Arial" w:hAnsi="Arial"/>
              </w:rPr>
              <w:t xml:space="preserve">1.00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2.0%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IRC &amp; troubles métaboliques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10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8B0000"/>
                <w:sz w:val="18"/>
                <w:szCs w:val="18"/>
                <w:rFonts w:ascii="Arial" w:cs="Arial" w:eastAsia="Arial" w:hAnsi="Arial"/>
              </w:rPr>
              <w:t xml:space="preserve">0.71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1.4%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TOTAL des leçons (22 chapitres)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699 Q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8B0000"/>
                <w:sz w:val="18"/>
                <w:szCs w:val="18"/>
                <w:rFonts w:ascii="Arial" w:cs="Arial" w:eastAsia="Arial" w:hAnsi="Arial"/>
              </w:rPr>
              <w:t xml:space="preserve">49.9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8B0000"/>
                <w:sz w:val="18"/>
                <w:szCs w:val="18"/>
                <w:rFonts w:ascii="Arial" w:cs="Arial" w:eastAsia="Arial" w:hAnsi="Arial"/>
              </w:rPr>
              <w:t xml:space="preserve">99.9%</w:t>
            </w:r>
          </w:p>
        </w:tc>
      </w:tr>
    </w:tbl>
    <w:p>
      <w:r>
        <w:br w:type="page"/>
      </w:r>
    </w:p>
    <w:p>
      <w:pPr>
        <w:pBdr>
          <w:top w:val="single" w:color="1F3A5F" w:sz="8"/>
          <w:bottom w:val="single" w:color="1F3A5F" w:sz="8"/>
        </w:pBdr>
        <w:shd w:fill="1F3A5F" w:val="clear"/>
        <w:spacing w:before="240" w:after="120"/>
        <w:jc w:val="center"/>
      </w:pPr>
      <w:r>
        <w:rPr>
          <w:b/>
          <w:bCs/>
          <w:color w:val="FFFFFF"/>
          <w:sz w:val="24"/>
          <w:szCs w:val="24"/>
          <w:rFonts w:ascii="Arial" w:cs="Arial" w:eastAsia="Arial" w:hAnsi="Arial"/>
        </w:rPr>
        <w:t xml:space="preserve">PARTIE 3 — QUESTIONS LES PLUS FRÉQUENTES (ORDRE STRICT PAR RANG)</w:t>
      </w:r>
    </w:p>
    <w:p>
      <w:pPr>
        <w:spacing w:before="60" w:after="60"/>
        <w:jc w:val="center"/>
      </w:pPr>
      <w:r>
        <w:rPr>
          <w:b w:val="false"/>
          <w:bCs w:val="false"/>
          <w:i/>
          <w:iCs/>
          <w:color w:val="000000"/>
          <w:sz w:val="20"/>
          <w:szCs w:val="20"/>
          <w:rFonts w:ascii="Arial" w:cs="Arial" w:eastAsia="Arial" w:hAnsi="Arial"/>
        </w:rPr>
        <w:t xml:space="preserve">Format : faits (-) / pièges (⚠) / source (📖) / lien cours (📎) / citations (📋)</w:t>
      </w:r>
    </w:p>
    <w:p>
      <w:pPr>
        <w:pStyle w:val="Heading1"/>
        <w:pBdr>
          <w:bottom w:val="single" w:color="1F3A5F" w:sz="12" w:space="4"/>
        </w:pBdr>
        <w:spacing w:before="360" w:after="200"/>
      </w:pPr>
      <w:r>
        <w:rPr>
          <w:b/>
          <w:bCs/>
          <w:color w:val="1F3A5F"/>
          <w:sz w:val="32"/>
          <w:szCs w:val="32"/>
          <w:rFonts w:ascii="Arial" w:cs="Arial" w:eastAsia="Arial" w:hAnsi="Arial"/>
        </w:rPr>
        <w:t xml:space="preserve">[RANG 1] VACCINATION</w:t>
      </w:r>
    </w:p>
    <w:p>
      <w:pPr>
        <w:spacing w:before="60" w:after="60"/>
        <w:jc w:val="center"/>
      </w:pPr>
      <w:r>
        <w:rPr>
          <w:b/>
          <w:bCs/>
          <w:i/>
          <w:iCs/>
          <w:color w:val="8B0000"/>
          <w:sz w:val="22"/>
          <w:szCs w:val="22"/>
          <w:rFonts w:ascii="Arial" w:cs="Arial" w:eastAsia="Arial" w:hAnsi="Arial"/>
        </w:rPr>
        <w:t xml:space="preserve">—  •  ~4.00 Q/examen (56 Q)</w:t>
      </w:r>
    </w:p>
    <w:p>
      <w:pPr>
        <w:spacing w:before="40" w:after="40"/>
        <w:jc w:val="center"/>
      </w:pPr>
      <w:r>
        <w:rPr>
          <w:i/>
          <w:iCs/>
          <w:color w:val="404040"/>
          <w:sz w:val="20"/>
          <w:szCs w:val="20"/>
          <w:rFonts w:ascii="Arial" w:cs="Arial" w:eastAsia="Arial" w:hAnsi="Arial"/>
        </w:rPr>
        <w:t xml:space="preserve">📖 PNI — Programme National d'Immunisation (Maroc)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BCG — un enfant vacciné par le BCG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Protège SURTOUT contre les formes graves (miliaire, méningite tuberculeuse), PAS à 100 %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Risque d'effets secondaires graves (BCGite généralisée) si IMMUNODÉPRIMÉ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Vaccin VIVANT atténué, voie intradermique, NE nécessite PAS de contrôle par IDR ni de rappel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100 % protégé contre la tuberculose »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doit être contrôlé par l'IDR à la tuberculine » / « doit avoir une IDR négative »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nécessite des rappels »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9× : M24Q21, Jn24Q27, Nv24Q21, D24Q27, M23Q30, M22Q8, M20Q9, Jn20Q8, Jn19Q33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Vaccins VIVANTS atténués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BCG + Rougeole (ROR) + Polio ORALE (VPO) = vivants atténués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Contre-indiqués chez l'immunodéprimé et la femme enceinte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Polio INJECTABLE (VPI) = INACTIVÉ, pas vivant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Hépatite B = INACTIVÉ (sous-unité), pas vivant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8× : N25Q26, M24Q23, Nv24Q23, M23Q32, Jn23Q50, M20Q11, Jn20Q7, Jn19Q32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Vaccins INACTIVÉS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Polio INJECTABLE (VPI) + Hépatite B = inactivés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Le pneumocoque conjugué et l'Haemophilus sont également inactivés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classer BCG / rougeole / polio orale parmi les inactivés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2× : Jn24Q29, D24Q29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Vaccin contre le ROTAVIRUS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Évite PLUTÔT les formes graves (déshydratation) — n'élimine PAS la maladie diarrhéique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Inclus au PNI, voie ORALE, fenêtre d'âge précoce (≤ 6 mois, ne se rattrape pas tard)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permet d'éliminer la maladie diarrhéique »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peut être donné à tout âge » / « à un enfant de 3 ans »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voie injectable »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7× : N25Q23, M24Q20, Nv24Q20, M23Q29, M22Q7, M20Q8, Jn19Q30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Vaccins disponibles au PNI marocain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Coqueluche (entier), Rotavirus, Haemophilus, Hépatite B, BCG, Pneumocoque, Polio, ROR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Vaccin contre la ROUGEOLE = vivant atténué, inclus au PNI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Hépatite A — NON inclus au PNI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Varicelle — NON inclus au PNI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Oreillons isolé — donné dans le ROR, pas comme valence isolée du PNI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9×+ : N25Q25, M24Q22, Nv24Q22, M23Q31, M22Q9, Jn22Q30, M21Q1, M20Q10, M18Q38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Rattrapage vaccinal (nourrisson ayant interrompu)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On REPREND le calendrier là où il s'est arrêté — on ne recommence PAS à zéro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À 9 mois on peut donner DTC-Polio, rougeole (ROR) et hépatite B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reprendre le programme comme s'il n'a rien reçu »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redonner le rotavirus en rattrapage tardif (fenêtre dépassée)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3× : Jn20Q6, Jn19Q31, M18Q41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Contre-indications du BCG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Granulomatose septique chronique, infection VIH, déficit immunitaire combiné sévère (DICS)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hypotrophie et ictère physiologique NE sont PAS des CI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3× : Jn22Q32, M21Q3, M18Q39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Vaccin antipneumococcique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Inclus au PNI, peut être administré à l'immunodéprimé, voie injectable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Ne fait pas disparaître TOUS les cas de méningite à pneumocoque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élimine tous les cas de méningite à pneumocoque »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vaccin vivant » (il est conjugué/inactivé)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Jn23Q47</w:t>
      </w:r>
    </w:p>
    <w:p>
      <w:pPr>
        <w:pStyle w:val="Heading1"/>
        <w:pBdr>
          <w:bottom w:val="single" w:color="1F3A5F" w:sz="12" w:space="4"/>
        </w:pBdr>
        <w:spacing w:before="360" w:after="200"/>
      </w:pPr>
      <w:r>
        <w:rPr>
          <w:b/>
          <w:bCs/>
          <w:color w:val="1F3A5F"/>
          <w:sz w:val="32"/>
          <w:szCs w:val="32"/>
          <w:rFonts w:ascii="Arial" w:cs="Arial" w:eastAsia="Arial" w:hAnsi="Arial"/>
        </w:rPr>
        <w:t xml:space="preserve">[RANG 2] PATHOLOGIE THYROÏDIENNE</w:t>
      </w:r>
    </w:p>
    <w:p>
      <w:pPr>
        <w:spacing w:before="60" w:after="60"/>
        <w:jc w:val="center"/>
      </w:pPr>
      <w:r>
        <w:rPr>
          <w:b/>
          <w:bCs/>
          <w:i/>
          <w:iCs/>
          <w:color w:val="8B0000"/>
          <w:sz w:val="22"/>
          <w:szCs w:val="22"/>
          <w:rFonts w:ascii="Arial" w:cs="Arial" w:eastAsia="Arial" w:hAnsi="Arial"/>
        </w:rPr>
        <w:t xml:space="preserve">—  •  ~3.79 Q/examen (53 Q)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Carbimazole (Dimazol®) &amp; Méthimazole (Thyrozol®)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Antithyroïdiens de synthèse (ATS) de la famille des MERCAPTO-IMIDAZOLÉS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Indiqués pour la phase d'hyperthyroïdie ; utilisés systématiquement avant tout traitement radical (préparation à l'euthyroïdie)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famille des dérivés du thio-uracile » (c'est le PTU/BTU, pas eux)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traitement de l'hypothyroïdie »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4×+ : N25Q4, Jn24Q4, D24Q4, Jn23Q7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L-Thyroxine (Lévothyrox®) — dose &amp; prise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Dose usuelle post-op chez sujet jeune sans cardiopathie : 1,5 à 2 µg/Kg/jour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Prise le MATIN, À JEUN, au moins 30 min avant le petit-déjeuner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Chez coronarien et sujet âgé : dose atteinte par PALIERS progressifs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doses en mg/j ou en mg/Kg/j (piège d'unité — c'est µg/Kg/j)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prise le soir » / « indépendante des repas »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8×+ : N25Q5, Jn24Q6, M24Q7, Nv24Q7, M23Q18, M22Q18, Jn20Q19, M18Q6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Maladie de Basedow — traitement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ATS, posologie initiale d'attaque du Carbimazole = 20 à 40 mg/j, adaptée à l'intensité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Bêtabloquant (propranolol) souvent associé en attendant l'effet des ATS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Durée du traitement médical conventionnel : 12 à 18 mois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posologie en mg/Kg/j (c'est mg/j)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durée ne doit pas dépasser 6 mois »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radiothérapie EXTERNE » comme traitement radical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N25Q6, Jn24Q7, D24Q7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Traitement RADICAL des hyperthyroïdies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Irathérapie par l'IODE 131 OU thyroïdectomie totale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L'iode 131 nécessite l'euthyroïdie préalable ; CI en grossesse et orbitopathie sévère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iode 132 » / « Technétium » (piège d'isotope — c'est le 131)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radiothérapie externe » / « chimiothérapie »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M24Q8, Nv24Q8, M23Q19, M22Q19, Jn19Q11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Goitre multinodulaire toxique (GMNT)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Traitement radical le plus souvent : THYROÏDECTOMIE TOTALE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Préparation systématique par ATS avant la chirurgie (obtention de l'euthyroïdie)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Suivi post-thyroïdectomie : Lévothyrox® + dosage de la TSHus seule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irathérapie I131 » comme radical de 1er choix du GMNT (c'est la chirurgie)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surveillance par LT3/LT4 (c'est la TSHus qui guide)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3×+ : Jn24Q5, D24Q5, Jn23Q8 + Jn24Q6/D24Q6/Jn23Q9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Effets secondaires des ATS (mercapto-imidazolés)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Le plus FRÉQUENT : rash urticarien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Le plus REDOUTÉ / grave : AGRANULOCYTOSE (NFS impérative devant toute fièvre/angine)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Ne pas confondre « fréquent » (rash) et « redouté » (agranulocytose)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insuffisance rénale aiguë / anémie hémolytique comme effet principal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M24Q9, Nv24Q9, M22Q20, M18Q5, M23Q20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Complications de la thyroïdectomie totale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Paralysie récurrentielle (nerf récurrent), HYPOparathyroïdie (hypocalcémie), hématome suffocant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HYPERparathyroïdie » (c'est l'HYPO par exérèse parathyroïdienne)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AVC hémorragique » / « lésion des carotides internes »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Jn19Q10</w:t>
      </w:r>
    </w:p>
    <w:p>
      <w:pPr>
        <w:pStyle w:val="Heading1"/>
        <w:pBdr>
          <w:bottom w:val="single" w:color="1F3A5F" w:sz="12" w:space="4"/>
        </w:pBdr>
        <w:spacing w:before="360" w:after="200"/>
      </w:pPr>
      <w:r>
        <w:rPr>
          <w:b/>
          <w:bCs/>
          <w:color w:val="1F3A5F"/>
          <w:sz w:val="32"/>
          <w:szCs w:val="32"/>
          <w:rFonts w:ascii="Arial" w:cs="Arial" w:eastAsia="Arial" w:hAnsi="Arial"/>
        </w:rPr>
        <w:t xml:space="preserve">[RANG 3] MIGRAINE</w:t>
      </w:r>
    </w:p>
    <w:p>
      <w:pPr>
        <w:spacing w:before="60" w:after="60"/>
        <w:jc w:val="center"/>
      </w:pPr>
      <w:r>
        <w:rPr>
          <w:b/>
          <w:bCs/>
          <w:i/>
          <w:iCs/>
          <w:color w:val="8B0000"/>
          <w:sz w:val="22"/>
          <w:szCs w:val="22"/>
          <w:rFonts w:ascii="Arial" w:cs="Arial" w:eastAsia="Arial" w:hAnsi="Arial"/>
        </w:rPr>
        <w:t xml:space="preserve">—  •  ~3.43 Q/examen (48 Q)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Traitement SPÉCIFIQUE de la crise = TRIPTANS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Élétriptan (Relpax®), Rizatriptan, Sumatriptan… = traitement spécifique de la crise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Pris DÈS le début de la céphalée ; vasoconstricteurs ; dose minimale efficace ; combinables aux AINS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CI : cardiopathie ischémique / coronaropathie, HTA non contrôlée, migraine hémiplégique, migraine du tronc cérébral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pris à la FIN de la céphalée » (c'est au début)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M24Q15, Nv24Q15, Jn24Q21, D24Q21, M21Q50, M20Q45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Traitement NON spécifique de la crise (antalgiques/AINS)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AINS : Ibuprofène, Naproxène, Diclofénac ; + Aspirine et Paracétamol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Chez la femme enceinte : PARACÉTAMOL en 1re intention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Étoricoxib (coxib) comme traitement non spécifique de la migraine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Amitriptyline/Topiramate en crise (ce sont des traitements de FOND)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N25Q11, M24Q14, Jn24Q23, D24Q23, Nv24Q14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Traitement de FOND / préventif — indications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Migraines fréquentes et handicapantes, échec du traitement de crise, risque d'abus médicamenteux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Durée 6 à 12 mois, sevrage progressif, réintroduction si récidive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indiqué dans la migraine avec aura » comme critère à lui seul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Jn24Q22, D24Q22, Jn23Q20, Jn22Q18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Choix du traitement de FOND selon le terrain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HYPERTENDU → PROPRANOLOL (bêtabloquant) en 1re intention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DÉPRIMÉ → AMITRIPTYLINE (Laroxyl®)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Autres : Topiramate, anticorps monoclonaux anti-CGRP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Propranolol/Topiramate prescrits 3 à 6 mois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Carbamazépine / Gabapentine / Lévétiracétam comme traitement de fond de la migraine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Jn24Q20, D24Q20, N25Q13, M23Q37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LASMIDITAN (nouvelle molécule de crise)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Efficacité comparable aux triptans, agit sur la voie CGRP, voie orale, bien toléré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Intérêt : PAS de vasoconstriction → utilisable si pathologie cardiovasculaire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contre-indiqué en cas de pathologie cardiovasculaire » (c'est justement son avantage)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4× : M24Q19, Nv24Q19, Jn23Q15, M21Q46</w:t>
      </w:r>
    </w:p>
    <w:p>
      <w:pPr>
        <w:pStyle w:val="Heading1"/>
        <w:pBdr>
          <w:bottom w:val="single" w:color="1F3A5F" w:sz="12" w:space="4"/>
        </w:pBdr>
        <w:spacing w:before="360" w:after="200"/>
      </w:pPr>
      <w:r>
        <w:rPr>
          <w:b/>
          <w:bCs/>
          <w:color w:val="1F3A5F"/>
          <w:sz w:val="32"/>
          <w:szCs w:val="32"/>
          <w:rFonts w:ascii="Arial" w:cs="Arial" w:eastAsia="Arial" w:hAnsi="Arial"/>
        </w:rPr>
        <w:t xml:space="preserve">[RANG 4] IRABC — INFECTIONS RESPIRATOIRES BASSES COMMUNAUTAIRES</w:t>
      </w:r>
    </w:p>
    <w:p>
      <w:pPr>
        <w:spacing w:before="60" w:after="60"/>
        <w:jc w:val="center"/>
      </w:pPr>
      <w:r>
        <w:rPr>
          <w:b/>
          <w:bCs/>
          <w:i/>
          <w:iCs/>
          <w:color w:val="8B0000"/>
          <w:sz w:val="22"/>
          <w:szCs w:val="22"/>
          <w:rFonts w:ascii="Arial" w:cs="Arial" w:eastAsia="Arial" w:hAnsi="Arial"/>
        </w:rPr>
        <w:t xml:space="preserve">—  •  ~3.43 Q/examen (48 Q)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Bronchite aiguë NON compliquée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Traitement SYMPTOMATIQUE : antipyrétique + vitamine C — PAS d'antibiotique d'emblée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Antibiotique justifié SEULEMENT si : fièvre &gt; 38,5–39 °C persistante OU OMA purulente associée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antibiothérapie systématique »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Amoxicilline / Amox-clav d'emblée dans la bronchite simple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corticoïdes inhalés dans la bronchite aiguë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N25Q33/35, M24Q40, Nv24Q40, Jn24Q34/35, D24Q34/35, Jn23Q23/24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Pneumonie à pneumocoque, sujet jeune SANS comorbidité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AMOXICILLINE 1re intention, 3 g/jour (1 g × 3)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Enfant : Amoxicilline 100 mg/Kg/j en 3 prises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Amox-clav / C3G / fluoroquinolone / macrolide en 1re intention chez le jeune sain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2 g/jour » (la cible adulte est 3 g/j)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4×+ : M24Q43, Jn24Q38, Nv24Q43, D24Q38, N25Q38, M18Q40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Pneumonie avec COMORBIDITÉS / sujet âgé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AMOXICILLINE + ACIDE CLAVULANIQUE 1re intention (1 g × 3/j)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Pneumonie atypique suspectée → macrolide (azithromycine) ou fluoroquinolone respiratoire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amoxicilline seule chez le patient à comorbidités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N25Q37, Jn23Q27, M20Q13, M23Q24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Critères d'HOSPITALISATION d'une pneumonie (CRB-65)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Confusion, FR &gt; 30 cpm, PA basse (PAS&lt;90 / PAD≤60), Âge ≥ 65 ans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Évaluer aussi conscience, FC, FR, TA, terrain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âge &lt; 65 ans » comme critère de gravité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la seule opacité radiologique ne décide pas l'hospitalisation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N25Q34, Jn23Q26, M20Q12, M18Q11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Exacerbation de BPCO — LÉGÈRE vs SÉVÈRE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LÉGÈRE : bronchodilatateurs ± antibiotique SI expectorations purulentes (Amox-clav, lévofloxacine, moxifloxacine)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SÉVÈRE : antibiothérapie + bronchodilatateurs + corticothérapie systémique + oxygénothérapie ± ventilation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antitussif dans l'exacerbation de BPCO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amoxicilline seule pour l'exacerbation bactérienne de BPCO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4×+ : M24Q41/42, Jn24Q36/37, Nv24Q41/42, D24Q36/37, Jn23Q25, Jn20Q30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Prévention des IRABC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Sevrage tabagique, vaccination (antigrippale + antipneumococcique), lavage des mains, port du masque, correction des comorbidités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antibiothérapie prophylactique chez les BPCO » / « lors des bronchites aiguës »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N25Q39, M20Q14</w:t>
      </w:r>
    </w:p>
    <w:p>
      <w:pPr>
        <w:pStyle w:val="Heading1"/>
        <w:pBdr>
          <w:bottom w:val="single" w:color="1F3A5F" w:sz="12" w:space="4"/>
        </w:pBdr>
        <w:spacing w:before="360" w:after="200"/>
      </w:pPr>
      <w:r>
        <w:rPr>
          <w:b/>
          <w:bCs/>
          <w:color w:val="1F3A5F"/>
          <w:sz w:val="32"/>
          <w:szCs w:val="32"/>
          <w:rFonts w:ascii="Arial" w:cs="Arial" w:eastAsia="Arial" w:hAnsi="Arial"/>
        </w:rPr>
        <w:t xml:space="preserve">[RANG 5] TRANSPLANTATION RÉNALE</w:t>
      </w:r>
    </w:p>
    <w:p>
      <w:pPr>
        <w:spacing w:before="60" w:after="60"/>
        <w:jc w:val="center"/>
      </w:pPr>
      <w:r>
        <w:rPr>
          <w:b/>
          <w:bCs/>
          <w:i/>
          <w:iCs/>
          <w:color w:val="8B0000"/>
          <w:sz w:val="22"/>
          <w:szCs w:val="22"/>
          <w:rFonts w:ascii="Arial" w:cs="Arial" w:eastAsia="Arial" w:hAnsi="Arial"/>
        </w:rPr>
        <w:t xml:space="preserve">—  •  ~3.29 Q/examen (46 Q)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Généralités sur la transplantation rénale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Meilleur traitement de l'IRC terminale, améliore qualité de vie et survie, coût moindre que la dialyse à long terme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Nécessite un traitement immunosuppresseur À VIE, une évaluation immunologique et un suivi au long cours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Greffon implanté en FOSSE ILIAQUE ; anastomose veineuse sur la veine iliaque ; sonde JJ urinaire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immunosuppresseur uniquement la 1re année »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néphrectomie systématique du rein natif » du receveur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aucun suivi après la greffe » / « expose à une surmortalité »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4×+ : N25Q47, M24Q1, Nv24Q1, Jn22Q34, M21Q6, Jn20Q20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Traitement immunosuppresseur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Objectif : prévenir le rejet aigu ET la dysfonction chronique du greffon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Repose sur une ASSOCIATION de plusieurs molécules (pas une monothérapie)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Comporte une phase d'INDUCTION puis une phase de MAINTENANCE ; équilibre efficacité/toxicité, posologie individualisée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monothérapie » / « corticothérapie seule »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posologie standard fixe identique chez tous »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uniquement par voie injectable »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M24Q4, Nv24Q4, Jn22Q37, M21Q8, M20Q4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Complications fréquentes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Thrombose vasculaire, complications INFECTIEUSES, REJET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perforation d'ulcère » et « complications psychiatriques » parmi les complications fréquentes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4× : N25Q49, M24Q3, Nv24Q3, Jn22Q36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Cadre légal &amp; organisation au Maroc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Régulée par un texte de loi, autorisée UNIQUEMENT dans les structures accréditées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Consentement éclairé du couple donneur–receveur obligatoire ; cross-match NÉGATIF requis avant greffe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Bons résultats avec bonne survie patients/greffons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peut être réalisée dans toutes les structures »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cross-match POSITIF avant la greffe »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concerne uniquement le donneur vivant » (le don sur mort encéphalique est prévu)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Jn24Q12/13/14, D24Q12/13/14, M21Q7, M20Q1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Contre-indications ABSOLUES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Cancer évolutif, infection mal contrôlée, maladie psychiatrique grave non contrôlée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maladie hypertensive » / « diabète » / « âge 65 ans » comme CI absolues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Jn20Q21</w:t>
      </w:r>
    </w:p>
    <w:p>
      <w:pPr>
        <w:pStyle w:val="Heading1"/>
        <w:pBdr>
          <w:bottom w:val="single" w:color="1F3A5F" w:sz="12" w:space="4"/>
        </w:pBdr>
        <w:spacing w:before="360" w:after="200"/>
      </w:pPr>
      <w:r>
        <w:rPr>
          <w:b/>
          <w:bCs/>
          <w:color w:val="1F3A5F"/>
          <w:sz w:val="32"/>
          <w:szCs w:val="32"/>
          <w:rFonts w:ascii="Arial" w:cs="Arial" w:eastAsia="Arial" w:hAnsi="Arial"/>
        </w:rPr>
        <w:t xml:space="preserve">[RANG 6] DIABÈTE</w:t>
      </w:r>
    </w:p>
    <w:p>
      <w:pPr>
        <w:spacing w:before="60" w:after="60"/>
        <w:jc w:val="center"/>
      </w:pPr>
      <w:r>
        <w:rPr>
          <w:b/>
          <w:bCs/>
          <w:i/>
          <w:iCs/>
          <w:color w:val="8B0000"/>
          <w:sz w:val="22"/>
          <w:szCs w:val="22"/>
          <w:rFonts w:ascii="Arial" w:cs="Arial" w:eastAsia="Arial" w:hAnsi="Arial"/>
        </w:rPr>
        <w:t xml:space="preserve">—  •  ~3.14 Q/examen (44 Q)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METFORMINE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Corrige l'INSULINORÉSISTANCE (potentialise l'insuline au foie/muscle), n'augmente PAS l'insulinosécrétion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Dose maximale ≈ 3000 mg/j ; CI si IR sévère (risque d'acidose lactique), prudence &gt; 75 ans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stimule la sécrétion d'insuline »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diminue l'absorption intestinale des sucres » (c'est l'acarbose)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fuite rénale de glucose » (c'est les iSGLT2) ; FAUX : dose d'initiation 4000 mg/j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N25Q1, M24Q11, Nv24Q11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Antidiabétiques INSULINOSÉCRÉTEURS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Sulfamides hypoglycémiants, Glinides, inhibiteurs DPP-4, analogues du GLP-1 → induisent une insulinosécrétion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Insuline = apport exogène (corrige le manque d'insuline)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iSGLT2 = insulinosécréteurs (ils agissent au rein, indépendamment de l'insuline)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N25Q2, Jn24Q2, D24Q2, M23Q17, M24Q12, Nv24Q12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GLINIDES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Insulinosécréteurs à DEMI-VIE COURTE, prise conditionnée par le repas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CI en cas d'insuffisance hépatique sévère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demi-vie longue de 12 h »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contre-indiqués dans l'IR modérée » (utilisables, contrairement aux sulfamides)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Jn24Q3, D24Q3, M18Q3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iSGLT2 (gliflozines)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Diminuent la réabsorption rénale du glucose → glucosurie (fuite rénale de glucose)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Risques : infections uro-génitales, hypotension, déshydratation par pollakiurie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stimulent la sécrétion d'insuline »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prise de poids importante » (ils font plutôt maigrir) ; FAUX : hypoglycémies sévères (seuls)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Jn20Q14, Jn20Q15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Insulinothérapie dans le DT2 — initiation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Indiquée après ÉCHEC du traitement oral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Débute par UNE injection d'analogue LENT à dose faible (0,1–0,2 UI/Kg/j) en association à metformine ± insulinosécréteur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Titration : adapter sur la glycémie à jeun, augmentation tous les 3 jours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d'emblée 4 injections/j » / « par pompe d'emblée »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dose d'initiation 2 UI/Kg/j »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prescrite dès la découverte du DT2 car vitale »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M24Q13, Nv24Q13, Jn19Q14, M18Q4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Objectifs glycémiques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DT1 : glycémie préprandiale 0,80–1,20 g/l, HbA1c ≈ 7 %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DT2 : HbA1c &lt; 7 % ; sujet &gt; 75 ans : HbA1c &lt; 8 % (objectif assoupli)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initier l'insuline du DT1 à 3–4 UI/Kg/j (dose basale ≈ 0,3–0,4 UI/Kg/j)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HbA1c &lt; 6 % » comme cible standard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N25Q3, Jn23Q11, M18Q1, Jn19Q15</w:t>
      </w:r>
    </w:p>
    <w:p>
      <w:pPr>
        <w:pStyle w:val="Heading1"/>
        <w:pBdr>
          <w:bottom w:val="single" w:color="1F3A5F" w:sz="12" w:space="4"/>
        </w:pBdr>
        <w:spacing w:before="360" w:after="200"/>
      </w:pPr>
      <w:r>
        <w:rPr>
          <w:b/>
          <w:bCs/>
          <w:color w:val="1F3A5F"/>
          <w:sz w:val="32"/>
          <w:szCs w:val="32"/>
          <w:rFonts w:ascii="Arial" w:cs="Arial" w:eastAsia="Arial" w:hAnsi="Arial"/>
        </w:rPr>
        <w:t xml:space="preserve">[RANG 7] CORTICOTHÉRAPIE</w:t>
      </w:r>
    </w:p>
    <w:p>
      <w:pPr>
        <w:spacing w:before="60" w:after="60"/>
        <w:jc w:val="center"/>
      </w:pPr>
      <w:r>
        <w:rPr>
          <w:b/>
          <w:bCs/>
          <w:i/>
          <w:iCs/>
          <w:color w:val="8B0000"/>
          <w:sz w:val="22"/>
          <w:szCs w:val="22"/>
          <w:rFonts w:ascii="Arial" w:cs="Arial" w:eastAsia="Arial" w:hAnsi="Arial"/>
        </w:rPr>
        <w:t xml:space="preserve">—  •  ~3.07 Q/examen (43 Q)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Surveillance clinico-biologique sous corticothérapie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Rechercher : HYPERglycémie, HYPERcholestérolémie, HYPERtriglycéridémie, HTA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Surveiller aussi le risque infectieux et la kaliémie (risque d'HYPOkaliémie)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HYPERkaliémie » (le corticoïde donne plutôt une HYPOkaliémie)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hypotension » / « hypoglycémie »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M24Q38, Nv24Q38, M20Q43, M23Q49, M22Q38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Choix de la molécule pour une corticothérapie ORALE au long cours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PREDNISONE (ou prednisolone) = molécule de référence au long cours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Prise de la TOTALITÉ de la dose le MATIN (respect du cycle physiologique)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hydrocortisone / dexaméthasone / bétaméthasone pour le long cours (réservées à d'autres indications)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fractionnement en 3 prises » / « prise le soir »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M23Q47, M22Q36, M22Q37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MYOPATHIE cortisonique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Atteinte musculaire PROXIMALE, SYMÉTRIQUE, indolore ; CPK normales ou peu élevées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EMG : tracé myogène sans activité ; récupération lente ; prévention = travail musculaire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déficit DISTAL »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atteinte douloureuse » / « atteinte asymétrique »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CPK très augmentées »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M24Q39, Nv24Q39, M20Q44, Jn19Q45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Mécanisme &amp; effet immunitaire des corticoïdes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Inducteurs de l'APOPTOSE des lymphocytes, diminuent la prolifération des LT, effet anti-inflammatoire et immunosuppresseur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stimulent la prolifération des LB » / « augmentent les immunoglobulines »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effet inflammatoire » / « effet allergisant »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Jn24Q48, D24Q48, M18Q34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Effets indésirables au long cours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Atrophie surrénalienne, diabète cortico-induit, HTA, OSTÉOPOROSE, hypogammaglobulinémie, infections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Sevrage de l'hydrocortisone pour prévenir l'insuffisance surrénalienne au sevrage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HYPERcalcémie » (risque plutôt d'ostéoporose/hypocalcémie)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hyperthyroïdie »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M23Q50, M18Q35, Jn20Q44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Prévention de l'ostéoporose cortisonique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Apport phospho-calcique + vitamine D suffisants, lutte contre la sédentarité, éviction du tabac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Ostéodensitométrie ; traitement anti-ostéoporotique selon T-score ≤ −2,5 ou FRAX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apport en protéines sans importance »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N25Q9/10, M18Q28</w:t>
      </w:r>
    </w:p>
    <w:p>
      <w:pPr>
        <w:pStyle w:val="Heading1"/>
        <w:pBdr>
          <w:bottom w:val="single" w:color="1F3A5F" w:sz="12" w:space="4"/>
        </w:pBdr>
        <w:spacing w:before="360" w:after="200"/>
      </w:pPr>
      <w:r>
        <w:rPr>
          <w:b/>
          <w:bCs/>
          <w:color w:val="1F3A5F"/>
          <w:sz w:val="32"/>
          <w:szCs w:val="32"/>
          <w:rFonts w:ascii="Arial" w:cs="Arial" w:eastAsia="Arial" w:hAnsi="Arial"/>
        </w:rPr>
        <w:t xml:space="preserve">[RANG 8] ÉPILEPSIE</w:t>
      </w:r>
    </w:p>
    <w:p>
      <w:pPr>
        <w:spacing w:before="60" w:after="60"/>
        <w:jc w:val="center"/>
      </w:pPr>
      <w:r>
        <w:rPr>
          <w:b/>
          <w:bCs/>
          <w:i/>
          <w:iCs/>
          <w:color w:val="8B0000"/>
          <w:sz w:val="22"/>
          <w:szCs w:val="22"/>
          <w:rFonts w:ascii="Arial" w:cs="Arial" w:eastAsia="Arial" w:hAnsi="Arial"/>
        </w:rPr>
        <w:t xml:space="preserve">—  •  ~2.71 Q/examen (38 Q)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Choix de l'antiépileptique selon le SYNDROME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Absence (enfant) → VALPROATE de sodium (éthosuximide aussi)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Épilepsie myoclonique juvénile → VALPROATE de sodium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Épilepsie FOCALE symptomatique → CARBAMAZÉPINE (ou lévétiracétam)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Carbamazépine dans l'absence / la myoclonie (peut les aggraver)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Gabapentine / Phénobarbital en 1re intention de ces syndromes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N25Q14, M20Q47, M24Q17, Nv24Q17, Jn24Q24, D24Q24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Antiépileptiques pendant la GROSSESSE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LAMOTRIGINE et LÉVÉTIRACÉTAM = les mieux tolérés / privilégiés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VALPROATE = à proscrire (tératogène : anomalies du tube neural, troubles neurodéveloppementaux)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Valproate (surtout à forte dose) chez la femme enceinte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Carbamazépine/Phénytoïne : à éviter si alternative possible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M24Q18, Nv24Q18, M23Q39, M22Q31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Bilan PRÉ-thérapeutique du VALPROATE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Bilan HÉPATIQUE (hépatotoxicité) + numération plaquettaire ; calcémie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Surveillance du poids et des transaminases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glycémie / ECBU / kaliémie » comme bilan clé du valproate (c'est le bilan HÉPATIQUE qui prime)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3× : N25Q16, Jn20Q28, Jn19Q19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Antiépileptiques CLASSIQUES vs nouveaux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Classiques : Carbamazépine, Valproate, Phénobarbital, Phénytoïne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Nouveaux : Lévétiracétam, Lamotrigine, Gabapentine, Topiramate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classer le Lévétiracétam parmi les « classiques »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Jn24Q25, D24Q25</w:t>
      </w:r>
    </w:p>
    <w:p>
      <w:pPr>
        <w:pStyle w:val="Heading1"/>
        <w:pBdr>
          <w:bottom w:val="single" w:color="1F3A5F" w:sz="12" w:space="4"/>
        </w:pBdr>
        <w:spacing w:before="360" w:after="200"/>
      </w:pPr>
      <w:r>
        <w:rPr>
          <w:b/>
          <w:bCs/>
          <w:color w:val="1F3A5F"/>
          <w:sz w:val="32"/>
          <w:szCs w:val="32"/>
          <w:rFonts w:ascii="Arial" w:cs="Arial" w:eastAsia="Arial" w:hAnsi="Arial"/>
        </w:rPr>
        <w:t xml:space="preserve">[RANG 9] HTA — HYPERTENSION ARTÉRIELLE</w:t>
      </w:r>
    </w:p>
    <w:p>
      <w:pPr>
        <w:spacing w:before="60" w:after="60"/>
        <w:jc w:val="center"/>
      </w:pPr>
      <w:r>
        <w:rPr>
          <w:b/>
          <w:bCs/>
          <w:i/>
          <w:iCs/>
          <w:color w:val="8B0000"/>
          <w:sz w:val="22"/>
          <w:szCs w:val="22"/>
          <w:rFonts w:ascii="Arial" w:cs="Arial" w:eastAsia="Arial" w:hAnsi="Arial"/>
        </w:rPr>
        <w:t xml:space="preserve">—  •  ~2.36 Q/examen (33 Q)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Bithérapie de 1re intention (ISH 2020 / ESC)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Association de base : IEC (ou ARA II) + INHIBITEUR CALCIQUE (ou + diurétique thiazidique)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HTA grade ≥ 2 ou haut risque CV : bithérapie d'emblée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associer IEC + ARA II (double blocage du SRA déconseillé)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diurétique de l'anse comme antihypertenseur de fond (sauf IR/IC)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Jn23Q5, M22Q14, M18Q20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Effets indésirables des IEC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Toux sèche, hyperkaliémie, élévation de la créatininémie (surveiller fonction rénale + kaliémie)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Devant une dégradation rénale + hypokaliémie sous IEC → évoquer une cause RÉNOVASCULAIRE (sténose des artères rénales)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hypokaliémie » comme effet propre de l'IEC (il donne une HYPERkaliémie)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allongement du PR »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Jn23Q4, M20Q33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Indications des BÊTABLOQUANTS dans l'HTA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Fibrillation atriale, angor d'effort, post-infarctus, dissection aortique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Prudence/CI relative : asthme non contrôlé, BPCO ; ne pas associer BB + vérapamil/diltiazem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Jn23Q6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HTA RÉSISTANTE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Ajout de SPIRONOLACTONE à la dose de 25 mg en 4e ligne (après trithérapie incluant un diurétique)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spironolactone « 50 / 75 / 100 mg » d'emblée (la dose de référence ici est 25 mg)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M23Q9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Mesures hygiéno-diététiques &amp; objectifs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Sel &lt; 6 g/j, réduction pondérale, activité physique ; cible PAS souvent 130–139 mmHg (130 si bien toléré)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Diabétique : cible PA 130/80, HbA1c &lt; 7 %, LDL &lt; 1 g/l ; statine si risque élevé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sel &lt; 4 g/j » comme recommandation standard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M21Q33, Jn20Q50</w:t>
      </w:r>
    </w:p>
    <w:p>
      <w:pPr>
        <w:pStyle w:val="Heading1"/>
        <w:pBdr>
          <w:bottom w:val="single" w:color="1F3A5F" w:sz="12" w:space="4"/>
        </w:pBdr>
        <w:spacing w:before="360" w:after="200"/>
      </w:pPr>
      <w:r>
        <w:rPr>
          <w:b/>
          <w:bCs/>
          <w:color w:val="1F3A5F"/>
          <w:sz w:val="32"/>
          <w:szCs w:val="32"/>
          <w:rFonts w:ascii="Arial" w:cs="Arial" w:eastAsia="Arial" w:hAnsi="Arial"/>
        </w:rPr>
        <w:t xml:space="preserve">[RANG 10] ANTIBACILLAIRES — TUBERCULOSE</w:t>
      </w:r>
    </w:p>
    <w:p>
      <w:pPr>
        <w:spacing w:before="60" w:after="60"/>
        <w:jc w:val="center"/>
      </w:pPr>
      <w:r>
        <w:rPr>
          <w:b/>
          <w:bCs/>
          <w:i/>
          <w:iCs/>
          <w:color w:val="8B0000"/>
          <w:sz w:val="22"/>
          <w:szCs w:val="22"/>
          <w:rFonts w:ascii="Arial" w:cs="Arial" w:eastAsia="Arial" w:hAnsi="Arial"/>
        </w:rPr>
        <w:t xml:space="preserve">—  •  ~2.36 Q/examen (33 Q)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Régimes thérapeutiques (RHZE)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Tuberculose pulmonaire commune ET pleurale : 2RHZE / 4RH (6 mois)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Tuberculose OSTÉO-ARTICULAIRE et NEUROMÉNINGÉE : 2RHZE / 7RH (9 mois)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4RHZE/2RH » / « 2RHZ/4RHE » pour la TB commune (l'ordre R-H-Z-E et la durée 2/4 comptent)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Piège pleurale : c'est 2RHZE/4RH (6 mois), pas 9 mois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4×+ : M24Q47, Jn24Q42, Nv24Q47, D24Q42, N25Q42, Jn23Q30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Posologies des antibacillaires (mg/Kg/j)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Rifampicine 10 mg/Kg/j • Isoniazide 5 mg/Kg/j • Pyrazinamide 25–30 • Éthambutol 15–20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ERIPK4 (forme combinée) chez un adulte ≈ 55–70 Kg : 4 comprimés/j en 1 prise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Rifampicine 5 mg/Kg/j (c'est 10) ou Isoniazide 10 mg/Kg/j (c'est 5)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4×+ : M24Q49, Jn24Q44, Nv24Q49, D24Q44, N25Q41/43, Jn23Q31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Modalités de prise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À JEUN, 30 min AVANT le repas, en PRISE UNIQUE quotidienne, dose adaptée au poids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ASSOCIATION de plusieurs antibacillaires (≥ 4 en phase initiale)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après le repas » / « 2–3 fois par jour »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4×+ : M24Q50, Jn24Q45, Nv24Q50, D24Q45, M22Q28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Justification de l'ASSOCIATION (biologie du BK)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Existence de mutants naturellement résistants → association pour prévenir la résistance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Multiplication LENTE → prise unique quotidienne suffisante ; populations intra/extracellulaires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germe anaérobie » / « purement extracellulaire » / « multiplication rapide »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N25Q40, M20Q17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RIFAMPICINE — particularités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INDUCTEUR enzymatique → diminue l'effet des corticoïdes, des œstroprogestatifs et des AVK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CI : accident immuno-allergique majeur antérieur, obstruction des voies biliaires, porphyrie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augmente l'effet anticoagulant des AVK » (l'induction le DIMINUE)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contre-indiquée pendant la grossesse » (elle est utilisable)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M18Q9, Jn22Q46</w:t>
      </w:r>
    </w:p>
    <w:p>
      <w:pPr>
        <w:pStyle w:val="Heading1"/>
        <w:pBdr>
          <w:bottom w:val="single" w:color="1F3A5F" w:sz="12" w:space="4"/>
        </w:pBdr>
        <w:spacing w:before="360" w:after="200"/>
      </w:pPr>
      <w:r>
        <w:rPr>
          <w:b/>
          <w:bCs/>
          <w:color w:val="1F3A5F"/>
          <w:sz w:val="32"/>
          <w:szCs w:val="32"/>
          <w:rFonts w:ascii="Arial" w:cs="Arial" w:eastAsia="Arial" w:hAnsi="Arial"/>
        </w:rPr>
        <w:t xml:space="preserve">[RANG 11] DERMATOLOGIE — DERMOCORTICOÏDES &amp; ANTISEPTIQUES</w:t>
      </w:r>
    </w:p>
    <w:p>
      <w:pPr>
        <w:spacing w:before="60" w:after="60"/>
        <w:jc w:val="center"/>
      </w:pPr>
      <w:r>
        <w:rPr>
          <w:b/>
          <w:bCs/>
          <w:i/>
          <w:iCs/>
          <w:color w:val="8B0000"/>
          <w:sz w:val="22"/>
          <w:szCs w:val="22"/>
          <w:rFonts w:ascii="Arial" w:cs="Arial" w:eastAsia="Arial" w:hAnsi="Arial"/>
        </w:rPr>
        <w:t xml:space="preserve">—  •  ~2.21 Q/examen (31 Q)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Choix du dermocorticoïde selon la localisation/lésion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Visage / nourrisson (eczéma des joues) → corticoïde FAIBLE : Désonide (Locapred®/Locatop®)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Kératodermie palmo-plantaire psoriasique / lésions épaisses → corticoïde TRÈS FORT : Clobétasol (Dermoval®), Bétaméthasone dipropionate (Diprolène®)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clobétasol/Diprolène sur le VISAGE ou chez le NOURRISSON (atrophie cutanée)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Règle : puissance adaptée au site (faible sur peau fine, fort sur peau épaisse)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M18Q7, M18Q8, Jn19Q35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ANTISEPTIQUES — Bétadine® (povidone iodée)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Povidone iodée ; CI chez la femme ENCEINTE et le NOUVEAU-NÉ (risque thyroïdien)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Soins de l'ombilic du nouveau-né : éosine, chlorhexidine (PAS d'iode)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utilisable chez la femme allaitante / le nouveau-né »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bactériostatique » (la povidone iodée est bactéricide)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Jn19Q34, Jn20Q11, Jn19Q36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Intertrigo inter-orteils macéré (mycose)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Antifongique en poudre (asséchant) : nitrate d'isoconazole (Mycoderme® poudre)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dermocorticoïde seul / acide fusidique en 1re intention sur un intertrigo mycosique macéré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Jn19Q35</w:t>
      </w:r>
    </w:p>
    <w:p>
      <w:pPr>
        <w:pStyle w:val="Heading1"/>
        <w:pBdr>
          <w:bottom w:val="single" w:color="1F3A5F" w:sz="12" w:space="4"/>
        </w:pBdr>
        <w:spacing w:before="360" w:after="200"/>
      </w:pPr>
      <w:r>
        <w:rPr>
          <w:b/>
          <w:bCs/>
          <w:color w:val="1F3A5F"/>
          <w:sz w:val="32"/>
          <w:szCs w:val="32"/>
          <w:rFonts w:ascii="Arial" w:cs="Arial" w:eastAsia="Arial" w:hAnsi="Arial"/>
        </w:rPr>
        <w:t xml:space="preserve">[RANG 12] ASTHME</w:t>
      </w:r>
    </w:p>
    <w:p>
      <w:pPr>
        <w:spacing w:before="60" w:after="60"/>
        <w:jc w:val="center"/>
      </w:pPr>
      <w:r>
        <w:rPr>
          <w:b/>
          <w:bCs/>
          <w:i/>
          <w:iCs/>
          <w:color w:val="8B0000"/>
          <w:sz w:val="22"/>
          <w:szCs w:val="22"/>
          <w:rFonts w:ascii="Arial" w:cs="Arial" w:eastAsia="Arial" w:hAnsi="Arial"/>
        </w:rPr>
        <w:t xml:space="preserve">—  •  ~2.21 Q/examen (31 Q)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Traitement de fond selon la fréquence des symptômes (GINA)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Symptômes rares (≤ 2×/mois) → CSI-formotérol À LA DEMANDE (palier 1)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Symptômes ≥ 1×/semaine sans être quotidiens → CSI faible dose en fond (± à la demande)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Symptômes quasi quotidiens / nocturnes → ASSOCIATION CSI + BDLA (LABA) en fond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BDLA (LABA) SEUL en traitement de fond (jamais sans corticoïde inhalé)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corticothérapie ORALE au long cours comme fond de l'asthme courant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4×+ : M24Q44/45, Jn24Q39/40, Nv24Q44/45, D24Q39/40, N25Q44/45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Traitement de la CRISE / exacerbation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Crise SÉVÈRE : β2-mimétique de COURTE durée en NÉBULISATION + corticoïde SYSTÉMIQUE (IV/oral) + oxygénothérapie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Crise modérée : β2-CDA nébulisé + corticothérapie orale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BDLA (LABA) nébulisé dans la crise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corticoïde INHALÉ comme traitement de la crise sévère (il faut le systémique)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4×+ : M24Q46, Jn24Q41, Nv24Q46, D24Q41, N25Q46, Jn22Q45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Principe d'association CSI + LABA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Les β2-mimétiques de longue durée doivent TOUJOURS être associés à un corticoïde inhalé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CSI faible dose indiqués dès l'asthme persistant léger ; éducation + éviction des facteurs + sevrage tabagique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LABA seul en 1re intention »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corticothérapie orale en traitement de fond en 1re intention »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M22Q26, M20Q15, Jn23Q33</w:t>
      </w:r>
    </w:p>
    <w:p>
      <w:pPr>
        <w:pStyle w:val="Heading1"/>
        <w:pBdr>
          <w:bottom w:val="single" w:color="1F3A5F" w:sz="12" w:space="4"/>
        </w:pBdr>
        <w:spacing w:before="360" w:after="200"/>
      </w:pPr>
      <w:r>
        <w:rPr>
          <w:b/>
          <w:bCs/>
          <w:color w:val="1F3A5F"/>
          <w:sz w:val="32"/>
          <w:szCs w:val="32"/>
          <w:rFonts w:ascii="Arial" w:cs="Arial" w:eastAsia="Arial" w:hAnsi="Arial"/>
        </w:rPr>
        <w:t xml:space="preserve">[RANG 13] AINS</w:t>
      </w:r>
    </w:p>
    <w:p>
      <w:pPr>
        <w:spacing w:before="60" w:after="60"/>
        <w:jc w:val="center"/>
      </w:pPr>
      <w:r>
        <w:rPr>
          <w:b/>
          <w:bCs/>
          <w:i/>
          <w:iCs/>
          <w:color w:val="8B0000"/>
          <w:sz w:val="22"/>
          <w:szCs w:val="22"/>
          <w:rFonts w:ascii="Arial" w:cs="Arial" w:eastAsia="Arial" w:hAnsi="Arial"/>
        </w:rPr>
        <w:t xml:space="preserve">—  •  ~2.07 Q/examen (29 Q)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AINS chez le sujet à HAUT risque (âgé, ATCD CV/AVC, IR, antiagrégant)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Sujet avec ATCD d'AVC/AVCI sous antiagrégant, artériopathie → AINS CONTRE-INDIQUÉS (chercher une alternative)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Crise de goutte chez patient à comorbidités/IR avec colchicine impossible → AINS souvent CI ; alternative = corticoïde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prescrire un coxib/diclofénac « quand même » en arrêtant l'antiagrégant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Réponse fréquente du concours : « E — aucune réponse / alternative aux AINS contre-indiqués »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N25Q7/8, Jn24Q8, D24Q8, Jn23Q22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Règles de prescription dans un rhumatisme inflammatoire (spondyloarthrite)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AINS lors des POUSSÉES, à la dose minimale efficace, durée la plus courte, réévaluation régulière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Voie IM courte (≈ 3 jours) puis relais ORAL ; ne pas poursuivre en rémission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AINS à vie / en continu même en rémission pour prévenir l'ankylose »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IM pendant toute la poussée / 7 jours »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M24Q5, Nv24Q5, M22Q6, Jn23Q21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Facteurs de risque digestif &amp; précautions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FdR : âge &gt; 65 ans, ATCD d'ulcère, infection H. pylori, tabac, co-prescription corticoïdes/anticoagulants/aspirine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Précautions : IPP associé, dose minimale, durée courte, évaluer fonction rénale et TA, éducation anti-automédication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l'âge JEUNE » comme facteur de risque digestif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mêmes précautions que chez le sujet jeune » pour le sujet âgé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M24Q6, Nv24Q6, M23Q36, Jn22Q4, Jn19Q40</w:t>
      </w:r>
    </w:p>
    <w:p>
      <w:pPr>
        <w:pStyle w:val="Heading1"/>
        <w:pBdr>
          <w:bottom w:val="single" w:color="1F3A5F" w:sz="12" w:space="4"/>
        </w:pBdr>
        <w:spacing w:before="360" w:after="200"/>
      </w:pPr>
      <w:r>
        <w:rPr>
          <w:b/>
          <w:bCs/>
          <w:color w:val="1F3A5F"/>
          <w:sz w:val="32"/>
          <w:szCs w:val="32"/>
          <w:rFonts w:ascii="Arial" w:cs="Arial" w:eastAsia="Arial" w:hAnsi="Arial"/>
        </w:rPr>
        <w:t xml:space="preserve">[RANG 14] ANTIBIOTHÉRAPIE — PRINCIPES &amp; ÉCHECS</w:t>
      </w:r>
    </w:p>
    <w:p>
      <w:pPr>
        <w:spacing w:before="60" w:after="60"/>
        <w:jc w:val="center"/>
      </w:pPr>
      <w:r>
        <w:rPr>
          <w:b/>
          <w:bCs/>
          <w:i/>
          <w:iCs/>
          <w:color w:val="8B0000"/>
          <w:sz w:val="22"/>
          <w:szCs w:val="22"/>
          <w:rFonts w:ascii="Arial" w:cs="Arial" w:eastAsia="Arial" w:hAnsi="Arial"/>
        </w:rPr>
        <w:t xml:space="preserve">—  •  ~2.00 Q/examen (28 Q)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Indications d'une ASSOCIATION d'antibiotiques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Tuberculose, sepsis à Pseudomonas aeruginosa, fièvre chez le neutropénique → association obligatoire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association systématique pour une cystite ou une pneumonie simple du sujet jeune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M24Q31, Nv24Q31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Voie INTRAVEINEUSE d'emblée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Méningite à pneumocoque, sepsis à BGN, endocardite → voie IV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Démarrer avant la confirmation microbiologique dans le sepsis ; ATB bactéricide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voie IV pour une angine streptococcique ou une cystite simple (voie orale)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Jn24Q47, D24Q47, M21Q41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Classification de l'ÉCHEC de l'antibiothérapie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VRAI échec lié à : la BACTÉRIE (résistance acquise, erreur d'identification), le TRAITEMENT (posologie/durée insuffisante), le FOYER (collection, corps étranger, lithiase, métastases septiques, abcès), le MALADE (immunodépression/terrain)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FAUX échec : fièvre d'autre origine (thrombophlébite, veinite, fièvre médicamenteuse) avec régression du syndrome inflammatoire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Une infection à Candida ou une fièvre médicamenteuse N'EST PAS un échec lié au foyer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Foyer profond (abcès/empyème) → drainage CHIRURGICAL, pas seulement changer d'ATB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N25Q31/32, M23Q45, M21Q43/44, M20Q30, M18Q31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Surveillance &amp; antibiothérapie courte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Réévaluation systématique à 48–72 h (efficacité ET tolérance) ; ARRÊT FRANC, sans dégression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Antibiothérapie courte : favorise l'observance, préserve l'écologie, peu coûteuse (ex : cystite simple)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arrêt par dégression progressive des posologies »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antibiothérapie courte pour une arthrite septique (infection profonde = durée longue)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Jn23Q43, M23Q46, N25Q31</w:t>
      </w:r>
    </w:p>
    <w:p>
      <w:pPr>
        <w:pStyle w:val="Heading1"/>
        <w:pBdr>
          <w:bottom w:val="single" w:color="1F3A5F" w:sz="12" w:space="4"/>
        </w:pBdr>
        <w:spacing w:before="360" w:after="200"/>
      </w:pPr>
      <w:r>
        <w:rPr>
          <w:b/>
          <w:bCs/>
          <w:color w:val="1F3A5F"/>
          <w:sz w:val="32"/>
          <w:szCs w:val="32"/>
          <w:rFonts w:ascii="Arial" w:cs="Arial" w:eastAsia="Arial" w:hAnsi="Arial"/>
        </w:rPr>
        <w:t xml:space="preserve">[RANG 15] UGD &amp; HELICOBACTER PYLORI</w:t>
      </w:r>
    </w:p>
    <w:p>
      <w:pPr>
        <w:spacing w:before="60" w:after="60"/>
        <w:jc w:val="center"/>
      </w:pPr>
      <w:r>
        <w:rPr>
          <w:b/>
          <w:bCs/>
          <w:i/>
          <w:iCs/>
          <w:color w:val="8B0000"/>
          <w:sz w:val="22"/>
          <w:szCs w:val="22"/>
          <w:rFonts w:ascii="Arial" w:cs="Arial" w:eastAsia="Arial" w:hAnsi="Arial"/>
        </w:rPr>
        <w:t xml:space="preserve">—  •  ~1.86 Q/examen (26 Q)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Éradication de H. pylori — protocole de 1re intention (sans antibiogramme)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1re intention : QUADRITHÉRAPIE bismuthée (Pylera®) OU quadrithérapie concomitante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ALLERGIE à la pénicilline → QUADRITHÉRAPIE BISMUTHÉE (sans amoxicilline)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trithérapie standard amoxicilline-clarithromycine en 1re intention (résistance clarithromycine élevée)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N25Q21, Jn24Q50, M23Q34, M21Q20, M20Q37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Résistances des antibiotiques anti-H. pylori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Cause principale d'échec : RÉSISTANCE à la CLARITHROMYCINE (et non-observance)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AMOXICILLINE : résistance EXCEPTIONNELLE/rare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résistance fréquente à l'amoxicilline »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désigner le métronidazole comme l'ATB sans résistance (c'est l'amoxicilline)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Jn22Q3, M21Q21, M20Q35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IPP &amp; cytochrome 2C19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ÉSOMÉPRAZOLE et RABÉPRAZOLE : efficacité peu dépendante du polymorphisme du CYP2C19 → à privilégier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IPP poursuivis 4 semaines après l'éradication dans l'ulcère gastrique ; contrôle d'éradication systématique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IPP pris APRÈS le repas » (les IPP se prennent AVANT le repas)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Jn24Q49, D24Q49, M20Q36, M24Q37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Composition de la quadrithérapie bismuthée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Sous-citrate de bismuth + métronidazole + tétracycline (chlorhydrate) + IPP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y inclure l'amoxicilline ou la clarithromycine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Jn20Q2</w:t>
      </w:r>
    </w:p>
    <w:p>
      <w:pPr>
        <w:pStyle w:val="Heading1"/>
        <w:pBdr>
          <w:bottom w:val="single" w:color="1F3A5F" w:sz="12" w:space="4"/>
        </w:pBdr>
        <w:spacing w:before="360" w:after="200"/>
      </w:pPr>
      <w:r>
        <w:rPr>
          <w:b/>
          <w:bCs/>
          <w:color w:val="1F3A5F"/>
          <w:sz w:val="32"/>
          <w:szCs w:val="32"/>
          <w:rFonts w:ascii="Arial" w:cs="Arial" w:eastAsia="Arial" w:hAnsi="Arial"/>
        </w:rPr>
        <w:t xml:space="preserve">[RANG 16] OMA — OTITE MOYENNE AIGUË</w:t>
      </w:r>
    </w:p>
    <w:p>
      <w:pPr>
        <w:spacing w:before="60" w:after="60"/>
        <w:jc w:val="center"/>
      </w:pPr>
      <w:r>
        <w:rPr>
          <w:b/>
          <w:bCs/>
          <w:i/>
          <w:iCs/>
          <w:color w:val="8B0000"/>
          <w:sz w:val="22"/>
          <w:szCs w:val="22"/>
          <w:rFonts w:ascii="Arial" w:cs="Arial" w:eastAsia="Arial" w:hAnsi="Arial"/>
        </w:rPr>
        <w:t xml:space="preserve">—  •  ~1.79 Q/examen (25 Q)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Antibiotique de 1re intention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AMOXICILLINE en 1re intention (enfant : 80–90 mg/Kg/j)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Alternatives : amoxicilline-acide clavulanique, céfuroxime axétil (selon contexte)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moxifloxacine / cotrimoxazole / ciprofloxacine en 1re intention de l'OMA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5×+ : M20Q19, Jn20Q36, Jn19Q24, M23Q13, M22Q46, Jn23Q35, Jn22Q50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Arsenal thérapeutique global de l'OMA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Antalgiques/antipyrétiques, désinfection rhinopharyngée (sérum physiologique), corticothérapie orale courte, paracentèse, mastoïdectomie (compliquée)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Tous ces moyens peuvent faire partie de la PEC selon la gravité (réponse « A,B,C,D,E » fréquente)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6× : M24Q27, Jn24Q33, Nv24Q27, D24Q33, Jn23Q37, M21Q38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Indications de la PARACENTÈSE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Otite COMPLIQUÉE, otite hyperalgique, otite traînante, échec thérapeutique, nourrisson &lt; 3 mois, déficit immunitaire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paracentèse devant une otite CONGESTIVE (stade congestif = pas de paracentèse)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M23Q15, M22Q48, M20Q21, Jn19Q25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Échec à 72 h (tympan bombant persistant)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Chercher une MAUVAISE OBSERVANCE, puis indiquer une PARACENTÈSE (documentation + drainage)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mastoïdectomie ou TDM du rocher d'emblée à 72 h sans complication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Jn20Q38</w:t>
      </w:r>
    </w:p>
    <w:p>
      <w:pPr>
        <w:pStyle w:val="Heading1"/>
        <w:pBdr>
          <w:bottom w:val="single" w:color="1F3A5F" w:sz="12" w:space="4"/>
        </w:pBdr>
        <w:spacing w:before="360" w:after="200"/>
      </w:pPr>
      <w:r>
        <w:rPr>
          <w:b/>
          <w:bCs/>
          <w:color w:val="1F3A5F"/>
          <w:sz w:val="32"/>
          <w:szCs w:val="32"/>
          <w:rFonts w:ascii="Arial" w:cs="Arial" w:eastAsia="Arial" w:hAnsi="Arial"/>
        </w:rPr>
        <w:t xml:space="preserve">[RANG 17] DOULEUR THORACIQUE AIGUË</w:t>
      </w:r>
    </w:p>
    <w:p>
      <w:pPr>
        <w:spacing w:before="60" w:after="60"/>
        <w:jc w:val="center"/>
      </w:pPr>
      <w:r>
        <w:rPr>
          <w:b/>
          <w:bCs/>
          <w:i/>
          <w:iCs/>
          <w:color w:val="8B0000"/>
          <w:sz w:val="22"/>
          <w:szCs w:val="22"/>
          <w:rFonts w:ascii="Arial" w:cs="Arial" w:eastAsia="Arial" w:hAnsi="Arial"/>
        </w:rPr>
        <w:t xml:space="preserve">—  •  ~1.21 Q/examen (17 Q)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Indications de la THROMBOLYSE IV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SCA avec sus-décalage PERSISTANT du segment ST (SCA ST+), jusqu'à H12, si angioplastie non disponible à temps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Embolie pulmonaire GRAVE avec état de choc / hypotension persistante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thrombolyse dans le SCA ST− (même à haut risque) → c'est l'angioplastie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thrombolyse dans la dissection aortique ou la péricardite (CI absolue)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M24Q32, Nv24Q32, N25Q27, Jn24Q16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DISSECTION AORTIQUE — prise en charge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Type A → traitement MÉDICO-CHIRURGICAL (urgence chirurgicale) ; Type B → médical (BB IV, inhibiteur calcique IV)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Objectifs : PAS &lt; 120 mmHg et FC &lt; 60 bpm ; angioscanner thoracique = examen de référence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traitement de la dissection type A est médical »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anticoagulation par énoxaparine/HNF systématique à l'admission » (CI dans la dissection)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M24Q33, Nv24Q33, Jn24Q17, D24Q17, Jn22Q7/27, M23Q8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Ténectéplase (Métalyse®) — dose selon le poids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Dose adaptée au poids : 60–69 Kg → 35 mg ; 70–79 Kg → 40 mg ; 80–89 Kg → 45 mg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Patient 85 Kg → 45 mg ; 65 Kg → 35 mg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Piège récurrent du concours : associer le bon palier de poids à la bonne dose en mg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Jn24Q18, D24Q18, N25Q29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RIVAROXABAN dans l'embolie pulmonaire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Inhibiteur du facteur Xa ; schéma 15 mg × 2/j pendant 21 jours, puis 20 mg/j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CI si DFG &lt; 15 ml/min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inhibe le facteur II » (c'est le Xa)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15 mg × 2/j pendant 7 jours » (c'est 21 jours)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N25Q28</w:t>
      </w:r>
    </w:p>
    <w:p>
      <w:pPr>
        <w:pStyle w:val="Heading1"/>
        <w:pBdr>
          <w:bottom w:val="single" w:color="1F3A5F" w:sz="12" w:space="4"/>
        </w:pBdr>
        <w:spacing w:before="360" w:after="200"/>
      </w:pPr>
      <w:r>
        <w:rPr>
          <w:b/>
          <w:bCs/>
          <w:color w:val="1F3A5F"/>
          <w:sz w:val="32"/>
          <w:szCs w:val="32"/>
          <w:rFonts w:ascii="Arial" w:cs="Arial" w:eastAsia="Arial" w:hAnsi="Arial"/>
        </w:rPr>
        <w:t xml:space="preserve">[RANG 18] ANGINE</w:t>
      </w:r>
    </w:p>
    <w:p>
      <w:pPr>
        <w:spacing w:before="60" w:after="60"/>
        <w:jc w:val="center"/>
      </w:pPr>
      <w:r>
        <w:rPr>
          <w:b/>
          <w:bCs/>
          <w:i/>
          <w:iCs/>
          <w:color w:val="8B0000"/>
          <w:sz w:val="22"/>
          <w:szCs w:val="22"/>
          <w:rFonts w:ascii="Arial" w:cs="Arial" w:eastAsia="Arial" w:hAnsi="Arial"/>
        </w:rPr>
        <w:t xml:space="preserve">—  •  ~1.14 Q/examen (16 Q)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Antibiotique de 1re intention (angine streptococcique)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AMOXICILLINE = traitement court de référence (6 jours)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Enfant 10 Kg : amoxicilline 50 mg/Kg/j (ex : 500 mg en 2 prises)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pénicilline V / amox-clav / céfuroxime / quinolone en 1re intention (c'est l'amoxicilline)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5×+ : M24Q25, Jn24Q31, Nv24Q25, D24Q31, M21Q36, M22Q45, M18Q45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Allergie aux bêtalactamines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MACROLIDE en cas d'allergie aux bêtalactamines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C3G ou amox-clav chez l'allergique aux bêtalactamines (allergie croisée possible)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M23Q12, Jn22Q47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Pourquoi traiter l'angine streptococcique ?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Objectif principal = prévention du RHUMATISME ARTICULAIRE AIGU (RAA) et des complications post-streptococciques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parce que l'origine bactérienne est la plus fréquente » (la majorité des angines sont virales)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M18Q36</w:t>
      </w:r>
    </w:p>
    <w:p>
      <w:pPr>
        <w:pStyle w:val="Heading1"/>
        <w:pBdr>
          <w:bottom w:val="single" w:color="1F3A5F" w:sz="12" w:space="4"/>
        </w:pBdr>
        <w:spacing w:before="360" w:after="200"/>
      </w:pPr>
      <w:r>
        <w:rPr>
          <w:b/>
          <w:bCs/>
          <w:color w:val="1F3A5F"/>
          <w:sz w:val="32"/>
          <w:szCs w:val="32"/>
          <w:rFonts w:ascii="Arial" w:cs="Arial" w:eastAsia="Arial" w:hAnsi="Arial"/>
        </w:rPr>
        <w:t xml:space="preserve">[RANG 19] SCA — SYNDROME CORONARIEN AIGU</w:t>
      </w:r>
    </w:p>
    <w:p>
      <w:pPr>
        <w:spacing w:before="60" w:after="60"/>
        <w:jc w:val="center"/>
      </w:pPr>
      <w:r>
        <w:rPr>
          <w:b/>
          <w:bCs/>
          <w:i/>
          <w:iCs/>
          <w:color w:val="8B0000"/>
          <w:sz w:val="22"/>
          <w:szCs w:val="22"/>
          <w:rFonts w:ascii="Arial" w:cs="Arial" w:eastAsia="Arial" w:hAnsi="Arial"/>
        </w:rPr>
        <w:t xml:space="preserve">—  •  ~1.07 Q/examen (15 Q)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Thrombolyse dans le SCA ST+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Indiquée dans le SCA ST+ jusqu'à H12, d'autant plus efficace qu'elle est précoce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Associée à une ANTICOAGULATION + double antiagrégation ; dose de charge CLOPIDOGREL = 300 mg PER OS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pas d'anticoagulant associé à la thrombolyse »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clopidogrel « 300 mg en IV » (la dose de charge est orale)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M23Q5, Jn23Q2, D24Q16, M22Q11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Antiagrégants &amp; anticoagulants — classes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Antiagrégants plaquettaires : ASPIRINE + CLOPIDOGREL (et autres inhibiteurs P2Y12)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AOD (anticoagulant oral direct) : APIXABAN, rivaroxaban (l'énoxaparine est une HBPM, le Sintrom® un AVK)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classer héparine / bêtabloquant / digitalique parmi les antiagrégants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Sintrom® / énoxaparine / aspirine comme « AOD »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M23Q6, Jn23Q3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Objectif lipidique après un SCA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Cible LDL-cholestérol &lt; 0,55 g/l (et réduction ≥ 50 %) → statine de forte intensité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cibles « &lt; 0,7 g/l » ou « &lt; 1 g/l » après SCA (la cible post-SCA est &lt; 0,55 g/l)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Jn22Q9, Jn22Q29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Ténectéplase — dose selon poids (rappel)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85 Kg → 45 mg ; 65 Kg → 35 mg (cf. fiche Douleur thoracique aiguë)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Même piège dose/poids que dans la dissection/IDM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M24Q34, Nv24Q34, N25Q29</w:t>
      </w:r>
    </w:p>
    <w:p>
      <w:pPr>
        <w:pStyle w:val="Heading1"/>
        <w:pBdr>
          <w:bottom w:val="single" w:color="1F3A5F" w:sz="12" w:space="4"/>
        </w:pBdr>
        <w:spacing w:before="360" w:after="200"/>
      </w:pPr>
      <w:r>
        <w:rPr>
          <w:b/>
          <w:bCs/>
          <w:color w:val="1F3A5F"/>
          <w:sz w:val="32"/>
          <w:szCs w:val="32"/>
          <w:rFonts w:ascii="Arial" w:cs="Arial" w:eastAsia="Arial" w:hAnsi="Arial"/>
        </w:rPr>
        <w:t xml:space="preserve">[RANG 20] RGO — REFLUX GASTRO-ŒSOPHAGIEN</w:t>
      </w:r>
    </w:p>
    <w:p>
      <w:pPr>
        <w:spacing w:before="60" w:after="60"/>
        <w:jc w:val="center"/>
      </w:pPr>
      <w:r>
        <w:rPr>
          <w:b/>
          <w:bCs/>
          <w:i/>
          <w:iCs/>
          <w:color w:val="8B0000"/>
          <w:sz w:val="22"/>
          <w:szCs w:val="22"/>
          <w:rFonts w:ascii="Arial" w:cs="Arial" w:eastAsia="Arial" w:hAnsi="Arial"/>
        </w:rPr>
        <w:t xml:space="preserve">—  •  ~1.07 Q/examen (15 Q)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Pyrosis isolé sans signe d'alarme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Sujet JEUNE (&lt; 50 ans) sans signe d'alarme → IPP / antiH2 d'épreuve SANS endoscopie préalable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Sujet &gt; 50 ans OU signes d'alarme → ENDOSCOPIE (FOGD) en 1re intention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endoscopie systématique chez le jeune avec pyrosis isolé sans alarme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Attention : si âge ≥ 50 ans → la FOGD devient la bonne réponse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Jn19Q47, Jn20Q4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Œsophagite peptique SÉVÈRE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IPP indispensables (cicatrisation muqueuse) + mesures hygiéno-diététiques et posturales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Traitement d'entretien par IPP si poussées fréquentes/rapprochées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antiH2 « efficaces dans l'œsophagite sévère » (insuffisants → IPP)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alginates/antiacides pour cicatriser la muqueuse (ils ne font que soulager)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M23Q33, M22Q15, M24Q36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Endobrachyœsophage (Barrett)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IPP forte dose + SURVEILLANCE endoscopique ; risque d'ADÉNOCARCINOME œsophagien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traitement chirurgical systématique » de l'EBO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M21Q23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Alginates &amp; antiH2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Alginates : neutralisation locale des H+, pris APRÈS le repas, soulagent les symptômes intermittents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AntiH2 : utiles dans les formes à poussées rapprochées, associables aux alginates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alginates « permettent la cicatrisation des lésions » (rôle purement symptomatique)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M21Q22, M22Q17</w:t>
      </w:r>
    </w:p>
    <w:p>
      <w:pPr>
        <w:pStyle w:val="Heading1"/>
        <w:pBdr>
          <w:bottom w:val="single" w:color="1F3A5F" w:sz="12" w:space="4"/>
        </w:pBdr>
        <w:spacing w:before="360" w:after="200"/>
      </w:pPr>
      <w:r>
        <w:rPr>
          <w:b/>
          <w:bCs/>
          <w:color w:val="1F3A5F"/>
          <w:sz w:val="32"/>
          <w:szCs w:val="32"/>
          <w:rFonts w:ascii="Arial" w:cs="Arial" w:eastAsia="Arial" w:hAnsi="Arial"/>
        </w:rPr>
        <w:t xml:space="preserve">[RANG 21] SINUSITE &amp; RHINITE</w:t>
      </w:r>
    </w:p>
    <w:p>
      <w:pPr>
        <w:spacing w:before="60" w:after="60"/>
        <w:jc w:val="center"/>
      </w:pPr>
      <w:r>
        <w:rPr>
          <w:b/>
          <w:bCs/>
          <w:i/>
          <w:iCs/>
          <w:color w:val="8B0000"/>
          <w:sz w:val="22"/>
          <w:szCs w:val="22"/>
          <w:rFonts w:ascii="Arial" w:cs="Arial" w:eastAsia="Arial" w:hAnsi="Arial"/>
        </w:rPr>
        <w:t xml:space="preserve">—  •  ~1.00 Q/examen (14 Q)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Sinusite maxillaire aiguë — 1re intention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AMOXICILLINE-ACIDE CLAVULANIQUE en 1re intention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moxifloxacine / C1G / sulfamide / macrolide en 1re intention de la sinusite maxillaire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5×+ : M24Q24, Jn24Q30, Nv24Q24, D24Q30, M21Q35, M23Q14, M20Q20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Échec ou sinusite frontale → 2e intention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Quinolone de dernière génération (lévofloxacine, moxifloxacine) en cas d'échec de l'amox-clav ou de sinusite frontale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céphalosporine de 1re génération / cycline / aminoside en 2e intention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Jn22Q48, M18Q43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RHINITE allergique — paliers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Intermittente minime → ANTIHISTAMINIQUE en 1re intention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Persistante modérée à sévère → corticothérapie NASALE ± générale, immunothérapie spécifique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cromones seuls en 1re intention dans les formes modérées/sévères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Jn19Q23, M18Q44</w:t>
      </w:r>
    </w:p>
    <w:p>
      <w:pPr>
        <w:pStyle w:val="Heading1"/>
        <w:pBdr>
          <w:bottom w:val="single" w:color="1F3A5F" w:sz="12" w:space="4"/>
        </w:pBdr>
        <w:spacing w:before="360" w:after="200"/>
      </w:pPr>
      <w:r>
        <w:rPr>
          <w:b/>
          <w:bCs/>
          <w:color w:val="1F3A5F"/>
          <w:sz w:val="32"/>
          <w:szCs w:val="32"/>
          <w:rFonts w:ascii="Arial" w:cs="Arial" w:eastAsia="Arial" w:hAnsi="Arial"/>
        </w:rPr>
        <w:t xml:space="preserve">[RANG 22] IRC &amp; TROUBLES MÉTABOLIQUES</w:t>
      </w:r>
    </w:p>
    <w:p>
      <w:pPr>
        <w:spacing w:before="60" w:after="60"/>
        <w:jc w:val="center"/>
      </w:pPr>
      <w:r>
        <w:rPr>
          <w:b/>
          <w:bCs/>
          <w:i/>
          <w:iCs/>
          <w:color w:val="8B0000"/>
          <w:sz w:val="22"/>
          <w:szCs w:val="22"/>
          <w:rFonts w:ascii="Arial" w:cs="Arial" w:eastAsia="Arial" w:hAnsi="Arial"/>
        </w:rPr>
        <w:t xml:space="preserve">—  •  ~0.71 Q/examen (10 Q)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Anémie de l'IRC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Agents stimulant l'érythropoïèse (ASE) dès Hb &lt; 10 g/dl + correction du déficit en fer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Cible Hb modérée (≈ 10–11,5 g/dl), éviter &gt; 13 g/dl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démarrer les ASE quand Hb &gt; 11,5 » / « viser Hb &gt; 13 g/dl »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encourager les transfusions » (risque d'allo-immunisation pré-greffe)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Jn19Q5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Métabolisme phosphocalcique &amp; dyslipidémie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Contrôle du phosphore (&lt; 50 mg/l), chélateurs du phosphore, 1α-OH-vitamine D3, PTH cible 3–6× la normale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Dyslipidémie : statine ± ézétimibe, cible LDL-C &lt; 0,70 g/l (70 mg/dl)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éviction des statines » dans l'IRC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restriction calcique stricte comme mesure principale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Jn19Q6, M18Q49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Méthodes d'épuration extra-rénale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Hémodialyse : circulation extracorporelle, membrane (surface d'échange artificielle), abord vasculaire permanent (FAV)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Dialyse péritonéale : diffusion-osmose, accès péritonéal permanent, ascite artificielle, continue ou intermittente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l'EER « corrige les fonctions endocrines » du rein (elle remplace surtout l'épuration)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hémodialyse « tous les jours » (séances périodiques, ~3×/semaine)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Jn19Q7, Jn19Q8, M18Q48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Urgence : HYPERKALIÉMIE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Gluconate de calcium (protection myocardique), sérum bicarbonaté, sérum glucosé + insuline, résines échangeuses de K+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diurétiques thiazidiques » pour traiter l'hyperkaliémie aiguë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M18Q47</w:t>
      </w:r>
    </w:p>
    <w:p>
      <w:r>
        <w:br w:type="page"/>
      </w:r>
    </w:p>
    <w:p>
      <w:pPr>
        <w:pBdr>
          <w:top w:val="single" w:color="991B1B" w:sz="8"/>
          <w:bottom w:val="single" w:color="991B1B" w:sz="8"/>
        </w:pBdr>
        <w:shd w:fill="991B1B" w:val="clear"/>
        <w:spacing w:before="240" w:after="120"/>
        <w:jc w:val="center"/>
      </w:pPr>
      <w:r>
        <w:rPr>
          <w:b/>
          <w:bCs/>
          <w:color w:val="FFFFFF"/>
          <w:sz w:val="24"/>
          <w:szCs w:val="24"/>
          <w:rFonts w:ascii="Arial" w:cs="Arial" w:eastAsia="Arial" w:hAnsi="Arial"/>
        </w:rPr>
        <w:t xml:space="preserve">PARTIE 4 — TOPICS HORS LEÇONS OFFICIELLES 2026 (COURS ANNULÉ)</w:t>
      </w:r>
    </w:p>
    <w:p>
      <w:pPr>
        <w:pBdr>
          <w:top w:val="single" w:color="991B1B" w:sz="16"/>
          <w:bottom w:val="single" w:color="991B1B" w:sz="16"/>
          <w:left w:val="single" w:color="991B1B" w:sz="16"/>
          <w:right w:val="single" w:color="991B1B" w:sz="16"/>
        </w:pBdr>
        <w:shd w:fill="FEF2F2" w:val="clear"/>
        <w:spacing w:before="200" w:after="80"/>
        <w:jc w:val="center"/>
      </w:pPr>
      <w:r>
        <w:rPr>
          <w:b/>
          <w:bCs/>
          <w:color w:val="991B1B"/>
          <w:sz w:val="26"/>
          <w:szCs w:val="26"/>
          <w:rFonts w:ascii="Arial" w:cs="Arial" w:eastAsia="Arial" w:hAnsi="Arial"/>
        </w:rPr>
        <w:t xml:space="preserve">⚠ DISCLAIMER — À LIRE AVANT D'UTILISER CETTE SECTION ⚠</w:t>
      </w:r>
    </w:p>
    <w:p>
      <w:pPr>
        <w:spacing w:before="60" w:after="60"/>
        <w:jc w:val="center"/>
      </w:pPr>
      <w:r>
        <w:rPr>
          <w:b/>
          <w:bCs/>
          <w:i w:val="false"/>
          <w:iCs w:val="false"/>
          <w:color w:val="991B1B"/>
          <w:sz w:val="22"/>
          <w:szCs w:val="22"/>
          <w:rFonts w:ascii="Arial" w:cs="Arial" w:eastAsia="Arial" w:hAnsi="Arial"/>
        </w:rPr>
        <w:t xml:space="preserve">These lessons are NOT in the 2026 exam program.</w:t>
      </w:r>
    </w:p>
    <w:p>
      <w:pPr>
        <w:spacing w:before="60" w:after="60"/>
        <w:jc w:val="center"/>
      </w:pPr>
      <w:r>
        <w:rPr>
          <w:b/>
          <w:bCs/>
          <w:i w:val="false"/>
          <w:iCs w:val="false"/>
          <w:color w:val="991B1B"/>
          <w:sz w:val="22"/>
          <w:szCs w:val="22"/>
          <w:rFonts w:ascii="Arial" w:cs="Arial" w:eastAsia="Arial" w:hAnsi="Arial"/>
        </w:rPr>
        <w:t xml:space="preserve">Cours annulé — NOT officially scheduled.</w:t>
      </w:r>
    </w:p>
    <w:p>
      <w:pPr>
        <w:spacing w:before="80" w:after="120"/>
        <w:jc w:val="center"/>
      </w:pPr>
      <w:r>
        <w:rPr>
          <w:b/>
          <w:bCs/>
          <w:i w:val="false"/>
          <w:iCs w:val="false"/>
          <w:color w:val="991B1B"/>
          <w:sz w:val="24"/>
          <w:szCs w:val="24"/>
          <w:rFonts w:ascii="Arial" w:cs="Arial" w:eastAsia="Arial" w:hAnsi="Arial"/>
        </w:rPr>
        <w:t xml:space="preserve">USE AT YOUR OWN RISK — BUT GOOD TO KNOW.</w:t>
      </w:r>
    </w:p>
    <w:p>
      <w:pPr>
        <w:spacing w:before="120" w:after="60"/>
        <w:jc w:val="left"/>
      </w:pPr>
      <w:r>
        <w:rPr>
          <w:b w:val="false"/>
          <w:bCs w:val="false"/>
          <w:i/>
          <w:iCs/>
          <w:color w:val="000000"/>
          <w:sz w:val="20"/>
          <w:szCs w:val="20"/>
          <w:rFonts w:ascii="Arial" w:cs="Arial" w:eastAsia="Arial" w:hAnsi="Arial"/>
        </w:rPr>
        <w:t xml:space="preserve">Ces topics représentaient historiquement ~0.14% des questions des examens passés. S'ils ne sont PAS au programme cette année, ils peuvent malgré tout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Apparaître en question résiduelle ou rattrapage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Être recyclés à la dernière minute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Servir de "culture générale" médicale</w:t>
      </w:r>
    </w:p>
    <w:p>
      <w:pPr>
        <w:spacing w:before="200" w:after="60"/>
        <w:jc w:val="left"/>
      </w:pPr>
      <w:r>
        <w:rPr>
          <w:b/>
          <w:bCs/>
          <w:i w:val="false"/>
          <w:iCs w:val="false"/>
          <w:color w:val="000000"/>
          <w:sz w:val="20"/>
          <w:szCs w:val="20"/>
          <w:rFonts w:ascii="Arial" w:cs="Arial" w:eastAsia="Arial" w:hAnsi="Arial"/>
        </w:rPr>
        <w:t xml:space="preserve">Topics hors programme 2026 (par fréquence décroissante)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1600"/>
        <w:gridCol w:w="2260"/>
      </w:tblGrid>
      <w:tr>
        <w:trPr>
          <w:tblHeader/>
        </w:trPr>
        <w:tc>
          <w:tcPr>
            <w:tcW w:type="dxa" w:w="5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991B1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Topic (hors programme)</w:t>
            </w:r>
          </w:p>
        </w:tc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991B1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Total</w:t>
            </w:r>
          </w:p>
        </w:tc>
        <w:tc>
          <w:tcPr>
            <w:tcW w:type="dxa" w:w="22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991B1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Moy/exam</w:t>
            </w:r>
          </w:p>
        </w:tc>
      </w:tr>
      <w:tr>
        <w:tc>
          <w:tcPr>
            <w:tcW w:type="dxa" w:w="5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Question transversale / hors-thème (AVC ischémique)</w:t>
            </w:r>
          </w:p>
        </w:tc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1 Q</w:t>
            </w:r>
          </w:p>
        </w:tc>
        <w:tc>
          <w:tcPr>
            <w:tcW w:type="dxa" w:w="22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991B1B"/>
                <w:sz w:val="18"/>
                <w:szCs w:val="18"/>
                <w:rFonts w:ascii="Arial" w:cs="Arial" w:eastAsia="Arial" w:hAnsi="Arial"/>
              </w:rPr>
              <w:t xml:space="preserve">0.07</w:t>
            </w:r>
          </w:p>
        </w:tc>
      </w:tr>
    </w:tbl>
    <w:p>
      <w:pPr>
        <w:pStyle w:val="Heading1"/>
        <w:pBdr>
          <w:bottom w:val="single" w:color="1F3A5F" w:sz="12" w:space="4"/>
        </w:pBdr>
        <w:spacing w:before="360" w:after="200"/>
      </w:pPr>
      <w:r>
        <w:rPr>
          <w:b/>
          <w:bCs/>
          <w:color w:val="1F3A5F"/>
          <w:sz w:val="32"/>
          <w:szCs w:val="32"/>
          <w:rFonts w:ascii="Arial" w:cs="Arial" w:eastAsia="Arial" w:hAnsi="Arial"/>
        </w:rPr>
        <w:t xml:space="preserve">[HORS 1] QUESTION INCLASSIFIABLE — AVC ISCHÉMIQUE AVEC TRANSFORMATION HÉMORRAGIQUE</w:t>
      </w:r>
    </w:p>
    <w:p>
      <w:pPr>
        <w:spacing w:before="60" w:after="60"/>
        <w:jc w:val="center"/>
      </w:pPr>
      <w:r>
        <w:rPr>
          <w:b/>
          <w:bCs/>
          <w:i/>
          <w:iCs/>
          <w:color w:val="8B0000"/>
          <w:sz w:val="22"/>
          <w:szCs w:val="22"/>
          <w:rFonts w:ascii="Arial" w:cs="Arial" w:eastAsia="Arial" w:hAnsi="Arial"/>
        </w:rPr>
        <w:t xml:space="preserve">1 question — item transversal, hors chapitre thérapeutique dédié</w:t>
      </w:r>
    </w:p>
    <w:p>
      <w:pPr>
        <w:spacing w:before="160" w:after="60"/>
      </w:pPr>
      <w:r>
        <w:rPr>
          <w:b/>
          <w:bCs/>
          <w:u w:val="single"/>
          <w:color w:val="8B0000"/>
          <w:sz w:val="22"/>
          <w:szCs w:val="22"/>
          <w:rFonts w:ascii="Arial" w:cs="Arial" w:eastAsia="Arial" w:hAnsi="Arial"/>
        </w:rPr>
        <w:t xml:space="preserve">AVC ischémique sylvien total avec infarcissement hémorragique (Glasgow 9) :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Présence d'une transformation HÉMORRAGIQUE → thrombolyse et anticoagulants CONTRE-INDIQUÉS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Prise en charge : oxygénothérapie + rééducation motrice (mesures de soutien), unité neuro-vasculaire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thrombolyse » (CI absolue en présence d'hémorragie)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FAUX : « anticoagulants » (aggravent le saignement)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Ne pas baisser brutalement la TA en phase aiguë d'AVC ischémique</w:t>
      </w:r>
    </w:p>
    <w:p>
      <w:pPr>
        <w:spacing w:before="20" w:after="60"/>
      </w:pPr>
      <w:r>
        <w:rPr>
          <w:i/>
          <w:iCs/>
          <w:color w:val="404040"/>
          <w:sz w:val="18"/>
          <w:szCs w:val="18"/>
          <w:rFonts w:ascii="Arial" w:cs="Arial" w:eastAsia="Arial" w:hAnsi="Arial"/>
        </w:rPr>
        <w:t xml:space="preserve">📋 Vu : M18Q15 (question isolée, non rattachée à un chapitre du module)</w:t>
      </w:r>
    </w:p>
    <w:p>
      <w:r>
        <w:br w:type="page"/>
      </w:r>
    </w:p>
    <w:p>
      <w:pPr>
        <w:pBdr>
          <w:top w:val="single" w:color="1F3A5F" w:sz="8"/>
          <w:bottom w:val="single" w:color="1F3A5F" w:sz="8"/>
        </w:pBdr>
        <w:shd w:fill="1F3A5F" w:val="clear"/>
        <w:spacing w:before="240" w:after="120"/>
        <w:jc w:val="center"/>
      </w:pPr>
      <w:r>
        <w:rPr>
          <w:b/>
          <w:bCs/>
          <w:color w:val="FFFFFF"/>
          <w:sz w:val="24"/>
          <w:szCs w:val="24"/>
          <w:rFonts w:ascii="Arial" w:cs="Arial" w:eastAsia="Arial" w:hAnsi="Arial"/>
        </w:rPr>
        <w:t xml:space="preserve">AIDE-MÉMOIRE FINAL — HIGH-YIELD CONCOURS THÉRAPEUTIQUE</w:t>
      </w:r>
    </w:p>
    <w:p>
      <w:pPr>
        <w:pStyle w:val="Heading2"/>
        <w:spacing w:before="240" w:after="120"/>
      </w:pPr>
      <w:r>
        <w:rPr>
          <w:b/>
          <w:bCs/>
          <w:color w:val="8B0000"/>
          <w:sz w:val="26"/>
          <w:szCs w:val="26"/>
          <w:rFonts w:ascii="Arial" w:cs="Arial" w:eastAsia="Arial" w:hAnsi="Arial"/>
        </w:rPr>
        <w:t xml:space="preserve">** PROTOCOLES &amp; SCHÉMAS POSOLOGIQUES À RETENIR PAR CŒUR **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Tuberculose commune / pleurale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8B0000"/>
                <w:sz w:val="18"/>
                <w:szCs w:val="18"/>
                <w:rFonts w:ascii="Arial" w:cs="Arial" w:eastAsia="Arial" w:hAnsi="Arial"/>
              </w:rPr>
              <w:t xml:space="preserve">2RHZE / 4RH (6 mois)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Tuberculose ostéo-articulaire / neuroméningée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8B0000"/>
                <w:sz w:val="18"/>
                <w:szCs w:val="18"/>
                <w:rFonts w:ascii="Arial" w:cs="Arial" w:eastAsia="Arial" w:hAnsi="Arial"/>
              </w:rPr>
              <w:t xml:space="preserve">2RHZE / 7RH (9 mois)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Posologies antibacillaires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8B0000"/>
                <w:sz w:val="18"/>
                <w:szCs w:val="18"/>
                <w:rFonts w:ascii="Arial" w:cs="Arial" w:eastAsia="Arial" w:hAnsi="Arial"/>
              </w:rPr>
              <w:t xml:space="preserve">R 10 — H 5 — Z 25-30 — E 15-20 (mg/Kg/j)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L-Thyroxine post-op (sujet jeune)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8B0000"/>
                <w:sz w:val="18"/>
                <w:szCs w:val="18"/>
                <w:rFonts w:ascii="Arial" w:cs="Arial" w:eastAsia="Arial" w:hAnsi="Arial"/>
              </w:rPr>
              <w:t xml:space="preserve">1,5 à 2 µg/Kg/j, le matin à jeun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Carbimazole — attaque Basedow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8B0000"/>
                <w:sz w:val="18"/>
                <w:szCs w:val="18"/>
                <w:rFonts w:ascii="Arial" w:cs="Arial" w:eastAsia="Arial" w:hAnsi="Arial"/>
              </w:rPr>
              <w:t xml:space="preserve">20 à 40 mg/j (PAS mg/Kg/j)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Pneumonie jeune sain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8B0000"/>
                <w:sz w:val="18"/>
                <w:szCs w:val="18"/>
                <w:rFonts w:ascii="Arial" w:cs="Arial" w:eastAsia="Arial" w:hAnsi="Arial"/>
              </w:rPr>
              <w:t xml:space="preserve">Amoxicilline 3 g/j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Pneumonie comorbidités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8B0000"/>
                <w:sz w:val="18"/>
                <w:szCs w:val="18"/>
                <w:rFonts w:ascii="Arial" w:cs="Arial" w:eastAsia="Arial" w:hAnsi="Arial"/>
              </w:rPr>
              <w:t xml:space="preserve">Amoxicilline-acide clavulanique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Ténectéplase (Métalyse®)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8B0000"/>
                <w:sz w:val="18"/>
                <w:szCs w:val="18"/>
                <w:rFonts w:ascii="Arial" w:cs="Arial" w:eastAsia="Arial" w:hAnsi="Arial"/>
              </w:rPr>
              <w:t xml:space="preserve">65Kg→35mg · 75Kg→40mg · 85Kg→45mg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Clopidogrel — charge (thrombolyse SCA ST+)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8B0000"/>
                <w:sz w:val="18"/>
                <w:szCs w:val="18"/>
                <w:rFonts w:ascii="Arial" w:cs="Arial" w:eastAsia="Arial" w:hAnsi="Arial"/>
              </w:rPr>
              <w:t xml:space="preserve">300 mg PER OS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Rivaroxaban — EP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8B0000"/>
                <w:sz w:val="18"/>
                <w:szCs w:val="18"/>
                <w:rFonts w:ascii="Arial" w:cs="Arial" w:eastAsia="Arial" w:hAnsi="Arial"/>
              </w:rPr>
              <w:t xml:space="preserve">15 mg ×2/j × 21 j puis 20 mg/j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Spironolactone — HTA résistante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8B0000"/>
                <w:sz w:val="18"/>
                <w:szCs w:val="18"/>
                <w:rFonts w:ascii="Arial" w:cs="Arial" w:eastAsia="Arial" w:hAnsi="Arial"/>
              </w:rPr>
              <w:t xml:space="preserve">25 mg (4e ligne)</w:t>
            </w:r>
          </w:p>
        </w:tc>
      </w:tr>
    </w:tbl>
    <w:p>
      <w:pPr>
        <w:pStyle w:val="Heading2"/>
        <w:spacing w:before="240" w:after="120"/>
      </w:pPr>
      <w:r>
        <w:rPr>
          <w:b/>
          <w:bCs/>
          <w:color w:val="8B0000"/>
          <w:sz w:val="26"/>
          <w:szCs w:val="26"/>
          <w:rFonts w:ascii="Arial" w:cs="Arial" w:eastAsia="Arial" w:hAnsi="Arial"/>
        </w:rPr>
        <w:t xml:space="preserve">** MOLÉCULE DE 1re INTENTION PAR INDICATION (réflexe ATB/traitement) **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860"/>
      </w:tblGrid>
      <w:tr>
        <w:trPr>
          <w:tblHeader/>
        </w:trP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Marqueur / Critère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Arial" w:cs="Arial" w:eastAsia="Arial" w:hAnsi="Arial"/>
              </w:rPr>
              <w:t xml:space="preserve">Indication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Angine streptococcique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AMOXICILLINE (allergie → macrolide)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OMA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AMOXICILLINE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Sinusite maxillaire aiguë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AMOXICILLINE-ACIDE CLAVULANIQUE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Sinusite frontale / échec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Fluoroquinolone de dernière génération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Migraine — crise spécifique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TRIPTANS (dès le début de la crise)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Migraine fond — hypertendu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PROPRANOLOL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Migraine fond — déprimé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AMITRIPTYLINE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Absence / myoclonie juvénile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VALPROATE de sodium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Épilepsie focale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CARBAMAZÉPINE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Épilepsie + grossesse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LAMOTRIGINE / LÉVÉTIRACÉTAM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Corticothérapie orale au long cours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PREDNISONE (le matin)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H. pylori — 1re intention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QUADRITHÉRAPIE (bismuthée ou concomitante)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18"/>
                <w:szCs w:val="18"/>
                <w:rFonts w:ascii="Arial" w:cs="Arial" w:eastAsia="Arial" w:hAnsi="Arial"/>
              </w:rPr>
              <w:t xml:space="preserve">SCA ST+ (angioplastie indisponible)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  <w:rFonts w:ascii="Arial" w:cs="Arial" w:eastAsia="Arial" w:hAnsi="Arial"/>
              </w:rPr>
              <w:t xml:space="preserve">THROMBOLYSE jusqu'à H12</w:t>
            </w:r>
          </w:p>
        </w:tc>
      </w:tr>
    </w:tbl>
    <w:p>
      <w:pPr>
        <w:pStyle w:val="Heading2"/>
        <w:spacing w:before="240" w:after="120"/>
      </w:pPr>
      <w:r>
        <w:rPr>
          <w:b/>
          <w:bCs/>
          <w:color w:val="8B0000"/>
          <w:sz w:val="26"/>
          <w:szCs w:val="26"/>
          <w:rFonts w:ascii="Arial" w:cs="Arial" w:eastAsia="Arial" w:hAnsi="Arial"/>
        </w:rPr>
        <w:t xml:space="preserve">** PIÈGES CLASSIQUES DU CONCOURS (à ne plus jamais rater) **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Unités L-Thyroxine : µg/Kg/j et NON mg/Kg/j ni µg/j.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Iode 131 (et non 132) pour l'irathérapie ; Technétium ≠ thérapeutique.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ATS = mercapto-imidazolés (Carbimazole/Méthimazole) ; PTU/BTU = thio-uracile.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ES des ATS : rash = le plus FRÉQUENT, agranulocytose = le plus REDOUTÉ.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Metformine corrige l'insulinorésistance, ne stimule PAS l'insulinosécrétion.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iSGLT2 ≠ insulinosécréteurs (action rénale, glucosurie).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Corticoïdes → HYPOkaliémie (pas hyper) ; jamais d'hypercalcémie.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BCG : protège des formes graves, jamais 100 %, pas de contrôle IDR, pas de rappel.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Rotavirus : voie ORALE, fenêtre précoce, n'élimine pas la maladie.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Rifampicine = INDUCTEUR enzymatique → diminue AVK/corticoïdes/œstroprogestatifs.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Thrombolyse : OUI au SCA ST+ et à l'EP avec choc ; JAMAIS dans la dissection aortique.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Dissection type A = médico-CHIRURGICAL ; pas d'anticoagulation.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LDL post-SCA : cible &lt; 0,55 g/l.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AINS : âge JEUNE n'est PAS un FdR digestif ; ATCD AVC + antiagrégant → AINS CI.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Bronchite aiguë simple : PAS d'antibiotique (sauf fièvre &gt; 38,5 °C ou OMA associée).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Pyrosis du jeune sans alarme : IPP d'épreuve, pas d'endoscopie d'emblée (≥ 50 ans → FOGD).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H. pylori : résistance à l'amoxicilline = exceptionnelle ; échec = résistance clarithromycine.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i/>
          <w:iCs/>
          <w:color w:val="B45309"/>
          <w:sz w:val="20"/>
          <w:szCs w:val="20"/>
          <w:rFonts w:ascii="Arial" w:cs="Arial" w:eastAsia="Arial" w:hAnsi="Arial"/>
        </w:rPr>
        <w:t xml:space="preserve">IPP : se prennent AVANT le repas.</w:t>
      </w:r>
    </w:p>
    <w:p>
      <w:pPr>
        <w:pStyle w:val="Heading2"/>
        <w:spacing w:before="240" w:after="120"/>
      </w:pPr>
      <w:r>
        <w:rPr>
          <w:b/>
          <w:bCs/>
          <w:color w:val="8B0000"/>
          <w:sz w:val="26"/>
          <w:szCs w:val="26"/>
          <w:rFonts w:ascii="Arial" w:cs="Arial" w:eastAsia="Arial" w:hAnsi="Arial"/>
        </w:rPr>
        <w:t xml:space="preserve">** ARBRES DÉCISIONNELS &amp; ENCHAÎNEMENTS THÉRAPEUTIQUES **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Asthme : ≤2/mois → CSI-formotérol à la demande → CSI faible dose fond → CSI+LABA fond → CSI forte dose+LABA → corticothérapie orale.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Hyperthyroïdie : ATS (euthyroïdie) → traitement radical (I131 OU thyroïdectomie totale).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DT2 : règles hygiéno-diététiques + metformine → bithérapie orale → insuline basale (après échec oral).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Échec ATB : analyser BACTÉRIE → TRAITEMENT → FOYER → MALADE (vrai échec) vs FAUX échec (autre fièvre).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RGO → œsophagite → endobrachyœsophage (Barrett) → adénocarcinome œsophagien (surveillance endoscopique).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OMA sous amoxicilline, échec 72 h → vérifier observance → paracentèse.</w:t>
      </w:r>
    </w:p>
    <w:p>
      <w:pPr>
        <w:pStyle w:val="ListParagraph"/>
        <w:numPr>
          <w:ilvl w:val="0"/>
          <w:numId w:val="2"/>
        </w:numPr>
        <w:spacing w:before="20" w:after="20"/>
      </w:pPr>
      <w:r>
        <w:rPr>
          <w:sz w:val="20"/>
          <w:szCs w:val="20"/>
          <w:rFonts w:ascii="Arial" w:cs="Arial" w:eastAsia="Arial" w:hAnsi="Arial"/>
        </w:rPr>
        <w:t xml:space="preserve">HTA : MHD + bithérapie (IEC/ARAII + IC ou diurétique) → trithérapie → + spironolactone 25 mg (résistante).</w:t>
      </w:r>
    </w:p>
    <w:p>
      <w:pPr>
        <w:spacing w:before="240" w:after="60"/>
        <w:jc w:val="left"/>
      </w:pPr>
      <w:r>
        <w:rPr>
          <w:b w:val="false"/>
          <w:bCs w:val="false"/>
          <w:i w:val="false"/>
          <w:iCs w:val="false"/>
          <w:color w:val="000000"/>
          <w:sz w:val="20"/>
          <w:szCs w:val="20"/>
          <w:rFonts w:ascii="Arial" w:cs="Arial" w:eastAsia="Arial" w:hAnsi="Arial"/>
        </w:rPr>
        <w:t xml:space="preserve"> </w:t>
      </w:r>
    </w:p>
    <w:p>
      <w:pPr>
        <w:pBdr>
          <w:top w:val="double" w:color="1F3A5F" w:sz="8" w:space="4"/>
        </w:pBdr>
      </w:pPr>
      <w:r/>
    </w:p>
    <w:p>
      <w:pPr>
        <w:spacing w:before="60" w:after="60"/>
        <w:jc w:val="center"/>
      </w:pPr>
      <w:r>
        <w:rPr>
          <w:b w:val="false"/>
          <w:bCs w:val="false"/>
          <w:i/>
          <w:iCs/>
          <w:color w:val="000000"/>
          <w:sz w:val="18"/>
          <w:szCs w:val="18"/>
          <w:rFonts w:ascii="Arial" w:cs="Arial" w:eastAsia="Arial" w:hAnsi="Arial"/>
        </w:rPr>
        <w:t xml:space="preserve">Généré par Claude.ai (claude-opus-4-8) — Version 1</w:t>
      </w:r>
    </w:p>
    <w:p>
      <w:pPr>
        <w:spacing w:before="60" w:after="60"/>
        <w:jc w:val="center"/>
      </w:pPr>
      <w:r>
        <w:rPr>
          <w:b w:val="false"/>
          <w:bCs w:val="false"/>
          <w:i/>
          <w:iCs/>
          <w:color w:val="000000"/>
          <w:sz w:val="18"/>
          <w:szCs w:val="18"/>
          <w:rFonts w:ascii="Arial" w:cs="Arial" w:eastAsia="Arial" w:hAnsi="Arial"/>
        </w:rPr>
        <w:t xml:space="preserve">Cross-match 700 QEs officielles × Synthèse Thérapeutique AIO (1197 pages)</w:t>
      </w:r>
    </w:p>
    <w:p>
      <w:pPr>
        <w:spacing w:before="60" w:after="60"/>
        <w:jc w:val="center"/>
      </w:pPr>
      <w:r>
        <w:rPr>
          <w:b/>
          <w:bCs/>
          <w:i/>
          <w:iCs/>
          <w:color w:val="000000"/>
          <w:sz w:val="18"/>
          <w:szCs w:val="18"/>
          <w:rFonts w:ascii="Arial" w:cs="Arial" w:eastAsia="Arial" w:hAnsi="Arial"/>
        </w:rPr>
        <w:t xml:space="preserve">14 sessions d'examen (Mai 2018 → Normal 2025) — corrections officielles</w:t>
      </w:r>
    </w:p>
    <w:p>
      <w:pPr>
        <w:spacing w:before="200" w:after="60"/>
        <w:jc w:val="left"/>
      </w:pPr>
      <w:r>
        <w:rPr>
          <w:b/>
          <w:bCs/>
          <w:i w:val="false"/>
          <w:iCs w:val="false"/>
          <w:color w:val="065F46"/>
          <w:sz w:val="20"/>
          <w:szCs w:val="20"/>
          <w:rFonts w:ascii="Arial" w:cs="Arial" w:eastAsia="Arial" w:hAnsi="Arial"/>
        </w:rPr>
        <w:t xml:space="preserve">Améliorations Version 1 :</w:t>
      </w:r>
    </w:p>
    <w:p>
      <w:pPr>
        <w:spacing w:before="60" w:after="60"/>
        <w:jc w:val="left"/>
      </w:pPr>
      <w:r>
        <w:rPr>
          <w:b w:val="false"/>
          <w:bCs w:val="false"/>
          <w:i w:val="false"/>
          <w:iCs w:val="false"/>
          <w:color w:val="065F46"/>
          <w:sz w:val="18"/>
          <w:szCs w:val="18"/>
          <w:rFonts w:ascii="Arial" w:cs="Arial" w:eastAsia="Arial" w:hAnsi="Arial"/>
        </w:rPr>
        <w:t xml:space="preserve">✓ PARTIE 3 strictement par rang de fréquence (1 → 22)</w:t>
      </w:r>
    </w:p>
    <w:p>
      <w:pPr>
        <w:spacing w:before="60" w:after="60"/>
        <w:jc w:val="left"/>
      </w:pPr>
      <w:r>
        <w:rPr>
          <w:b w:val="false"/>
          <w:bCs w:val="false"/>
          <w:i w:val="false"/>
          <w:iCs w:val="false"/>
          <w:color w:val="065F46"/>
          <w:sz w:val="18"/>
          <w:szCs w:val="18"/>
          <w:rFonts w:ascii="Arial" w:cs="Arial" w:eastAsia="Arial" w:hAnsi="Arial"/>
        </w:rPr>
        <w:t xml:space="preserve">✓ Déduplication : 700 questions → patterns uniques fusionnés</w:t>
      </w:r>
    </w:p>
    <w:p>
      <w:pPr>
        <w:spacing w:before="60" w:after="60"/>
        <w:jc w:val="left"/>
      </w:pPr>
      <w:r>
        <w:rPr>
          <w:b w:val="false"/>
          <w:bCs w:val="false"/>
          <w:i w:val="false"/>
          <w:iCs w:val="false"/>
          <w:color w:val="065F46"/>
          <w:sz w:val="18"/>
          <w:szCs w:val="18"/>
          <w:rFonts w:ascii="Arial" w:cs="Arial" w:eastAsia="Arial" w:hAnsi="Arial"/>
        </w:rPr>
        <w:t xml:space="preserve">✓ FAUX (pièges) explicites avec ⚠ — le contenu à plus forte valeur</w:t>
      </w:r>
    </w:p>
    <w:p>
      <w:pPr>
        <w:spacing w:before="60" w:after="60"/>
        <w:jc w:val="left"/>
      </w:pPr>
      <w:r>
        <w:rPr>
          <w:b w:val="false"/>
          <w:bCs w:val="false"/>
          <w:i w:val="false"/>
          <w:iCs w:val="false"/>
          <w:color w:val="065F46"/>
          <w:sz w:val="18"/>
          <w:szCs w:val="18"/>
          <w:rFonts w:ascii="Arial" w:cs="Arial" w:eastAsia="Arial" w:hAnsi="Arial"/>
        </w:rPr>
        <w:t xml:space="preserve">✓ Corrections officielles consolidées sur 14 sessions (2018→2025)</w:t>
      </w:r>
    </w:p>
    <w:p>
      <w:pPr>
        <w:spacing w:before="60" w:after="60"/>
        <w:jc w:val="left"/>
      </w:pPr>
      <w:r>
        <w:rPr>
          <w:b w:val="false"/>
          <w:bCs w:val="false"/>
          <w:i w:val="false"/>
          <w:iCs w:val="false"/>
          <w:color w:val="065F46"/>
          <w:sz w:val="18"/>
          <w:szCs w:val="18"/>
          <w:rFonts w:ascii="Arial" w:cs="Arial" w:eastAsia="Arial" w:hAnsi="Arial"/>
        </w:rPr>
        <w:t xml:space="preserve">✓ Aide-mémoire pharmaco : protocoles, molécules de 1re intention, pièges, arbres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b/>
      <w:bCs/>
      <w:color w:val="1F3A5F"/>
      <w:sz w:val="32"/>
      <w:szCs w:val="32"/>
      <w:rFonts w:ascii="Arial" w:cs="Arial" w:eastAsia="Arial" w:hAnsi="Arial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8B0000"/>
      <w:sz w:val="26"/>
      <w:szCs w:val="26"/>
      <w:rFonts w:ascii="Arial" w:cs="Arial" w:eastAsia="Arial" w:hAnsi="Aria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THÉRAPEUTIQUE - QE Haute Fréquence</dc:title>
  <dc:creator>Claude.ai</dc:creator>
  <dc:description>Generated by qe-analysis skill</dc:description>
  <cp:lastModifiedBy>Un-named</cp:lastModifiedBy>
  <cp:revision>1</cp:revision>
  <dcterms:created xsi:type="dcterms:W3CDTF">2026-06-04T18:29:48.686Z</dcterms:created>
  <dcterms:modified xsi:type="dcterms:W3CDTF">2026-06-04T18:29:48.687Z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