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851" w:rsidRPr="006906F3" w:rsidRDefault="00496BB9">
      <w:pPr>
        <w:spacing w:after="10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THÉRAPEUTIQUE</w:t>
      </w:r>
    </w:p>
    <w:p w:rsidR="00330851" w:rsidRPr="006906F3" w:rsidRDefault="00496BB9" w:rsidP="006906F3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Synthèse par leçon — V1</w:t>
      </w:r>
    </w:p>
    <w:p w:rsidR="00330851" w:rsidRPr="006906F3" w:rsidRDefault="00496BB9" w:rsidP="000E15B1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i/>
          <w:iCs/>
          <w:color w:val="000000"/>
          <w:lang w:val="fr-FR"/>
        </w:rPr>
        <w:t>Cross-match : 700 QEs (2018 → 2025) × Synthèse Thérapeutique AIO (1197 p</w:t>
      </w:r>
      <w:r w:rsidR="000E15B1">
        <w:rPr>
          <w:rFonts w:ascii="JetBrains Mono" w:hAnsi="JetBrains Mono" w:cs="JetBrains Mono"/>
          <w:i/>
          <w:iCs/>
          <w:color w:val="000000"/>
          <w:lang w:val="fr-FR"/>
        </w:rPr>
        <w:t>ages</w:t>
      </w:r>
      <w:bookmarkStart w:id="0" w:name="_GoBack"/>
      <w:bookmarkEnd w:id="0"/>
      <w:r w:rsidRPr="006906F3">
        <w:rPr>
          <w:rFonts w:ascii="JetBrains Mono" w:hAnsi="JetBrains Mono" w:cs="JetBrains Mono"/>
          <w:i/>
          <w:iCs/>
          <w:color w:val="000000"/>
          <w:lang w:val="fr-FR"/>
        </w:rPr>
        <w:t>)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14 sessions d'examen (Mai 2018 → Normal 2025) — corrections officielles</w:t>
      </w:r>
    </w:p>
    <w:p w:rsidR="00330851" w:rsidRPr="006906F3" w:rsidRDefault="00496BB9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330851" w:rsidRPr="006906F3" w:rsidRDefault="00496BB9">
      <w:pPr>
        <w:spacing w:before="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700 QEs (14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330851" w:rsidRPr="006906F3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Vaccination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thyroïdienne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Migraine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IRABC — Infections respiratoires basses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Transplantation rénale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Diabète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Corticothérapie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Épilepsie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HTA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Antibacillaires — Tuberculose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Dermatologie — Dermocorticoïdes &amp; Antiseptiques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Asthme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Antibiothérapie — Principes &amp; Échecs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UGD &amp; Helicobacter pylori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OMA — Otite moyenne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Douleur thoracique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Angine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SCA — Syndrome coronarien aigu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RGO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Sinusite &amp; Rhinite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330851" w:rsidRPr="006906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IRC &amp; troubles métaboliques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330851" w:rsidRPr="006906F3" w:rsidRDefault="00496BB9">
      <w:pPr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br w:type="page"/>
      </w:r>
    </w:p>
    <w:p w:rsidR="00330851" w:rsidRPr="006906F3" w:rsidRDefault="00496BB9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330851" w:rsidRPr="006906F3" w:rsidRDefault="00496BB9">
      <w:pPr>
        <w:spacing w:before="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i/>
          <w:iCs/>
          <w:color w:val="000000"/>
          <w:lang w:val="fr-FR"/>
        </w:rPr>
        <w:t>Statistiques calculées sur 14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330851" w:rsidRPr="006906F3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Vaccination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8.0%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thyroïdienne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7.6%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Migraine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6.9%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IRABC — Infections respiratoires basses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6.9%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Transplantation rénale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6.6%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Diabète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6.3%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Corticothérapie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6.1%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Épilepsie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5.4%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HTA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Antibacillaires — Tuberculose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Dermatologie — Dermocorticoïdes &amp; Antiseptiques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4.4%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Asthme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4.4%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4.1%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Antibiothérapie — Principes &amp; Échecs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UGD &amp; Helicobacter pylori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OMA — Otite moyenne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Douleur thoracique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Angine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SCA — Syndrome coronarien aigu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RGO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Sinusite &amp; Rhinite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IRC &amp; troubles métaboliques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330851" w:rsidRPr="006906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des leçons (22 chapitres)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699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99.9%</w:t>
            </w:r>
          </w:p>
        </w:tc>
      </w:tr>
    </w:tbl>
    <w:p w:rsidR="00330851" w:rsidRPr="006906F3" w:rsidRDefault="00496BB9">
      <w:pPr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br w:type="page"/>
      </w:r>
    </w:p>
    <w:p w:rsidR="00330851" w:rsidRPr="006906F3" w:rsidRDefault="00496BB9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3 — QUESTIONS LES PLUS FRÉQUENTES (ORDRE STRICT PAR RANG)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i/>
          <w:iCs/>
          <w:color w:val="000000"/>
          <w:lang w:val="fr-FR"/>
        </w:rPr>
        <w:t>Format : faits (-) / pièges (⚠) / source (</w:t>
      </w:r>
      <w:r w:rsidRPr="006906F3">
        <w:rPr>
          <w:rFonts w:ascii="Segoe UI Symbol" w:hAnsi="Segoe UI Symbol" w:cs="Segoe UI Symbol"/>
          <w:i/>
          <w:iCs/>
          <w:color w:val="000000"/>
        </w:rPr>
        <w:t>📖</w:t>
      </w:r>
      <w:r w:rsidRPr="006906F3">
        <w:rPr>
          <w:rFonts w:ascii="JetBrains Mono" w:hAnsi="JetBrains Mono" w:cs="JetBrains Mono"/>
          <w:i/>
          <w:iCs/>
          <w:color w:val="000000"/>
          <w:lang w:val="fr-FR"/>
        </w:rPr>
        <w:t>) / lien cours (</w:t>
      </w:r>
      <w:r w:rsidRPr="006906F3">
        <w:rPr>
          <w:rFonts w:ascii="Segoe UI Symbol" w:hAnsi="Segoe UI Symbol" w:cs="Segoe UI Symbol"/>
          <w:i/>
          <w:iCs/>
          <w:color w:val="000000"/>
        </w:rPr>
        <w:t>📎</w:t>
      </w:r>
      <w:r w:rsidRPr="006906F3">
        <w:rPr>
          <w:rFonts w:ascii="JetBrains Mono" w:hAnsi="JetBrains Mono" w:cs="JetBrains Mono"/>
          <w:i/>
          <w:iCs/>
          <w:color w:val="000000"/>
          <w:lang w:val="fr-FR"/>
        </w:rPr>
        <w:t>) / citations (</w:t>
      </w:r>
      <w:r w:rsidRPr="006906F3">
        <w:rPr>
          <w:rFonts w:ascii="Segoe UI Symbol" w:hAnsi="Segoe UI Symbol" w:cs="Segoe UI Symbol"/>
          <w:i/>
          <w:iCs/>
          <w:color w:val="000000"/>
        </w:rPr>
        <w:t>📋</w:t>
      </w:r>
      <w:r w:rsidRPr="006906F3">
        <w:rPr>
          <w:rFonts w:ascii="JetBrains Mono" w:hAnsi="JetBrains Mono" w:cs="JetBrains Mono"/>
          <w:i/>
          <w:iCs/>
          <w:color w:val="000000"/>
          <w:lang w:val="fr-FR"/>
        </w:rPr>
        <w:t>)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1] VACCINATION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~4.00 Q/examen (56 Q)</w:t>
      </w:r>
    </w:p>
    <w:p w:rsidR="00330851" w:rsidRPr="006906F3" w:rsidRDefault="00496BB9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</w:rPr>
        <w:t>📖</w:t>
      </w:r>
      <w:r w:rsidRPr="006906F3">
        <w:rPr>
          <w:rFonts w:ascii="JetBrains Mono" w:hAnsi="JetBrains Mono" w:cs="JetBrains Mono"/>
          <w:i/>
          <w:iCs/>
          <w:color w:val="404040"/>
          <w:lang w:val="fr-FR"/>
        </w:rPr>
        <w:t xml:space="preserve"> PNI — Programme National d'Immunisation (Maroc)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BCG — un enfant vacciné par le BCG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Protège SURTOUT contre les formes graves (miliaire, méningite tuberculeuse), PAS à 100 %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Risque d'effets secondaires graves (BCGite généralisée) si IMMUNODÉPRIMÉ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Vaccin VIVANT atténué, voie intradermique, NE nécessite PAS de contrôle par IDR ni de rappel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100 % protégé contre la tuberculose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doit être contrôlé par l'IDR à la tuberculine » / « doit avoir une IDR négative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nécessite des rappels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9× : M24Q21, Jn24Q27, Nv24Q21, D24Q27, M23Q30, M22Q8, M20Q9, Jn20Q8, Jn19Q33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Vaccins VIVANTS atténués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BCG + Rougeole (ROR) + Polio ORALE (VPO) = vivants atténués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Contre-indiqués chez l'immunodéprimé et la femme enceinte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Polio INJECTABLE (VPI) = INACTIVÉ, pas vivant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Hépatite B = INACTIVÉ (sous-unité), pas vivant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8× : N25Q26, M24Q23, Nv24Q23, M23Q32, Jn23Q50, M20Q11, Jn20Q7, Jn19Q32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Vaccins INACTIVÉS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Polio INJECTABLE (VPI) + Hépatite B = inactivés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Le pneumocoque conjugué et l'Haemophilus sont également inactivés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classer BCG / rougeole / polio orale parmi les inactivés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2× : Jn24Q29, D24Q29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Vaccin contre le ROTAVIRUS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Évite PLUTÔT les formes graves (déshydratation) — n'élimine PAS la maladie diarrhéique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Inclus au PNI, voie ORALE, fenêtre d'âge précoce (≤ 6 mois, ne se rattrape pas tard)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permet d'éliminer la maladie diarrhéique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peut être donné à tout âge » / « à un enfant de 3 ans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voie injectable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7× : N25Q23, M24Q20, Nv24Q20, M23Q29, M22Q7, M20Q8, Jn19Q30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Vaccins disponibles au PNI marocain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Coqueluche (entier), Rotavirus, Haemophilus, Hépatite B, BCG, Pneumocoque, Polio, ROR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Vaccin contre la ROUGEOLE = vivant atténué, inclus au PNI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lastRenderedPageBreak/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Hépatite A — NON inclus au PNI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Varicelle — NON inclus au PNI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Oreillons isolé — donné dans le ROR, pas comme valence isolée du PNI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9×+ : N25Q25, M24Q22, Nv24Q22, M23Q31, M22Q9, Jn22Q30, M21Q1, M20Q10, M18Q38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Rattrapage vaccinal (nourrisson ayant interrompu)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On REPREND le calendrier là où il s'est arrêté — on ne recommence PAS à zéro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À 9 mois on peut donner DTC-Polio, rougeole (ROR) et hépatite B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reprendre le programme comme s'il n'a rien reçu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redonner le rotavirus en rattrapage tardif (fenêtre dépassée)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3× : Jn20Q6, Jn19Q31, M18Q41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Contre-indications du BCG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Granulomatose septique chronique, infection VIH, déficit immunitaire combiné sévère (DICS)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hypotrophie et ictère physiologique NE sont PAS des CI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3× : Jn22Q32, M21Q3, M18Q39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Vaccin antipneumococcique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Inclus au PNI, peut être administré à l'immunodéprimé, voie injectable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Ne fait pas disparaître TOUS les cas de méningite à pneumocoque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élimine tous les cas de méningite à pneumocoque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vaccin vivant » (il est conjugué/inactivé)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Jn23Q47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2] PATHOLOGIE THYROÏDIENNE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~3.79 Q/examen (53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Carbimazole (Dimazol®) &amp; Méthimazole (Thyrozol®)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Antithyroïdiens de synthèse (ATS) de la famille des MERCAPTO-IMIDAZOLÉS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Indiqués pour la phase d'hyperthyroïdie ; utilisés systématiquement avant tout traitement radical (préparation à l'euthyroïdie)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famille des dérivés du thio-uracile » (c'est le PTU/BTU, pas eux)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traitement de l'hypothyroïdie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4×+ : N25Q4, Jn24Q4, D24Q4, Jn23Q7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L-Thyroxine (Lévothyrox®) — dose &amp; prise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Dose usuelle post-op chez sujet jeune sans cardiopathie : 1,5 à 2 µg/Kg/jour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Prise le MATIN, À JEUN, au moins 30 min avant le petit-déjeuner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Chez coronarien et sujet âgé : dose atteinte par PALIERS progressifs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doses en mg/j ou en mg/Kg/j (piège d'unité — c'est µg/Kg/j)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prise le soir » / « indépendante des repas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8×+ : N25Q5, Jn24Q6, M24Q7, Nv24Q7, M23Q18, M22Q18, Jn20Q19, M18Q6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de Basedow — traitement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ATS, posologie initiale d'attaque du Carbimazole = 20 à 40 mg/j, adaptée à l'intensité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lastRenderedPageBreak/>
        <w:t>Bêtabloquant (propranolol) souvent associé en attendant l'effet des ATS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Durée du traitement médical conventionnel : 12 à 18 mois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posologie en mg/Kg/j (c'est mg/j)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durée ne doit pas dépasser 6 mois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radiothérapie EXTERNE » comme traitement radical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N25Q6, Jn24Q7, D24Q7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Traitement RADICAL des hyperthyroïdies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Irathérapie par l'IODE 131 OU thyroïdectomie totale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L'iode 131 nécessite l'euthyroïdie préalable ; CI en grossesse et orbitopathie sévère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iode 132 » / « Technétium » (piège d'isotope — c'est le 131)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radiothérapie externe » / « chimiothérapie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M24Q8, Nv24Q8, M23Q19, M22Q19, Jn19Q11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Goitre multinodulaire toxique (GMNT)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Traitement radical le plus souvent : THYROÏDECTOMIE TOTALE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Préparation systématique par ATS avant la chirurgie (obtention de l'euthyroïdie)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Suivi post-thyroïdectomie : Lévothyrox® + dosage de la TSHus seule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irathérapie I131 » comme radical de 1er choix du GMNT (c'est la chirurgie)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surveillance par LT3/LT4 (c'est la TSHus qui guide)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3×+ : Jn24Q5, D24Q5, Jn23Q8 + Jn24Q6/D24Q6/Jn23Q9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Effets secondaires des ATS (mercapto-imidazolés)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Le plus FRÉQUENT : rash urticarien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Le plus REDOUTÉ / grave : AGRANULOCYTOSE (NFS impérative devant toute fièvre/angine)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Ne pas confondre « fréquent » (rash) et « redouté » (agranulocytose)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insuffisance rénale aiguë / anémie hémolytique comme effet principal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M24Q9, Nv24Q9, M22Q20, M18Q5, M23Q20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Complications de la thyroïdectomie totale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Paralysie récurrentielle (nerf récurrent), HYPOparathyroïdie (hypocalcémie), hématome suffocant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HYPERparathyroïdie » (c'est l'HYPO par exérèse parathyroïdienne)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AVC hémorragique » / « lésion des carotides internes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Jn19Q10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3] MIGRAINE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~3.43 Q/examen (48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Traitement SPÉCIFIQUE de la crise = TRIPTANS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Élétriptan (Relpax®), Rizatriptan, Sumatriptan… = traitement spécifique de la crise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lastRenderedPageBreak/>
        <w:t>Pris DÈS le début de la céphalée ; vasoconstricteurs ; dose minimale efficace ; combinables aux AINS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CI : cardiopathie ischémique / coronaropathie, HTA non contrôlée, migraine hémiplégique, migraine du tronc cérébral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pris à la FIN de la céphalée » (c'est au début)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M24Q15, Nv24Q15, Jn24Q21, D24Q21, M21Q50, M20Q45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Traitement NON spécifique de la crise (antalgiques/AINS)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AINS : Ibuprofène, Naproxène, Diclofénac ; + Aspirine et Paracétamol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Chez la femme enceinte : PARACÉTAMOL en 1re intention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Étoricoxib (coxib) comme traitement non spécifique de la migraine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Amitriptyline/Topiramate en crise (ce sont des traitements de FOND)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N25Q11, M24Q14, Jn24Q23, D24Q23, Nv24Q14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Traitement de FOND / préventif — indications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Migraines fréquentes et handicapantes, échec du traitement de crise, risque d'abus médicamenteux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Durée 6 à 12 mois, sevrage progressif, réintroduction si récidive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indiqué dans la migraine avec aura » comme critère à lui seul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Jn24Q22, D24Q22, Jn23Q20, Jn22Q18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Choix du traitement de FOND selon le terrain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HYPERTENDU → PROPRANOLOL (bêtabloquant) en 1re intention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DÉPRIMÉ → AMITRIPTYLINE (Laroxyl®)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Autres : Topiramate, anticorps monoclonaux anti-CGRP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Propranolol/Topiramate prescrits 3 à 6 mois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Carbamazépine / Gabapentine / Lévétiracétam comme traitement de fond de la migraine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Jn24Q20, D24Q20, N25Q13, M23Q37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LASMIDITAN (nouvelle molécule de crise)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Efficacité comparable aux triptans, agit sur la voie CGRP, voie orale, bien toléré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Intérêt : PAS de vasoconstriction → utilisable si pathologie cardiovasculaire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contre-indiqué en cas de pathologie cardiovasculaire » (c'est justement son avantage)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 : M24Q19, Nv24Q19, Jn23Q15, M21Q46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4] IRABC — INFECTIONS RESPIRATOIRES BASSES COMMUNAUTAIRES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~3.43 Q/examen (48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Bronchite aiguë NON compliquée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Traitement SYMPTOMATIQUE : antipyrétique + vitamine C — PAS d'antibiotique d'emblée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Antibiotique justifié SEULEMENT si : fièvre &gt; 38,5–39 °C persistante OU OMA purulente associée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antibiothérapie systématique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Amoxicilline / Amox-clav d'emblée dans la bronchite simple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corticoïdes inhalés dans la bronchite aiguë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N25Q33/35, M24Q40, Nv24Q40, Jn24Q34/35, D24Q34/35, Jn23Q23/24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Pneumonie à pneumocoque, sujet jeune SANS comorbidité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AMOXICILLINE 1re intention, 3 g/jour (1 g × 3)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Enfant : Amoxicilline 100 mg/Kg/j en 3 prises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Amox-clav / C3G / fluoroquinolone / macrolide en 1re intention chez le jeune sain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2 g/jour » (la cible adulte est 3 g/j)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4×+ : M24Q43, Jn24Q38, Nv24Q43, D24Q38, N25Q38, M18Q40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Pneumonie avec COMORBIDITÉS / sujet âgé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AMOXICILLINE + ACIDE CLAVULANIQUE 1re intention (1 g × 3/j)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Pneumonie atypique suspectée → macrolide (azithromycine) ou fluoroquinolone respiratoire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amoxicilline seule chez le patient à comorbidités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N25Q37, Jn23Q27, M20Q13, M23Q24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Critères d'HOSPITALISATION d'une pneumonie (CRB-65)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Confusion, FR &gt; 30 cpm, PA basse (PAS&lt;90 / PAD≤60), Âge ≥ 65 ans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Évaluer aussi conscience, FC, FR, TA, terrain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âge &lt; 65 ans » comme critère de gravité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la seule opacité radiologique ne décide pas l'hospitalisation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N25Q34, Jn23Q26, M20Q12, M18Q11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Exacerbation de BPCO — LÉGÈRE vs SÉVÈRE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LÉGÈRE : bronchodilatateurs ± antibiotique SI expectorations purulentes (Amox-clav, lévofloxacine, moxifloxacine)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SÉVÈRE : antibiothérapie + bronchodilatateurs + corticothérapie systémique + oxygénothérapie ± ventilation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antitussif dans l'exacerbation de BPCO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amoxicilline seule pour l'exacerbation bactérienne de BPCO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4×+ : M24Q41/42, Jn24Q36/37, Nv24Q41/42, D24Q36/37, Jn23Q25, Jn20Q30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Prévention des IRABC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Sevrage tabagique, vaccination (antigrippale + antipneumococcique), lavage des mains, port du masque, correction des comorbidités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antibiothérapie prophylactique chez les BPCO » / « lors des bronchites aiguës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N25Q39, M20Q14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5] TRANSPLANTATION RÉNALE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~3.29 Q/examen (46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Généralités sur la transplantation rénale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lastRenderedPageBreak/>
        <w:t>Meilleur traitement de l'IRC terminale, améliore qualité de vie et survie, coût moindre que la dialyse à long terme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Nécessite un traitement immunosuppresseur À VIE, une évaluation immunologique et un suivi au long cours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Greffon implanté en FOSSE ILIAQUE ; anastomose veineuse sur la veine iliaque ; sonde JJ urinaire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immunosuppresseur uniquement la 1re année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néphrectomie systématique du rein natif » du receveur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aucun suivi après la greffe » / « expose à une surmortalité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4×+ : N25Q47, M24Q1, Nv24Q1, Jn22Q34, M21Q6, Jn20Q20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immunosuppresseur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Objectif : prévenir le rejet aigu ET la dysfonction chronique du greffon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Repose sur une ASSOCIATION de plusieurs molécules (pas une monothérapie)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Comporte une phase d'INDUCTION puis une phase de MAINTENANCE ; équilibre efficacité/toxicité, posologie individualisée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monothérapie » / « corticothérapie seule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posologie standard fixe identique chez tous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uniquement par voie injectable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M24Q4, Nv24Q4, Jn22Q37, M21Q8, M20Q4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fréquentes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Thrombose vasculaire, complications INFECTIEUSES, REJET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perforation d'ulcère » et « complications psychiatriques » parmi les complications fréquentes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 : N25Q49, M24Q3, Nv24Q3, Jn22Q36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Cadre légal &amp; organisation au Maroc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Régulée par un texte de loi, autorisée UNIQUEMENT dans les structures accréditées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Consentement éclairé du couple donneur–receveur obligatoire ; cross-match NÉGATIF requis avant greffe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Bons résultats avec bonne survie patients/greffons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peut être réalisée dans toutes les structures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cross-match POSITIF avant la greffe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concerne uniquement le donneur vivant » (le don sur mort encéphalique est prévu)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Jn24Q12/13/14, D24Q12/13/14, M21Q7, M20Q1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Contre-indications ABSOLUES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Cancer évolutif, infection mal contrôlée, maladie psychiatrique grave non contrôlée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maladie hypertensive » / « diabète » / « âge 65 ans » comme CI absolues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Jn20Q21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6] DIABÈTE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lastRenderedPageBreak/>
        <w:t>—  •  ~3.14 Q/examen (44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METFORMINE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Corrige l'INSULINORÉSISTANCE (potentialise l'insuline au foie/muscle), n'augmente PAS l'insulinosécrétion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Dose maximale ≈ 3000 mg/j ; CI si IR sévère (risque d'acidose lactique), prudence &gt; 75 ans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stimule la sécrétion d'insuline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diminue l'absorption intestinale des sucres » (c'est l'acarbose)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fuite rénale de glucose » (c'est les iSGLT2) ; FAUX : dose d'initiation 4000 mg/j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N25Q1, M24Q11, Nv24Q11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Antidiabétiques INSULINOSÉCRÉTEURS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Sulfamides hypoglycémiants, Glinides, inhibiteurs DPP-4, analogues du GLP-1 → induisent une insulinosécrétion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Insuline = apport exogène (corrige le manque d'insuline)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iSGLT2 = insulinosécréteurs (ils agissent au rein, indépendamment de l'insuline)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N25Q2, Jn24Q2, D24Q2, M23Q17, M24Q12, Nv24Q12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GLINIDES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Insulinosécréteurs à DEMI-VIE COURTE, prise conditionnée par le repas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CI en cas d'insuffisance hépatique sévère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demi-vie longue de 12 h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contre-indiqués dans l'IR modérée » (utilisables, contrairement aux sulfamides)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Jn24Q3, D24Q3, M18Q3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iSGLT2 (gliflozines)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Diminuent la réabsorption rénale du glucose → glucosurie (fuite rénale de glucose)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Risques : infections uro-génitales, hypotension, déshydratation par pollakiurie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stimulent la sécrétion d'insuline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prise de poids importante » (ils font plutôt maigrir) ; FAUX : hypoglycémies sévères (seuls)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Jn20Q14, Jn20Q15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Insulinothérapie dans le DT2 — initiation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Indiquée après ÉCHEC du traitement oral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Débute par UNE injection d'analogue LENT à dose faible (0,1–0,2 UI/Kg/j) en association à metformine ± insulinosécréteur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Titration : adapter sur la glycémie à jeun, augmentation tous les 3 jours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d'emblée 4 injections/j » / « par pompe d'emblée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dose d'initiation 2 UI/Kg/j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prescrite dès la découverte du DT2 car vitale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M24Q13, Nv24Q13, Jn19Q14, M18Q4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Objectifs glycémiques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DT1 : glycémie préprandiale 0,80–1,20 g/l, HbA1c ≈ 7 %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DT2 : HbA1c &lt; 7 % ; sujet &gt; 75 ans : HbA1c &lt; 8 % (objectif assoupli)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initier l'insuline du DT1 à 3–4 UI/Kg/j (dose basale ≈ 0,3–0,4 UI/Kg/j)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HbA1c &lt; 6 % » comme cible standard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N25Q3, Jn23Q11, M18Q1, Jn19Q15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7] CORTICOTHÉRAPIE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~3.07 Q/examen (43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Surveillance clinico-biologique sous corticothérapie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Rechercher : HYPERglycémie, HYPERcholestérolémie, HYPERtriglycéridémie, HTA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Surveiller aussi le risque infectieux et la kaliémie (risque d'HYPOkaliémie)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HYPERkaliémie » (le corticoïde donne plutôt une HYPOkaliémie)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hypotension » / « hypoglycémie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M24Q38, Nv24Q38, M20Q43, M23Q49, M22Q38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Choix de la molécule pour une corticothérapie ORALE au long cours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PREDNISONE (ou prednisolone) = molécule de référence au long cours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Prise de la TOTALITÉ de la dose le MATIN (respect du cycle physiologique)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hydrocortisone / dexaméthasone / bétaméthasone pour le long cours (réservées à d'autres indications)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fractionnement en 3 prises » / « prise le soir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M23Q47, M22Q36, M22Q37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MYOPATHIE cortisonique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Atteinte musculaire PROXIMALE, SYMÉTRIQUE, indolore ; CPK normales ou peu élevées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EMG : tracé myogène sans activité ; récupération lente ; prévention = travail musculaire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déficit DISTAL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atteinte douloureuse » / « atteinte asymétrique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CPK très augmentées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M24Q39, Nv24Q39, M20Q44, Jn19Q45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Mécanisme &amp; effet immunitaire des corticoïdes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Inducteurs de l'APOPTOSE des lymphocytes, diminuent la prolifération des LT, effet anti-inflammatoire et immunosuppresseur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stimulent la prolifération des LB » / « augmentent les immunoglobulines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effet inflammatoire » / « effet allergisant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Jn24Q48, D24Q48, M18Q34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Effets indésirables au long cours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Atrophie surrénalienne, diabète cortico-induit, HTA, OSTÉOPOROSE, hypogammaglobulinémie, infections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lastRenderedPageBreak/>
        <w:t>Sevrage de l'hydrocortisone pour prévenir l'insuffisance surrénalienne au sevrage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HYPERcalcémie » (risque plutôt d'ostéoporose/hypocalcémie)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hyperthyroïdie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M23Q50, M18Q35, Jn20Q44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Prévention de l'ostéoporose cortisonique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Apport phospho-calcique + vitamine D suffisants, lutte contre la sédentarité, éviction du tabac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Ostéodensitométrie ; traitement anti-ostéoporotique selon T-score ≤ −2,5 ou FRAX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apport en protéines sans importance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N25Q9/10, M18Q28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8] ÉPILEPSIE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~2.71 Q/examen (38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Choix de l'antiépileptique selon le SYNDROME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Absence (enfant) → VALPROATE de sodium (éthosuximide aussi)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Épilepsie myoclonique juvénile → VALPROATE de sodium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Épilepsie FOCALE symptomatique → CARBAMAZÉPINE (ou lévétiracétam)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Carbamazépine dans l'absence / la myoclonie (peut les aggraver)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Gabapentine / Phénobarbital en 1re intention de ces syndromes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N25Q14, M20Q47, M24Q17, Nv24Q17, Jn24Q24, D24Q24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Antiépileptiques pendant la GROSSESSE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LAMOTRIGINE et LÉVÉTIRACÉTAM = les mieux tolérés / privilégiés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VALPROATE = à proscrire (tératogène : anomalies du tube neural, troubles neurodéveloppementaux)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Valproate (surtout à forte dose) chez la femme enceinte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Carbamazépine/Phénytoïne : à éviter si alternative possible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M24Q18, Nv24Q18, M23Q39, M22Q31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Bilan PRÉ-thérapeutique du VALPROATE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Bilan HÉPATIQUE (hépatotoxicité) + numération plaquettaire ; calcémie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Surveillance du poids et des transaminases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glycémie / ECBU / kaliémie » comme bilan clé du valproate (c'est le bilan HÉPATIQUE qui prime)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3× : N25Q16, Jn20Q28, Jn19Q19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Antiépileptiques CLASSIQUES vs nouveaux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Classiques : Carbamazépine, Valproate, Phénobarbital, Phénytoïne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Nouveaux : Lévétiracétam, Lamotrigine, Gabapentine, Topiramate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classer le Lévétiracétam parmi les « classiques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Jn24Q25, D24Q25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lastRenderedPageBreak/>
        <w:t>[RANG 9] HTA — HYPERTENSION ARTÉRIELLE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~2.36 Q/examen (33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Bithérapie de 1re intention (ISH 2020 / ESC)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Association de base : IEC (ou ARA II) + INHIBITEUR CALCIQUE (ou + diurétique thiazidique)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HTA grade ≥ 2 ou haut risque CV : bithérapie d'emblée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associer IEC + ARA II (double blocage du SRA déconseillé)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diurétique de l'anse comme antihypertenseur de fond (sauf IR/IC)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Jn23Q5, M22Q14, M18Q20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Effets indésirables des IEC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Toux sèche, hyperkaliémie, élévation de la créatininémie (surveiller fonction rénale + kaliémie)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Devant une dégradation rénale + hypokaliémie sous IEC → évoquer une cause RÉNOVASCULAIRE (sténose des artères rénales)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hypokaliémie » comme effet propre de l'IEC (il donne une HYPERkaliémie)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FAUX : « allongement du PR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Jn23Q4, M20Q33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Indications des BÊTABLOQUANTS dans l'HTA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Fibrillation atriale, angor d'effort, post-infarctus, dissection aortique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Prudence/CI relative : asthme non contrôlé, BPCO ; ne pas associer BB + vérapamil/diltiazem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Jn23Q6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HTA RÉSISTANTE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Ajout de SPIRONOLACTONE à la dose de 25 mg en 4e ligne (après trithérapie incluant un diurétique)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spironolactone « 50 / 75 / 100 mg » d'emblée (la dose de référence ici est 25 mg)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M23Q9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Mesures hygiéno-diététiques &amp; objectifs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Sel &lt; 6 g/j, réduction pondérale, activité physique ; cible PAS souvent 130–139 mmHg (130 si bien toléré)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Diabétique : cible PA 130/80, HbA1c &lt; 7 %, LDL &lt; 1 g/l ; statine si risque élevé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sel &lt; 4 g/j » comme recommandation standard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M21Q33, Jn20Q50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10] ANTIBACILLAIRES — TUBERCULOSE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~2.36 Q/examen (33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Régimes thérapeutiques (RHZE)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lastRenderedPageBreak/>
        <w:t>Tuberculose pulmonaire commune ET pleurale : 2RHZE / 4RH (6 mois)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Tuberculose OSTÉO-ARTICULAIRE et NEUROMÉNINGÉE : 2RHZE / 7RH (9 mois)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4RHZE/2RH » / « 2RHZ/4RHE » pour la TB commune (l'ordre R-H-Z-E et la durée 2/4 comptent)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Piège pleurale : c'est 2RHZE/4RH (6 mois), pas 9 mois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4×+ : M24Q47, Jn24Q42, Nv24Q47, D24Q42, N25Q42, Jn23Q30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Posologies des antibacillaires (mg/Kg/j)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Rifampicine 10 mg/Kg/j • Isoniazide 5 mg/Kg/j • Pyrazinamide 25–30 • Éthambutol 15–20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ERIPK4 (forme combinée) chez un adulte ≈ 55–70 Kg : 4 comprimés/j en 1 prise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Rifampicine 5 mg/Kg/j (c'est 10) ou Isoniazide 10 mg/Kg/j (c'est 5)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4×+ : M24Q49, Jn24Q44, Nv24Q49, D24Q44, N25Q41/43, Jn23Q31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Modalités de prise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À JEUN, 30 min AVANT le repas, en PRISE UNIQUE quotidienne, dose adaptée au poids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ASSOCIATION de plusieurs antibacillaires (≥ 4 en phase initiale)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après le repas » / « 2–3 fois par jour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4×+ : M24Q50, Jn24Q45, Nv24Q50, D24Q45, M22Q28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Justification de l'ASSOCIATION (biologie du BK)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Existence de mutants naturellement résistants → association pour prévenir la résistance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Multiplication LENTE → prise unique quotidienne suffisante ; populations intra/extracellulaires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germe anaérobie » / « purement extracellulaire » / « multiplication rapide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N25Q40, M20Q17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RIFAMPICINE — particularités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INDUCTEUR enzymatique → diminue l'effet des corticoïdes, des œstroprogestatifs et des AVK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CI : accident immuno-allergique majeur antérieur, obstruction des voies biliaires, porphyrie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augmente l'effet anticoagulant des AVK » (l'induction le DIMINUE)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contre-indiquée pendant la grossesse » (elle est utilisable)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M18Q9, Jn22Q46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11] DERMATOLOGIE — DERMOCORTICOÏDES &amp; ANTISEPTIQUES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~2.21 Q/examen (31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Choix du dermocorticoïde selon la localisation/lésion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Visage / nourrisson (eczéma des joues) → corticoïde FAIBLE : Désonide (Locapred®/Locatop®)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lastRenderedPageBreak/>
        <w:t>Kératodermie palmo-plantaire psoriasique / lésions épaisses → corticoïde TRÈS FORT : Clobétasol (Dermoval®), Bétaméthasone dipropionate (Diprolène®)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clobétasol/Diprolène sur le VISAGE ou chez le NOURRISSON (atrophie cutanée)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Règle : puissance adaptée au site (faible sur peau fine, fort sur peau épaisse)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M18Q7, M18Q8, Jn19Q35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ANTISEPTIQUES — Bétadine® (povidone iodée)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Povidone iodée ; CI chez la femme ENCEINTE et le NOUVEAU-NÉ (risque thyroïdien)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Soins de l'ombilic du nouveau-né : éosine, chlorhexidine (PAS d'iode)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utilisable chez la femme allaitante / le nouveau-né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bactériostatique » (la povidone iodée est bactéricide)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Jn19Q34, Jn20Q11, Jn19Q36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Intertrigo inter-orteils macéré (mycose)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Antifongique en poudre (asséchant) : nitrate d'isoconazole (Mycoderme® poudre)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dermocorticoïde seul / acide fusidique en 1re intention sur un intertrigo mycosique macéré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Jn19Q35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12] ASTHME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~2.21 Q/examen (31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Traitement de fond selon la fréquence des symptômes (GINA)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Symptômes rares (≤ 2×/mois) → CSI-formotérol À LA DEMANDE (palier 1)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Symptômes ≥ 1×/semaine sans être quotidiens → CSI faible dose en fond (± à la demande)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Symptômes quasi quotidiens / nocturnes → ASSOCIATION CSI + BDLA (LABA) en fond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BDLA (LABA) SEUL en traitement de fond (jamais sans corticoïde inhalé)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corticothérapie ORALE au long cours comme fond de l'asthme courant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4×+ : M24Q44/45, Jn24Q39/40, Nv24Q44/45, D24Q39/40, N25Q44/45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Traitement de la CRISE / exacerbation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 xml:space="preserve">Crise SÉVÈRE : </w:t>
      </w:r>
      <w:r w:rsidRPr="006906F3">
        <w:rPr>
          <w:rFonts w:ascii="JetBrains Mono" w:hAnsi="JetBrains Mono" w:cs="JetBrains Mono"/>
        </w:rPr>
        <w:t>β</w:t>
      </w:r>
      <w:r w:rsidRPr="006906F3">
        <w:rPr>
          <w:rFonts w:ascii="JetBrains Mono" w:hAnsi="JetBrains Mono" w:cs="JetBrains Mono"/>
          <w:lang w:val="fr-FR"/>
        </w:rPr>
        <w:t>2-mimétique de COURTE durée en NÉBULISATION + corticoïde SYSTÉMIQUE (IV/oral) + oxygénothérapie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 xml:space="preserve">Crise modérée : </w:t>
      </w:r>
      <w:r w:rsidRPr="006906F3">
        <w:rPr>
          <w:rFonts w:ascii="JetBrains Mono" w:hAnsi="JetBrains Mono" w:cs="JetBrains Mono"/>
        </w:rPr>
        <w:t>β</w:t>
      </w:r>
      <w:r w:rsidRPr="006906F3">
        <w:rPr>
          <w:rFonts w:ascii="JetBrains Mono" w:hAnsi="JetBrains Mono" w:cs="JetBrains Mono"/>
          <w:lang w:val="fr-FR"/>
        </w:rPr>
        <w:t>2-CDA nébulisé + corticothérapie orale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BDLA (LABA) nébulisé dans la crise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corticoïde INHALÉ comme traitement de la crise sévère (il faut le systémique)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4×+ : M24Q46, Jn24Q41, Nv24Q46, D24Q41, N25Q46, Jn22Q45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Principe d'association CSI + LABA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 xml:space="preserve">Les </w:t>
      </w:r>
      <w:r w:rsidRPr="006906F3">
        <w:rPr>
          <w:rFonts w:ascii="JetBrains Mono" w:hAnsi="JetBrains Mono" w:cs="JetBrains Mono"/>
        </w:rPr>
        <w:t>β</w:t>
      </w:r>
      <w:r w:rsidRPr="006906F3">
        <w:rPr>
          <w:rFonts w:ascii="JetBrains Mono" w:hAnsi="JetBrains Mono" w:cs="JetBrains Mono"/>
          <w:lang w:val="fr-FR"/>
        </w:rPr>
        <w:t>2-mimétiques de longue durée doivent TOUJOURS être associés à un corticoïde inhalé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lastRenderedPageBreak/>
        <w:t>CSI faible dose indiqués dès l'asthme persistant léger ; éducation + éviction des facteurs + sevrage tabagique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LABA seul en 1re intention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corticothérapie orale en traitement de fond en 1re intention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M22Q26, M20Q15, Jn23Q33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13] AINS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~2.07 Q/examen (29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AINS chez le sujet à HAUT risque (âgé, ATCD CV/AVC, IR, antiagrégant)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Sujet avec ATCD d'AVC/AVCI sous antiagrégant, artériopathie → AINS CONTRE-INDIQUÉS (chercher une alternative)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Crise de goutte chez patient à comorbidités/IR avec colchicine impossible → AINS souvent CI ; alternative = corticoïde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prescrire un coxib/diclofénac « quand même » en arrêtant l'antiagrégant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Réponse fréquente du concours : « E — aucune réponse / alternative aux AINS contre-indiqués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N25Q7/8, Jn24Q8, D24Q8, Jn23Q22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Règles de prescription dans un rhumatisme inflammatoire (spondyloarthrite)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AINS lors des POUSSÉES, à la dose minimale efficace, durée la plus courte, réévaluation régulière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Voie IM courte (≈ 3 jours) puis relais ORAL ; ne pas poursuivre en rémission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AINS à vie / en continu même en rémission pour prévenir l'ankylose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IM pendant toute la poussée / 7 jours »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M24Q5, Nv24Q5, M22Q6, Jn23Q21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Facteurs de risque digestif &amp; précautions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FdR : âge &gt; 65 ans, ATCD d'ulcère, infection H. pylori, tabac, co-prescription corticoïdes/anticoagulants/aspirine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Précautions : IPP associé, dose minimale, durée courte, évaluer fonction rénale et TA, éducation anti-automédication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l'âge JEUNE » comme facteur de risque digestif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mêmes précautions que chez le sujet jeune » pour le sujet âgé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M24Q6, Nv24Q6, M23Q36, Jn22Q4, Jn19Q40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14] ANTIBIOTHÉRAPIE — PRINCIPES &amp; ÉCHECS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~2.00 Q/examen (28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d'une ASSOCIATION d'antibiotiques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Tuberculose, sepsis à Pseudomonas aeruginosa, fièvre chez le neutropénique → association obligatoire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lastRenderedPageBreak/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association systématique pour une cystite ou une pneumonie simple du sujet jeune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M24Q31, Nv24Q31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Voie INTRAVEINEUSE d'emblée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Méningite à pneumocoque, sepsis à BGN, endocardite → voie IV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Démarrer avant la confirmation microbiologique dans le sepsis ; ATB bactéricide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voie IV pour une angine streptococcique ou une cystite simple (voie orale)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Jn24Q47, D24Q47, M21Q41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Classification de l'ÉCHEC de l'antibiothérapie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VRAI échec lié à : la BACTÉRIE (résistance acquise, erreur d'identification), le TRAITEMENT (posologie/durée insuffisante), le FOYER (collection, corps étranger, lithiase, métastases septiques, abcès), le MALADE (immunodépression/terrain)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FAUX échec : fièvre d'autre origine (thrombophlébite, veinite, fièvre médicamenteuse) avec régression du syndrome inflammatoire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Une infection à Candida ou une fièvre médicamenteuse N'EST PAS un échec lié au foyer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Foyer profond (abcès/empyème) → drainage CHIRURGICAL, pas seulement changer d'ATB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N25Q31/32, M23Q45, M21Q43/44, M20Q30, M18Q31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Surveillance &amp; antibiothérapie courte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Réévaluation systématique à 48–72 h (efficacité ET tolérance) ; ARRÊT FRANC, sans dégression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Antibiothérapie courte : favorise l'observance, préserve l'écologie, peu coûteuse (ex : cystite simple)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arrêt par dégression progressive des posologies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antibiothérapie courte pour une arthrite septique (infection profonde = durée longue)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Jn23Q43, M23Q46, N25Q31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15] UGD &amp; HELICOBACTER PYLORI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~1.86 Q/examen (26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Éradication de H. pylori — protocole de 1re intention (sans antibiogramme)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1re intention : QUADRITHÉRAPIE bismuthée (Pylera®) OU quadrithérapie concomitante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ALLERGIE à la pénicilline → QUADRITHÉRAPIE BISMUTHÉE (sans amoxicilline)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trithérapie standard amoxicilline-clarithromycine en 1re intention (résistance clarithromycine élevée)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N25Q21, Jn24Q50, M23Q34, M21Q20, M20Q37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Résistances des antibiotiques anti-H. pylori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Cause principale d'échec : RÉSISTANCE à la CLARITHROMYCINE (et non-observance)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lastRenderedPageBreak/>
        <w:t>AMOXICILLINE : résistance EXCEPTIONNELLE/rare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résistance fréquente à l'amoxicilline »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désigner le métronidazole comme l'ATB sans résistance (c'est l'amoxicilline)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Jn22Q3, M21Q21, M20Q35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IPP &amp; cytochrome 2C19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ÉSOMÉPRAZOLE et RABÉPRAZOLE : efficacité peu dépendante du polymorphisme du CYP2C19 → à privilégier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IPP poursuivis 4 semaines après l'éradication dans l'ulcère gastrique ; contrôle d'éradication systématique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« IPP pris APRÈS le repas » (les IPP se prennent AVANT le repas)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Jn24Q49, D24Q49, M20Q36, M24Q37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Composition de la quadrithérapie bismuthée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Sous-citrate de bismuth + métronidazole + tétracycline (chlorhydrate) + IPP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y inclure l'amoxicilline ou la clarithromycine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Jn20Q2</w:t>
      </w:r>
    </w:p>
    <w:p w:rsidR="00330851" w:rsidRPr="006906F3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[RANG 16] OMA — OTITE MOYENNE AIGUË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~1.79 Q/examen (25 Q)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Antibiotique de 1re intention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AMOXICILLINE en 1re intention (enfant : 80–90 mg/Kg/j)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Alternatives : amoxicilline-acide clavulanique, céfuroxime axétil (selon contexte)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moxifloxacine / cotrimoxazole / ciprofloxacine en 1re intention de l'OMA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5×+ : M20Q19, Jn20Q36, Jn19Q24, M23Q13, M22Q46, Jn23Q35, Jn22Q50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Arsenal thérapeutique global de l'OMA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Antalgiques/antipyrétiques, désinfection rhinopharyngée (sérum physiologique), corticothérapie orale courte, paracentèse, mastoïdectomie (compliquée)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Tous ces moyens peuvent faire partie de la PEC selon la gravité (réponse « A,B,C,D,E » fréquente)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6× : M24Q27, Jn24Q33, Nv24Q27, D24Q33, Jn23Q37, M21Q38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de la PARACENTÈSE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Otite COMPLIQUÉE, otite hyperalgique, otite traînante, échec thérapeutique, nourrisson &lt; 3 mois, déficit immunitaire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  <w:lang w:val="fr-FR"/>
        </w:rPr>
        <w:t>FAUX : paracentèse devant une otite CONGESTIVE (stade congestif = pas de paracentèse)</w:t>
      </w:r>
    </w:p>
    <w:p w:rsidR="00330851" w:rsidRPr="006906F3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6906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M23Q15, M22Q48, M20Q21, Jn19Q25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Échec à 72 h (tympan bombant persistant) :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6906F3">
        <w:rPr>
          <w:rFonts w:ascii="JetBrains Mono" w:hAnsi="JetBrains Mono" w:cs="JetBrains Mono"/>
          <w:lang w:val="fr-FR"/>
        </w:rPr>
        <w:t>Chercher une MAUVAISE OBSERVANCE, puis indiquer une PARACENTÈSE (documentation + drainage)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mastoïdectomie ou TDM du rocher d'emblée à 72 h sans complication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Jn20Q38</w:t>
      </w:r>
    </w:p>
    <w:p w:rsidR="00330851" w:rsidRPr="000E15B1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[RANG 17] DOULEUR THORACIQUE AIGUË</w:t>
      </w: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~1.21 Q/examen (17 Q)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Indications de la THROMBOLYSE IV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SCA avec sus-décalage PERSISTANT du segment ST (SCA ST+), jusqu'à H12, si angioplastie non disponible à temps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Embolie pulmonaire GRAVE avec état de choc / hypotension persistante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thrombolyse dans le SCA ST− (même à haut risque) → c'est l'angioplastie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thrombolyse dans la dissection aortique ou la péricardite (CI absolue)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M24Q32, Nv24Q32, N25Q27, Jn24Q16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DISSECTION AORTIQUE — prise en charge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Type A → traitement MÉDICO-CHIRURGICAL (urgence chirurgicale) ; Type B → médical (BB IV, inhibiteur calcique IV)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Objectifs : PAS &lt; 120 mmHg et FC &lt; 60 bpm ; angioscanner thoracique = examen de référence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traitement de la dissection type A est médical »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anticoagulation par énoxaparine/HNF systématique à l'admission » (CI dans la dissection)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M24Q33, Nv24Q33, Jn24Q17, D24Q17, Jn22Q7/27, M23Q8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Ténectéplase (Métalyse®) — dose selon le poids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Dose adaptée au poids : 60–69 Kg → 35 mg ; 70–79 Kg → 40 mg ; 80–89 Kg → 45 mg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Patient 85 Kg → 45 mg ; 65 Kg → 35 mg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Piège récurrent du concours : associer le bon palier de poids à la bonne dose en mg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Jn24Q18, D24Q18, N25Q29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RIVAROXABAN dans l'embolie pulmonaire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Inhibiteur du facteur Xa ; schéma 15 mg × 2/j pendant 21 jours, puis 20 mg/j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CI si DFG &lt; 15 ml/min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inhibe le facteur II » (c'est le Xa)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15 mg × 2/j pendant 7 jours » (c'est 21 jours)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N25Q28</w:t>
      </w:r>
    </w:p>
    <w:p w:rsidR="00330851" w:rsidRPr="000E15B1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[RANG 18] ANGINE</w:t>
      </w: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~1.14 Q/examen (16 Q)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Antibiotique de 1re intention (angine streptococcique)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AMOXICILLINE = traitement court de référence (6 jours)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Enfant 10 Kg : amoxicilline 50 mg/Kg/j (ex : 500 mg en 2 prises)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lastRenderedPageBreak/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pénicilline V / amox-clav / céfuroxime / quinolone en 1re intention (c'est l'amoxicilline)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5×+ : M24Q25, Jn24Q31, Nv24Q25, D24Q31, M21Q36, M22Q45, M18Q45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Allergie aux bêtalactamines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MACROLIDE en cas d'allergie aux bêtalactamines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C3G ou amox-clav chez l'allergique aux bêtalactamines (allergie croisée possible)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M23Q12, Jn22Q47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Pourquoi traiter l'angine streptococcique ?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Objectif principal = prévention du RHUMATISME ARTICULAIRE AIGU (RAA) et des complications post-streptococciques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parce que l'origine bactérienne est la plus fréquente » (la majorité des angines sont virales)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M18Q36</w:t>
      </w:r>
    </w:p>
    <w:p w:rsidR="00330851" w:rsidRPr="000E15B1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[RANG 19] SCA — SYNDROME CORONARIEN AIGU</w:t>
      </w: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~1.07 Q/examen (15 Q)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Thrombolyse dans le SCA ST+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Indiquée dans le SCA ST+ jusqu'à H12, d'autant plus efficace qu'elle est précoce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Associée à une ANTICOAGULATION + double antiagrégation ; dose de charge CLOPIDOGREL = 300 mg PER OS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pas d'anticoagulant associé à la thrombolyse »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clopidogrel « 300 mg en IV » (la dose de charge est orale)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M23Q5, Jn23Q2, D24Q16, M22Q11</w:t>
      </w:r>
    </w:p>
    <w:p w:rsidR="00330851" w:rsidRPr="006906F3" w:rsidRDefault="00496BB9">
      <w:pPr>
        <w:spacing w:before="160" w:after="6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Antiagrégants &amp; anticoagulants — classes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Antiagrégants plaquettaires : ASPIRINE + CLOPIDOGREL (et autres inhibiteurs P2Y12)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AOD (anticoagulant oral direct) : APIXABAN, rivaroxaban (l'énoxaparine est une HBPM, le Sintrom® un AVK)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classer héparine / bêtabloquant / digitalique parmi les antiagrégants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Sintrom® / énoxaparine / aspirine comme « AOD »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M23Q6, Jn23Q3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Objectif lipidique après un SCA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Cible LDL-cholestérol &lt; 0,55 g/l (et réduction ≥ 50 %) → statine de forte intensité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cibles « &lt; 0,7 g/l » ou « &lt; 1 g/l » après SCA (la cible post-SCA est &lt; 0,55 g/l)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Jn22Q9, Jn22Q29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Ténectéplase — dose selon poids (rappel)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85 Kg → 45 mg ; 65 Kg → 35 mg (cf. fiche Douleur thoracique aiguë)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lastRenderedPageBreak/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Même piège dose/poids que dans la dissection/IDM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M24Q34, Nv24Q34, N25Q29</w:t>
      </w:r>
    </w:p>
    <w:p w:rsidR="00330851" w:rsidRPr="000E15B1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[RANG 20] RGO — REFLUX GASTRO-ŒSOPHAGIEN</w:t>
      </w: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~1.07 Q/examen (15 Q)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Pyrosis isolé sans signe d'alarme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Sujet JEUNE (&lt; 50 ans) sans signe d'alarme → IPP / antiH2 d'épreuve SANS endoscopie préalable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Sujet &gt; 50 ans OU signes d'alarme → ENDOSCOPIE (FOGD) en 1re intention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endoscopie systématique chez le jeune avec pyrosis isolé sans alarme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Attention : si âge ≥ 50 ans → la FOGD devient la bonne réponse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Jn19Q47, Jn20Q4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Œsophagite peptique SÉVÈRE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IPP indispensables (cicatrisation muqueuse) + mesures hygiéno-diététiques et posturales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Traitement d'entretien par IPP si poussées fréquentes/rapprochées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antiH2 « efficaces dans l'œsophagite sévère » (insuffisants → IPP)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alginates/antiacides pour cicatriser la muqueuse (ils ne font que soulager)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M23Q33, M22Q15, M24Q36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Endobrachyœsophage (Barrett)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IPP forte dose + SURVEILLANCE endoscopique ; risque d'ADÉNOCARCINOME œsophagien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traitement chirurgical systématique » de l'EBO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M21Q23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Alginates &amp; antiH2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Alginates : neutralisation locale des H+, pris APRÈS le repas, soulagent les symptômes intermittents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AntiH2 : utiles dans les formes à poussées rapprochées, associables aux alginates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alginates « permettent la cicatrisation des lésions » (rôle purement symptomatique)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M21Q22, M22Q17</w:t>
      </w:r>
    </w:p>
    <w:p w:rsidR="00330851" w:rsidRPr="000E15B1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[RANG 21] SINUSITE &amp; RHINITE</w:t>
      </w: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~1.00 Q/examen (14 Q)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Sinusite maxillaire aiguë — 1re intention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AMOXICILLINE-ACIDE CLAVULANIQUE en 1re intention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moxifloxacine / C1G / sulfamide / macrolide en 1re intention de la sinusite maxillaire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5×+ : M24Q24, Jn24Q30, Nv24Q24, D24Q30, M21Q35, M23Q14, M20Q20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lastRenderedPageBreak/>
        <w:t>Échec ou sinusite frontale → 2e intention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Quinolone de dernière génération (lévofloxacine, moxifloxacine) en cas d'échec de l'amox-clav ou de sinusite frontale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céphalosporine de 1re génération / cycline / aminoside en 2e intention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Jn22Q48, M18Q43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RHINITE allergique — paliers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Intermittente minime → ANTIHISTAMINIQUE en 1re intention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Persistante modérée à sévère → corticothérapie NASALE ± générale, immunothérapie spécifique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cromones seuls en 1re intention dans les formes modérées/sévères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Jn19Q23, M18Q44</w:t>
      </w:r>
    </w:p>
    <w:p w:rsidR="00330851" w:rsidRPr="000E15B1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[RANG 22] IRC &amp; TROUBLES MÉTABOLIQUES</w:t>
      </w: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~0.71 Q/examen (10 Q)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Anémie de l'IRC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Agents stimulant l'érythropoïèse (ASE) dès Hb &lt; 10 g/dl + correction du déficit en fer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Cible Hb modérée (≈ 10–11,5 g/dl), éviter &gt; 13 g/dl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démarrer les ASE quand Hb &gt; 11,5 » / « viser Hb &gt; 13 g/dl »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encourager les transfusions » (risque d'allo-immunisation pré-greffe)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Jn19Q5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Métabolisme phosphocalcique &amp; dyslipidémie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Contrôle du phosphore (&lt; 50 mg/l), chélateurs du phosphore, 1</w:t>
      </w:r>
      <w:r w:rsidRPr="006906F3">
        <w:rPr>
          <w:rFonts w:ascii="JetBrains Mono" w:hAnsi="JetBrains Mono" w:cs="JetBrains Mono"/>
        </w:rPr>
        <w:t>α</w:t>
      </w:r>
      <w:r w:rsidRPr="000E15B1">
        <w:rPr>
          <w:rFonts w:ascii="JetBrains Mono" w:hAnsi="JetBrains Mono" w:cs="JetBrains Mono"/>
          <w:lang w:val="fr-FR"/>
        </w:rPr>
        <w:t>-OH-vitamine D3, PTH cible 3–6× la normale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Dyslipidémie : statine ± ézétimibe, cible LDL-C &lt; 0,70 g/l (70 mg/dl)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éviction des statines » dans l'IRC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restriction calcique stricte comme mesure principale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Jn19Q6, M18Q49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Méthodes d'épuration extra-rénale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Hémodialyse : circulation extracorporelle, membrane (surface d'échange artificielle), abord vasculaire permanent (FAV)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Dialyse péritonéale : diffusion-osmose, accès péritonéal permanent, ascite artificielle, continue ou intermittente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l'EER « corrige les fonctions endocrines » du rein (elle remplace surtout l'épuration)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hémodialyse « tous les jours » (séances périodiques, ~3×/semaine)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Jn19Q7, Jn19Q8, M18Q48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Urgence : HYPERKALIÉMIE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Gluconate de calcium (protection myocardique), sérum bicarbonaté, sérum glucosé + insuline, résines échangeuses de K+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lastRenderedPageBreak/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diurétiques thiazidiques » pour traiter l'hyperkaliémie aiguë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M18Q47</w:t>
      </w:r>
    </w:p>
    <w:p w:rsidR="00330851" w:rsidRPr="000E15B1" w:rsidRDefault="00496BB9">
      <w:pPr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br w:type="page"/>
      </w:r>
    </w:p>
    <w:p w:rsidR="00330851" w:rsidRPr="000E15B1" w:rsidRDefault="00496BB9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4 — TOPICS HORS LEÇONS OFFICIELLES 2026 (COURS ANNULÉ)</w:t>
      </w:r>
    </w:p>
    <w:p w:rsidR="00330851" w:rsidRPr="000E15B1" w:rsidRDefault="00496BB9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991B1B"/>
          <w:sz w:val="26"/>
          <w:szCs w:val="26"/>
          <w:lang w:val="fr-FR"/>
        </w:rPr>
        <w:t>⚠ DISCLAIMER — À LIRE AVANT D'UTILISER CETTE SECTION ⚠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330851" w:rsidRPr="006906F3" w:rsidRDefault="00496BB9">
      <w:pPr>
        <w:spacing w:before="60" w:after="60"/>
        <w:jc w:val="center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330851" w:rsidRPr="006906F3" w:rsidRDefault="00496BB9">
      <w:pPr>
        <w:spacing w:before="80" w:after="120"/>
        <w:jc w:val="center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330851" w:rsidRPr="000E15B1" w:rsidRDefault="00496BB9">
      <w:pPr>
        <w:spacing w:before="12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i/>
          <w:iCs/>
          <w:color w:val="000000"/>
          <w:lang w:val="fr-FR"/>
        </w:rPr>
        <w:t>Ces topics représentaient historiquement ~0.14% des questions des examens passés. S'ils ne sont PAS au programme cette année, ils peuvent malgré tout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Apparaître en question résiduelle ou rattrapage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Être recyclés à la dernière minute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Servir de "culture générale" médicale</w:t>
      </w:r>
    </w:p>
    <w:p w:rsidR="00330851" w:rsidRPr="000E15B1" w:rsidRDefault="00496BB9">
      <w:pPr>
        <w:spacing w:before="20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000000"/>
          <w:lang w:val="fr-FR"/>
        </w:rPr>
        <w:t>Topics hors programme 2026 (par fréquence décroissante)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600"/>
        <w:gridCol w:w="2260"/>
      </w:tblGrid>
      <w:tr w:rsidR="00330851" w:rsidRPr="006906F3"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Topic (hors programme)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330851" w:rsidRPr="006906F3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0E15B1" w:rsidRDefault="00496BB9">
            <w:pPr>
              <w:rPr>
                <w:rFonts w:ascii="JetBrains Mono" w:hAnsi="JetBrains Mono" w:cs="JetBrains Mono"/>
                <w:lang w:val="fr-FR"/>
              </w:rPr>
            </w:pPr>
            <w:r w:rsidRPr="000E15B1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Question transversale / hors-thème (AVC ischémique)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jc w:val="center"/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0.07</w:t>
            </w:r>
          </w:p>
        </w:tc>
      </w:tr>
    </w:tbl>
    <w:p w:rsidR="00330851" w:rsidRPr="000E15B1" w:rsidRDefault="00496BB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[HORS 1] QUESTION INCLASSIFIABLE — AVC ISCHÉMIQUE AVEC TRANSFORMATION HÉMORRAGIQUE</w:t>
      </w: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1 question — item transversal, hors chapitre thérapeutique dédié</w:t>
      </w:r>
    </w:p>
    <w:p w:rsidR="00330851" w:rsidRPr="000E15B1" w:rsidRDefault="00496BB9">
      <w:pPr>
        <w:spacing w:before="1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AVC ischémique sylvien total avec infarcissement hémorragique (Glasgow 9) :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Présence d'une transformation HÉMORRAGIQUE → thrombolyse et anticoagulants CONTRE-INDIQUÉS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Prise en charge : oxygénothérapie + rééducation motrice (mesures de soutien), unité neuro-vasculaire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thrombolyse » (CI absolue en présence d'hémorragie)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FAUX : « anticoagulants » (aggravent le saignement)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Ne pas baisser brutalement la TA en phase aiguë d'AVC ischémique</w:t>
      </w:r>
    </w:p>
    <w:p w:rsidR="00330851" w:rsidRPr="000E15B1" w:rsidRDefault="00496BB9">
      <w:pPr>
        <w:spacing w:before="20" w:after="60"/>
        <w:rPr>
          <w:rFonts w:ascii="JetBrains Mono" w:hAnsi="JetBrains Mono" w:cs="JetBrains Mono"/>
          <w:lang w:val="fr-FR"/>
        </w:rPr>
      </w:pPr>
      <w:r w:rsidRPr="006906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E15B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M18Q15 (question isolée, non rattachée à un chapitre du module)</w:t>
      </w:r>
    </w:p>
    <w:p w:rsidR="00330851" w:rsidRPr="000E15B1" w:rsidRDefault="00496BB9">
      <w:pPr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br w:type="page"/>
      </w:r>
    </w:p>
    <w:p w:rsidR="00330851" w:rsidRPr="000E15B1" w:rsidRDefault="00496BB9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AIDE-MÉMOIRE FINAL — HIGH-YIELD CONCOURS THÉRAPEUTIQUE</w:t>
      </w:r>
    </w:p>
    <w:p w:rsidR="00330851" w:rsidRPr="000E15B1" w:rsidRDefault="00496BB9">
      <w:pPr>
        <w:pStyle w:val="Heading2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** PROTOCOLES &amp; SCHÉMAS POSOLOGIQUES À RETENIR PAR CŒUR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0851" w:rsidRPr="006906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Tuberculose commune / pleurale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2RHZE / 4RH (6 mois)</w:t>
            </w:r>
          </w:p>
        </w:tc>
      </w:tr>
      <w:tr w:rsidR="00330851" w:rsidRPr="006906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Tuberculose ostéo-articulaire / neuroméningée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2RHZE / 7RH (9 mois)</w:t>
            </w:r>
          </w:p>
        </w:tc>
      </w:tr>
      <w:tr w:rsidR="00330851" w:rsidRPr="006906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Posologies antibacillaires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 10 — H 5 — Z 25-30 — E 15-20 (mg/Kg/j)</w:t>
            </w:r>
          </w:p>
        </w:tc>
      </w:tr>
      <w:tr w:rsidR="00330851" w:rsidRPr="000E15B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0E15B1" w:rsidRDefault="00496BB9">
            <w:pPr>
              <w:rPr>
                <w:rFonts w:ascii="JetBrains Mono" w:hAnsi="JetBrains Mono" w:cs="JetBrains Mono"/>
                <w:lang w:val="fr-FR"/>
              </w:rPr>
            </w:pPr>
            <w:r w:rsidRPr="000E15B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  <w:lang w:val="fr-FR"/>
              </w:rPr>
              <w:t>L-Thyroxine post-op (sujet jeune)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0E15B1" w:rsidRDefault="00496BB9">
            <w:pPr>
              <w:rPr>
                <w:rFonts w:ascii="JetBrains Mono" w:hAnsi="JetBrains Mono" w:cs="JetBrains Mono"/>
                <w:lang w:val="fr-FR"/>
              </w:rPr>
            </w:pPr>
            <w:r w:rsidRPr="000E15B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  <w:lang w:val="fr-FR"/>
              </w:rPr>
              <w:t>1,5 à 2 µg/Kg/j, le matin à jeun</w:t>
            </w:r>
          </w:p>
        </w:tc>
      </w:tr>
      <w:tr w:rsidR="00330851" w:rsidRPr="000E15B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Carbimazole — attaque Basedow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0E15B1" w:rsidRDefault="00496BB9">
            <w:pPr>
              <w:rPr>
                <w:rFonts w:ascii="JetBrains Mono" w:hAnsi="JetBrains Mono" w:cs="JetBrains Mono"/>
                <w:lang w:val="fr-FR"/>
              </w:rPr>
            </w:pPr>
            <w:r w:rsidRPr="000E15B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  <w:lang w:val="fr-FR"/>
              </w:rPr>
              <w:t>20 à 40 mg/j (PAS mg/Kg/j)</w:t>
            </w:r>
          </w:p>
        </w:tc>
      </w:tr>
      <w:tr w:rsidR="00330851" w:rsidRPr="006906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Pneumonie jeune sain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Amoxicilline 3 g/j</w:t>
            </w:r>
          </w:p>
        </w:tc>
      </w:tr>
      <w:tr w:rsidR="00330851" w:rsidRPr="006906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Pneumonie comorbidités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Amoxicilline-acide clavulanique</w:t>
            </w:r>
          </w:p>
        </w:tc>
      </w:tr>
      <w:tr w:rsidR="00330851" w:rsidRPr="006906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Ténectéplase (Métalyse®)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65Kg→35mg · 75Kg→40mg · 85Kg→45mg</w:t>
            </w:r>
          </w:p>
        </w:tc>
      </w:tr>
      <w:tr w:rsidR="00330851" w:rsidRPr="006906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Clopidogrel — charge (thrombolyse SCA ST+)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300 mg PER OS</w:t>
            </w:r>
          </w:p>
        </w:tc>
      </w:tr>
      <w:tr w:rsidR="00330851" w:rsidRPr="000E15B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Rivaroxaban — EP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0E15B1" w:rsidRDefault="00496BB9">
            <w:pPr>
              <w:rPr>
                <w:rFonts w:ascii="JetBrains Mono" w:hAnsi="JetBrains Mono" w:cs="JetBrains Mono"/>
                <w:lang w:val="fr-FR"/>
              </w:rPr>
            </w:pPr>
            <w:r w:rsidRPr="000E15B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  <w:lang w:val="fr-FR"/>
              </w:rPr>
              <w:t>15 mg ×2/j × 21 j puis 20 mg/j</w:t>
            </w:r>
          </w:p>
        </w:tc>
      </w:tr>
      <w:tr w:rsidR="00330851" w:rsidRPr="006906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Spironolactone — HTA résistante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mg (4e ligne)</w:t>
            </w:r>
          </w:p>
        </w:tc>
      </w:tr>
    </w:tbl>
    <w:p w:rsidR="00330851" w:rsidRPr="000E15B1" w:rsidRDefault="00496BB9">
      <w:pPr>
        <w:pStyle w:val="Heading2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** MOLÉCULE DE 1re INTENTION PAR INDICATION (réflexe ATB/traitement)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330851" w:rsidRPr="006906F3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Angine streptococcique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AMOXICILLINE (allergie → macrolide)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OMA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AMOXICILLINE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Sinusite maxillaire aiguë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AMOXICILLINE-ACIDE CLAVULANIQUE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Sinusite frontale / échec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Fluoroquinolone de dernière génération</w:t>
            </w:r>
          </w:p>
        </w:tc>
      </w:tr>
      <w:tr w:rsidR="00330851" w:rsidRPr="000E15B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Migraine — crise spécifique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0E15B1" w:rsidRDefault="00496BB9">
            <w:pPr>
              <w:rPr>
                <w:rFonts w:ascii="JetBrains Mono" w:hAnsi="JetBrains Mono" w:cs="JetBrains Mono"/>
                <w:lang w:val="fr-FR"/>
              </w:rPr>
            </w:pPr>
            <w:r w:rsidRPr="000E15B1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TRIPTANS (dès le début de la crise)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Migraine fond — hypertendu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PROPRANOLOL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Migraine fond — déprimé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AMITRIPTYLINE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Absence / myoclonie juvénile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VALPROATE de sodium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Épilepsie focale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CARBAMAZÉPINE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Épilepsie + grossesse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LAMOTRIGINE / LÉVÉTIRACÉTAM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0E15B1" w:rsidRDefault="00496BB9">
            <w:pPr>
              <w:rPr>
                <w:rFonts w:ascii="JetBrains Mono" w:hAnsi="JetBrains Mono" w:cs="JetBrains Mono"/>
                <w:lang w:val="fr-FR"/>
              </w:rPr>
            </w:pPr>
            <w:r w:rsidRPr="000E15B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  <w:lang w:val="fr-FR"/>
              </w:rPr>
              <w:t>Corticothérapie orale au long cours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PREDNISONE (le matin)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H. pylori — 1re intention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QUADRITHÉRAPIE (bismuthée ou concomitante)</w:t>
            </w:r>
          </w:p>
        </w:tc>
      </w:tr>
      <w:tr w:rsidR="00330851" w:rsidRPr="006906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SCA ST+ (angioplastie indisponible)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851" w:rsidRPr="006906F3" w:rsidRDefault="00496BB9">
            <w:pPr>
              <w:rPr>
                <w:rFonts w:ascii="JetBrains Mono" w:hAnsi="JetBrains Mono" w:cs="JetBrains Mono"/>
              </w:rPr>
            </w:pPr>
            <w:r w:rsidRPr="006906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THROMBOLYSE jusqu'à H12</w:t>
            </w:r>
          </w:p>
        </w:tc>
      </w:tr>
    </w:tbl>
    <w:p w:rsidR="00330851" w:rsidRPr="000E15B1" w:rsidRDefault="00496BB9">
      <w:pPr>
        <w:pStyle w:val="Heading2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** PIÈGES CLASSIQUES DU CONCOURS (à ne plus jamais rater) **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lastRenderedPageBreak/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Unités L-Thyroxine : µg/Kg/j et NON mg/Kg/j ni µg/j.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Iode 131 (et non 132) pour l'irathérapie ; Technétium ≠ thérapeutique.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ATS = mercapto-imidazolés (Carbimazole/Méthimazole) ; PTU/BTU = thio-uracile.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ES des ATS : rash = le plus FRÉQUENT, agranulocytose = le plus REDOUTÉ.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Metformine corrige l'insulinorésistance, ne stimule PAS l'insulinosécrétion.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iSGLT2 ≠ insulinosécréteurs (action rénale, glucosurie).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Corticoïdes → HYPOkaliémie (pas hyper) ; jamais d'hypercalcémie.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BCG : protège des formes graves, jamais 100 %, pas de contrôle IDR, pas de rappel.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Rotavirus : voie ORALE, fenêtre précoce, n'élimine pas la maladie.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Rifampicine = INDUCTEUR enzymatique → diminue AVK/corticoïdes/œstroprogestatifs.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Thrombolyse : OUI au SCA ST+ et à l'EP avec choc ; JAMAIS dans la dissection aortique.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Dissection type A = médico-CHIRURGICAL ; pas d'anticoagulation.</w:t>
      </w:r>
    </w:p>
    <w:p w:rsidR="00330851" w:rsidRPr="006906F3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6906F3">
        <w:rPr>
          <w:rFonts w:ascii="JetBrains Mono" w:hAnsi="JetBrains Mono" w:cs="JetBrains Mono"/>
          <w:i/>
          <w:iCs/>
          <w:color w:val="B45309"/>
        </w:rPr>
        <w:t>LDL post-SCA : cible &lt; 0,55 g/l.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AINS : âge JEUNE n'est PAS un FdR digestif ; ATCD AVC + antiagrégant → AINS CI.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Bronchite aiguë simple : PAS d'antibiotique (sauf fièvre &gt; 38,5 °C ou OMA associée).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Pyrosis du jeune sans alarme : IPP d'épreuve, pas d'endoscopie d'emblée (≥ 50 ans → FOGD).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H. pylori : résistance à l'amoxicilline = exceptionnelle ; échec = résistance clarithromycine.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0E15B1">
        <w:rPr>
          <w:rFonts w:ascii="JetBrains Mono" w:hAnsi="JetBrains Mono" w:cs="JetBrains Mono"/>
          <w:i/>
          <w:iCs/>
          <w:color w:val="B45309"/>
          <w:lang w:val="fr-FR"/>
        </w:rPr>
        <w:t>IPP : se prennent AVANT le repas.</w:t>
      </w:r>
    </w:p>
    <w:p w:rsidR="00330851" w:rsidRPr="006906F3" w:rsidRDefault="00496BB9">
      <w:pPr>
        <w:pStyle w:val="Heading2"/>
        <w:rPr>
          <w:rFonts w:ascii="JetBrains Mono" w:hAnsi="JetBrains Mono" w:cs="JetBrains Mono"/>
        </w:rPr>
      </w:pPr>
      <w:r w:rsidRPr="006906F3">
        <w:rPr>
          <w:rFonts w:ascii="JetBrains Mono" w:hAnsi="JetBrains Mono" w:cs="JetBrains Mono"/>
        </w:rPr>
        <w:t>** ARBRES DÉCISIONNELS &amp; ENCHAÎNEMENTS THÉRAPEUTIQUES **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Asthme : ≤2/mois → CSI-formotérol à la demande → CSI faible dose fond → CSI+LABA fond → CSI forte dose+LABA → corticothérapie orale.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Hyperthyroïdie : ATS (euthyroïdie) → traitement radical (I131 OU thyroïdectomie totale).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DT2 : règles hygiéno-diététiques + metformine → bithérapie orale → insuline basale (après échec oral).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Échec ATB : analyser BACTÉRIE → TRAITEMENT → FOYER → MALADE (vrai échec) vs FAUX échec (autre fièvre).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RGO → œsophagite → endobrachyœsophage (Barrett) → adénocarcinome œsophagien (surveillance endoscopique).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OMA sous amoxicilline, échec 72 h → vérifier observance → paracentèse.</w:t>
      </w:r>
    </w:p>
    <w:p w:rsidR="00330851" w:rsidRPr="000E15B1" w:rsidRDefault="00496BB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lang w:val="fr-FR"/>
        </w:rPr>
        <w:t>HTA : MHD + bithérapie (IEC/ARAII + IC ou diurétique) → trithérapie → + spironolactone 25 mg (résistante).</w:t>
      </w:r>
    </w:p>
    <w:p w:rsidR="00330851" w:rsidRPr="000E15B1" w:rsidRDefault="00496BB9">
      <w:pPr>
        <w:spacing w:before="24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color w:val="000000"/>
          <w:lang w:val="fr-FR"/>
        </w:rPr>
        <w:t xml:space="preserve"> </w:t>
      </w:r>
    </w:p>
    <w:p w:rsidR="00330851" w:rsidRPr="000E15B1" w:rsidRDefault="00330851">
      <w:pPr>
        <w:pBdr>
          <w:top w:val="double" w:sz="8" w:space="4" w:color="1F3A5F"/>
        </w:pBdr>
        <w:rPr>
          <w:rFonts w:ascii="JetBrains Mono" w:hAnsi="JetBrains Mono" w:cs="JetBrains Mono"/>
          <w:lang w:val="fr-FR"/>
        </w:rPr>
      </w:pP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i/>
          <w:iCs/>
          <w:color w:val="000000"/>
          <w:sz w:val="18"/>
          <w:szCs w:val="18"/>
          <w:lang w:val="fr-FR"/>
        </w:rPr>
        <w:t>Généré par Claude.ai (claude-opus-4-8) — Version 1</w:t>
      </w: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i/>
          <w:iCs/>
          <w:color w:val="000000"/>
          <w:sz w:val="18"/>
          <w:szCs w:val="18"/>
          <w:lang w:val="fr-FR"/>
        </w:rPr>
        <w:lastRenderedPageBreak/>
        <w:t>Cross-match 700 QEs officielles × Synthèse Thérapeutique AIO (1197 pages)</w:t>
      </w:r>
    </w:p>
    <w:p w:rsidR="00330851" w:rsidRPr="000E15B1" w:rsidRDefault="00496BB9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  <w:lang w:val="fr-FR"/>
        </w:rPr>
        <w:t>14 sessions d'examen (Mai 2018 → Normal 2025) — corrections officielles</w:t>
      </w:r>
    </w:p>
    <w:p w:rsidR="00330851" w:rsidRPr="000E15B1" w:rsidRDefault="00496BB9">
      <w:pPr>
        <w:spacing w:before="20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b/>
          <w:bCs/>
          <w:color w:val="065F46"/>
          <w:lang w:val="fr-FR"/>
        </w:rPr>
        <w:t>Améliorations Version 1 :</w:t>
      </w:r>
    </w:p>
    <w:p w:rsidR="00330851" w:rsidRPr="000E15B1" w:rsidRDefault="00496BB9">
      <w:pPr>
        <w:spacing w:before="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color w:val="065F46"/>
          <w:sz w:val="18"/>
          <w:szCs w:val="18"/>
          <w:lang w:val="fr-FR"/>
        </w:rPr>
        <w:t>✓ PARTIE 3 strictement par rang de fréquence (1 → 22)</w:t>
      </w:r>
    </w:p>
    <w:p w:rsidR="00330851" w:rsidRPr="000E15B1" w:rsidRDefault="00496BB9">
      <w:pPr>
        <w:spacing w:before="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color w:val="065F46"/>
          <w:sz w:val="18"/>
          <w:szCs w:val="18"/>
          <w:lang w:val="fr-FR"/>
        </w:rPr>
        <w:t>✓ Déduplication : 700 questions → patterns uniques fusionnés</w:t>
      </w:r>
    </w:p>
    <w:p w:rsidR="00330851" w:rsidRPr="000E15B1" w:rsidRDefault="00496BB9">
      <w:pPr>
        <w:spacing w:before="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color w:val="065F46"/>
          <w:sz w:val="18"/>
          <w:szCs w:val="18"/>
          <w:lang w:val="fr-FR"/>
        </w:rPr>
        <w:t>✓ FAUX (pièges) explicites avec ⚠ — le contenu à plus forte valeur</w:t>
      </w:r>
    </w:p>
    <w:p w:rsidR="00330851" w:rsidRPr="000E15B1" w:rsidRDefault="00496BB9">
      <w:pPr>
        <w:spacing w:before="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color w:val="065F46"/>
          <w:sz w:val="18"/>
          <w:szCs w:val="18"/>
          <w:lang w:val="fr-FR"/>
        </w:rPr>
        <w:t>✓ Corrections officielles consolidées sur 14 sessions (2018→2025)</w:t>
      </w:r>
    </w:p>
    <w:p w:rsidR="00330851" w:rsidRPr="000E15B1" w:rsidRDefault="00496BB9">
      <w:pPr>
        <w:spacing w:before="60" w:after="60"/>
        <w:rPr>
          <w:rFonts w:ascii="JetBrains Mono" w:hAnsi="JetBrains Mono" w:cs="JetBrains Mono"/>
          <w:lang w:val="fr-FR"/>
        </w:rPr>
      </w:pPr>
      <w:r w:rsidRPr="000E15B1">
        <w:rPr>
          <w:rFonts w:ascii="JetBrains Mono" w:hAnsi="JetBrains Mono" w:cs="JetBrains Mono"/>
          <w:color w:val="065F46"/>
          <w:sz w:val="18"/>
          <w:szCs w:val="18"/>
          <w:lang w:val="fr-FR"/>
        </w:rPr>
        <w:t>✓ Aide-mémoire pharmaco : protocoles, molécules de 1re intention, pièges, arbres</w:t>
      </w:r>
    </w:p>
    <w:sectPr w:rsidR="00330851" w:rsidRPr="000E15B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8D73F3"/>
    <w:multiLevelType w:val="hybridMultilevel"/>
    <w:tmpl w:val="F80EEF54"/>
    <w:lvl w:ilvl="0" w:tplc="164CD12A">
      <w:start w:val="1"/>
      <w:numFmt w:val="bullet"/>
      <w:lvlText w:val="●"/>
      <w:lvlJc w:val="left"/>
      <w:pPr>
        <w:ind w:left="720" w:hanging="360"/>
      </w:pPr>
    </w:lvl>
    <w:lvl w:ilvl="1" w:tplc="CC64C3A4">
      <w:start w:val="1"/>
      <w:numFmt w:val="bullet"/>
      <w:lvlText w:val="○"/>
      <w:lvlJc w:val="left"/>
      <w:pPr>
        <w:ind w:left="1440" w:hanging="360"/>
      </w:pPr>
    </w:lvl>
    <w:lvl w:ilvl="2" w:tplc="15665072">
      <w:start w:val="1"/>
      <w:numFmt w:val="bullet"/>
      <w:lvlText w:val="■"/>
      <w:lvlJc w:val="left"/>
      <w:pPr>
        <w:ind w:left="2160" w:hanging="360"/>
      </w:pPr>
    </w:lvl>
    <w:lvl w:ilvl="3" w:tplc="844A7FC6">
      <w:start w:val="1"/>
      <w:numFmt w:val="bullet"/>
      <w:lvlText w:val="●"/>
      <w:lvlJc w:val="left"/>
      <w:pPr>
        <w:ind w:left="2880" w:hanging="360"/>
      </w:pPr>
    </w:lvl>
    <w:lvl w:ilvl="4" w:tplc="6D0A8456">
      <w:start w:val="1"/>
      <w:numFmt w:val="bullet"/>
      <w:lvlText w:val="○"/>
      <w:lvlJc w:val="left"/>
      <w:pPr>
        <w:ind w:left="3600" w:hanging="360"/>
      </w:pPr>
    </w:lvl>
    <w:lvl w:ilvl="5" w:tplc="62386648">
      <w:start w:val="1"/>
      <w:numFmt w:val="bullet"/>
      <w:lvlText w:val="■"/>
      <w:lvlJc w:val="left"/>
      <w:pPr>
        <w:ind w:left="4320" w:hanging="360"/>
      </w:pPr>
    </w:lvl>
    <w:lvl w:ilvl="6" w:tplc="5394BEFA">
      <w:start w:val="1"/>
      <w:numFmt w:val="bullet"/>
      <w:lvlText w:val="●"/>
      <w:lvlJc w:val="left"/>
      <w:pPr>
        <w:ind w:left="5040" w:hanging="360"/>
      </w:pPr>
    </w:lvl>
    <w:lvl w:ilvl="7" w:tplc="042C86D8">
      <w:start w:val="1"/>
      <w:numFmt w:val="bullet"/>
      <w:lvlText w:val="●"/>
      <w:lvlJc w:val="left"/>
      <w:pPr>
        <w:ind w:left="5760" w:hanging="360"/>
      </w:pPr>
    </w:lvl>
    <w:lvl w:ilvl="8" w:tplc="82FEC7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FB40FF"/>
    <w:multiLevelType w:val="hybridMultilevel"/>
    <w:tmpl w:val="70306E20"/>
    <w:lvl w:ilvl="0" w:tplc="522E0AF0">
      <w:start w:val="1"/>
      <w:numFmt w:val="bullet"/>
      <w:lvlText w:val="•"/>
      <w:lvlJc w:val="left"/>
      <w:pPr>
        <w:ind w:left="720" w:hanging="360"/>
      </w:pPr>
    </w:lvl>
    <w:lvl w:ilvl="1" w:tplc="F06059B0">
      <w:numFmt w:val="decimal"/>
      <w:lvlText w:val=""/>
      <w:lvlJc w:val="left"/>
    </w:lvl>
    <w:lvl w:ilvl="2" w:tplc="25E8829E">
      <w:numFmt w:val="decimal"/>
      <w:lvlText w:val=""/>
      <w:lvlJc w:val="left"/>
    </w:lvl>
    <w:lvl w:ilvl="3" w:tplc="7ABE29CE">
      <w:numFmt w:val="decimal"/>
      <w:lvlText w:val=""/>
      <w:lvlJc w:val="left"/>
    </w:lvl>
    <w:lvl w:ilvl="4" w:tplc="08CAA83A">
      <w:numFmt w:val="decimal"/>
      <w:lvlText w:val=""/>
      <w:lvlJc w:val="left"/>
    </w:lvl>
    <w:lvl w:ilvl="5" w:tplc="3800B992">
      <w:numFmt w:val="decimal"/>
      <w:lvlText w:val=""/>
      <w:lvlJc w:val="left"/>
    </w:lvl>
    <w:lvl w:ilvl="6" w:tplc="CB38DB2E">
      <w:numFmt w:val="decimal"/>
      <w:lvlText w:val=""/>
      <w:lvlJc w:val="left"/>
    </w:lvl>
    <w:lvl w:ilvl="7" w:tplc="0262E238">
      <w:numFmt w:val="decimal"/>
      <w:lvlText w:val=""/>
      <w:lvlJc w:val="left"/>
    </w:lvl>
    <w:lvl w:ilvl="8" w:tplc="3B4C65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851"/>
    <w:rsid w:val="000E15B1"/>
    <w:rsid w:val="00330851"/>
    <w:rsid w:val="00496BB9"/>
    <w:rsid w:val="0069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674E"/>
  <w15:docId w15:val="{3745E3E9-27C6-4B8F-93B7-504FF3D2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6632</Words>
  <Characters>37806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THÉRAPEUTIQUE - QE Haute Fréquence</vt:lpstr>
    </vt:vector>
  </TitlesOfParts>
  <Company/>
  <LinksUpToDate>false</LinksUpToDate>
  <CharactersWithSpaces>44350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THÉRAPEUTIQUE - QE Haute Fréquence</dc:title>
  <dc:creator>Claude.ai</dc:creator>
  <dc:description>Generated by qe-analysis skill</dc:description>
  <cp:lastModifiedBy>tool</cp:lastModifiedBy>
  <cp:revision>5</cp:revision>
  <cp:lastPrinted>2026-06-13T23:02:00Z</cp:lastPrinted>
  <dcterms:created xsi:type="dcterms:W3CDTF">2026-06-04T18:29:00Z</dcterms:created>
  <dcterms:modified xsi:type="dcterms:W3CDTF">2026-07-06T19:13:00Z</dcterms:modified>
</cp:coreProperties>
</file>