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0851" w:rsidRPr="00496BB9" w:rsidRDefault="00496BB9">
      <w:pPr>
        <w:spacing w:after="100"/>
        <w:jc w:val="center"/>
        <w:rPr>
          <w:rFonts w:ascii="LMRoman10" w:hAnsi="LMRoman10"/>
        </w:rPr>
      </w:pPr>
      <w:bookmarkStart w:id="0" w:name="_GoBack"/>
      <w:r w:rsidRPr="00496BB9">
        <w:rPr>
          <w:rFonts w:ascii="LMRoman10" w:hAnsi="LMRoman10"/>
          <w:b/>
          <w:bCs/>
          <w:color w:val="1F3A5F"/>
          <w:sz w:val="44"/>
          <w:szCs w:val="44"/>
        </w:rPr>
        <w:t>THÉRAPEUTIQUE</w:t>
      </w:r>
    </w:p>
    <w:p w:rsidR="00330851" w:rsidRPr="00496BB9" w:rsidRDefault="00496BB9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30"/>
          <w:szCs w:val="30"/>
        </w:rPr>
        <w:t>Fiches QE Haute Fréquence — Synthèse par leçon — Version 1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i/>
          <w:iCs/>
          <w:color w:val="000000"/>
        </w:rPr>
        <w:t>Cross-match : 700 QEs officielles (2018 → 2025) × Synthèse Thérapeutique AIO (1197 pages)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000000"/>
          <w:sz w:val="18"/>
          <w:szCs w:val="18"/>
        </w:rPr>
        <w:t>14 sessions d'examen (Mai 2018 → Normal 2025) — corrections officielles</w:t>
      </w:r>
    </w:p>
    <w:p w:rsidR="00330851" w:rsidRPr="00496BB9" w:rsidRDefault="00496BB9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330851" w:rsidRPr="00496BB9" w:rsidRDefault="00496BB9">
      <w:pPr>
        <w:spacing w:before="60" w:after="60"/>
        <w:rPr>
          <w:rFonts w:ascii="LMRoman10" w:hAnsi="LMRoman10"/>
        </w:rPr>
      </w:pPr>
      <w:r w:rsidRPr="00496BB9">
        <w:rPr>
          <w:rFonts w:ascii="LMRoman10" w:hAnsi="LMRoman10"/>
          <w:i/>
          <w:iCs/>
          <w:color w:val="000000"/>
        </w:rPr>
        <w:t>Classement basé sur la fréquence réelle dans 700 QEs (14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800"/>
        <w:gridCol w:w="1400"/>
        <w:gridCol w:w="2360"/>
      </w:tblGrid>
      <w:tr w:rsidR="00330851" w:rsidRPr="00496BB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Vaccination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Pathologie thyroïdienne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Migraine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IRABC — Infections respiratoires basses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Transplantation rénale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Diabète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Corticothérapie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Épilepsie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HTA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Antibacillaires — Tuberculose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Dermatologie — Dermocorticoïdes &amp; Antiseptiques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Asthme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AINS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Antibiothérapie — Principes &amp; Échecs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UGD &amp; Helicobacter pylori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OMA — Otite moyenne aiguë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Douleur thoracique aiguë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Angine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SCA — Syndrome coronarien aigu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RGO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Sinusite &amp; Rhinite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IRC &amp; troubles métaboliques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</w:tbl>
    <w:p w:rsidR="00330851" w:rsidRPr="00496BB9" w:rsidRDefault="00496BB9">
      <w:pPr>
        <w:rPr>
          <w:rFonts w:ascii="LMRoman10" w:hAnsi="LMRoman10"/>
        </w:rPr>
      </w:pPr>
      <w:r w:rsidRPr="00496BB9">
        <w:rPr>
          <w:rFonts w:ascii="LMRoman10" w:hAnsi="LMRoman10"/>
        </w:rPr>
        <w:br w:type="page"/>
      </w:r>
    </w:p>
    <w:p w:rsidR="00330851" w:rsidRPr="00496BB9" w:rsidRDefault="00496BB9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330851" w:rsidRPr="00496BB9" w:rsidRDefault="00496BB9">
      <w:pPr>
        <w:spacing w:before="60" w:after="60"/>
        <w:rPr>
          <w:rFonts w:ascii="LMRoman10" w:hAnsi="LMRoman10"/>
        </w:rPr>
      </w:pPr>
      <w:r w:rsidRPr="00496BB9">
        <w:rPr>
          <w:rFonts w:ascii="LMRoman10" w:hAnsi="LMRoman10"/>
          <w:i/>
          <w:iCs/>
          <w:color w:val="000000"/>
        </w:rPr>
        <w:t>Statistiques calculées sur 14 sessions, chaque examen ~50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400"/>
        <w:gridCol w:w="1700"/>
        <w:gridCol w:w="1860"/>
      </w:tblGrid>
      <w:tr w:rsidR="00330851" w:rsidRPr="00496BB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Vaccination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56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8.0%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Pathologie thyroïdienne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53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7.6%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Migraine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48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3.43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6.9%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IRABC — Infections respiratoires basses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48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3.43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6.9%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Transplantation rénale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46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3.29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6.6%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Diabète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44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6.3%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Corticothérapie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43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6.1%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Épilepsie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38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2.71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5.4%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HTA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2.36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4.7%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Antibacillaires — Tuberculose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2.36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4.7%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Dermatologie — Dermocorticoïdes &amp; Antiseptiques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4.4%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Asthme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4.4%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AINS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4.1%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Antibiothérapie — Principes &amp; Échecs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4.0%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UGD &amp; Helicobacter pylori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3.7%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OMA — Otite moyenne aiguë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3.6%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Douleur thoracique aiguë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2.4%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Angine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SCA — Syndrome coronarien aigu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RGO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Sinusite &amp; Rhinite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2.0%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IRC &amp; troubles métaboliques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1.4%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des leçons (22 chapitres)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699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49.9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99.9%</w:t>
            </w:r>
          </w:p>
        </w:tc>
      </w:tr>
    </w:tbl>
    <w:p w:rsidR="00330851" w:rsidRPr="00496BB9" w:rsidRDefault="00496BB9">
      <w:pPr>
        <w:rPr>
          <w:rFonts w:ascii="LMRoman10" w:hAnsi="LMRoman10"/>
        </w:rPr>
      </w:pPr>
      <w:r w:rsidRPr="00496BB9">
        <w:rPr>
          <w:rFonts w:ascii="LMRoman10" w:hAnsi="LMRoman10"/>
        </w:rPr>
        <w:br w:type="page"/>
      </w:r>
    </w:p>
    <w:p w:rsidR="00330851" w:rsidRPr="00496BB9" w:rsidRDefault="00496BB9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i/>
          <w:iCs/>
          <w:color w:val="000000"/>
        </w:rPr>
        <w:t>Format : faits (-) / pièges (</w:t>
      </w:r>
      <w:r w:rsidRPr="00496BB9">
        <w:rPr>
          <w:rFonts w:ascii="Segoe UI Symbol" w:hAnsi="Segoe UI Symbol" w:cs="Segoe UI Symbol"/>
          <w:i/>
          <w:iCs/>
          <w:color w:val="000000"/>
        </w:rPr>
        <w:t>⚠</w:t>
      </w:r>
      <w:r w:rsidRPr="00496BB9">
        <w:rPr>
          <w:rFonts w:ascii="LMRoman10" w:hAnsi="LMRoman10"/>
          <w:i/>
          <w:iCs/>
          <w:color w:val="000000"/>
        </w:rPr>
        <w:t>) / source (</w:t>
      </w:r>
      <w:r w:rsidRPr="00496BB9">
        <w:rPr>
          <w:rFonts w:ascii="Segoe UI Symbol" w:hAnsi="Segoe UI Symbol" w:cs="Segoe UI Symbol"/>
          <w:i/>
          <w:iCs/>
          <w:color w:val="000000"/>
        </w:rPr>
        <w:t>📖</w:t>
      </w:r>
      <w:r w:rsidRPr="00496BB9">
        <w:rPr>
          <w:rFonts w:ascii="LMRoman10" w:hAnsi="LMRoman10"/>
          <w:i/>
          <w:iCs/>
          <w:color w:val="000000"/>
        </w:rPr>
        <w:t>) / lien cours (</w:t>
      </w:r>
      <w:r w:rsidRPr="00496BB9">
        <w:rPr>
          <w:rFonts w:ascii="Segoe UI Symbol" w:hAnsi="Segoe UI Symbol" w:cs="Segoe UI Symbol"/>
          <w:i/>
          <w:iCs/>
          <w:color w:val="000000"/>
        </w:rPr>
        <w:t>📎</w:t>
      </w:r>
      <w:r w:rsidRPr="00496BB9">
        <w:rPr>
          <w:rFonts w:ascii="LMRoman10" w:hAnsi="LMRoman10"/>
          <w:i/>
          <w:iCs/>
          <w:color w:val="000000"/>
        </w:rPr>
        <w:t>) / citations (</w:t>
      </w:r>
      <w:r w:rsidRPr="00496BB9">
        <w:rPr>
          <w:rFonts w:ascii="Segoe UI Symbol" w:hAnsi="Segoe UI Symbol" w:cs="Segoe UI Symbol"/>
          <w:i/>
          <w:iCs/>
          <w:color w:val="000000"/>
        </w:rPr>
        <w:t>📋</w:t>
      </w:r>
      <w:r w:rsidRPr="00496BB9">
        <w:rPr>
          <w:rFonts w:ascii="LMRoman10" w:hAnsi="LMRoman10"/>
          <w:i/>
          <w:iCs/>
          <w:color w:val="000000"/>
        </w:rPr>
        <w:t>)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1] VACCINATION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~4.00 Q/examen (56 Q)</w:t>
      </w:r>
    </w:p>
    <w:p w:rsidR="00330851" w:rsidRPr="00496BB9" w:rsidRDefault="00496BB9">
      <w:pPr>
        <w:spacing w:before="40" w:after="40"/>
        <w:jc w:val="center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</w:rPr>
        <w:t>📖</w:t>
      </w:r>
      <w:r w:rsidRPr="00496BB9">
        <w:rPr>
          <w:rFonts w:ascii="LMRoman10" w:hAnsi="LMRoman10"/>
          <w:i/>
          <w:iCs/>
          <w:color w:val="404040"/>
        </w:rPr>
        <w:t xml:space="preserve"> PNI — Programme National d'Immunisation (Maroc)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BCG — un enfant vacciné par le BCG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Protège SURTOUT contre les formes graves (miliaire, méningite tuberculeuse), PAS à 100 %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Risque d'effets secondaires graves (BCGite généralisée) si IMMUNODÉPRIMÉ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Vaccin VIVANT atténué, voie intradermique, NE nécessite PAS de contrôle par IDR ni de rappel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100 % protégé contre la tuberculose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doit être contrôlé par l'IDR à la tuberculine » / « doit avoir une IDR négative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FAUX : « nécessite </w:t>
      </w:r>
      <w:r w:rsidRPr="00496BB9">
        <w:rPr>
          <w:rFonts w:ascii="LMRoman10" w:hAnsi="LMRoman10"/>
          <w:i/>
          <w:iCs/>
          <w:color w:val="B45309"/>
        </w:rPr>
        <w:t>des rappels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9× : M24Q21, Jn24Q27, Nv24Q21, D24Q27, M23Q30, M22Q8, M20Q9, Jn20Q8, Jn19Q33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Vaccins VIVANTS atténués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BCG + Rougeole (ROR) + Polio ORALE (VPO) = vivants atténués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Contre-indiqués chez l'immunodéprimé et la femme enceinte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Polio</w:t>
      </w:r>
      <w:r w:rsidRPr="00496BB9">
        <w:rPr>
          <w:rFonts w:ascii="LMRoman10" w:hAnsi="LMRoman10"/>
          <w:i/>
          <w:iCs/>
          <w:color w:val="B45309"/>
        </w:rPr>
        <w:t xml:space="preserve"> INJECTABLE (VPI) = INACTIVÉ, pas vivant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Hépatite B = INACTIVÉ (sous-unité), pas vivant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8× : N25Q26, M24Q23, Nv24Q23, M23Q32, Jn23Q50, M20Q11, Jn20Q7, Jn19Q32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Vaccins INACTIVÉS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Polio INJECTABLE (VPI) + Hépatite B = inactivés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Le pneumocoque</w:t>
      </w:r>
      <w:r w:rsidRPr="00496BB9">
        <w:rPr>
          <w:rFonts w:ascii="LMRoman10" w:hAnsi="LMRoman10"/>
        </w:rPr>
        <w:t xml:space="preserve"> conjugué et l'Haemophilus sont également inactivés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classer BCG / rougeole / polio orale parmi les inactivés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2× : Jn24Q29, D24Q29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Vaccin contre le ROTAVIRUS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Évite PLUTÔT les formes graves (déshydratation) — n'élimine PAS la maladie diarrhé</w:t>
      </w:r>
      <w:r w:rsidRPr="00496BB9">
        <w:rPr>
          <w:rFonts w:ascii="LMRoman10" w:hAnsi="LMRoman10"/>
        </w:rPr>
        <w:t>ique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Inclus au PNI, voie ORALE, fenêtre d'âge précoce (</w:t>
      </w:r>
      <w:r w:rsidRPr="00496BB9">
        <w:rPr>
          <w:rFonts w:ascii="Courier New" w:hAnsi="Courier New" w:cs="Courier New"/>
        </w:rPr>
        <w:t>≤</w:t>
      </w:r>
      <w:r w:rsidRPr="00496BB9">
        <w:rPr>
          <w:rFonts w:ascii="LMRoman10" w:hAnsi="LMRoman10"/>
        </w:rPr>
        <w:t xml:space="preserve"> 6 mois, ne se rattrape pas tard)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permet d'éliminer la maladie diarrhéique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peut être donné à tout âge » / « à un enfant de 3 ans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voie injectable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7× : N25Q2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>3, M24Q20, Nv24Q20, M23Q29, M22Q7, M20Q8, Jn19Q30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Vaccins disponibles au PNI marocain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Coqueluche (entier), Rotavirus, Haemophilus, Hépatite B, BCG, Pneumocoque, Polio, ROR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Vaccin contre la ROUGEOLE = vivant atténué, inclus au PNI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Hépatite A — NON inclus au PNI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Varicelle — NON inclus au PNI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Oreillons isolé — donné dans le ROR, pas comme valence isolée du PNI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9×+ : N25Q25, M24Q22, Nv24Q22, M23Q31, M22Q9, Jn22Q30, M21Q1, M20Q10, M18Q38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Rattrapage vaccina</w:t>
      </w: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l (nourrisson ayant interrompu)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On REPREND le calendrier là où il s'est arrêté — on ne recommence PAS à zéro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lastRenderedPageBreak/>
        <w:t>À 9 mois on peut donner DTC-Polio, rougeole (ROR) et hépatite B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reprendre le programme comme s'il n'a rien reçu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redonner le</w:t>
      </w:r>
      <w:r w:rsidRPr="00496BB9">
        <w:rPr>
          <w:rFonts w:ascii="LMRoman10" w:hAnsi="LMRoman10"/>
          <w:i/>
          <w:iCs/>
          <w:color w:val="B45309"/>
        </w:rPr>
        <w:t xml:space="preserve"> rotavirus en rattrapage tardif (fenêtre dépassée)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3× : Jn20Q6, Jn19Q31, M18Q41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Contre-indications du BCG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Granulomatose septique chronique, infection VIH, déficit immunitaire combiné sévère (DICS)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hypotrophie et ictère physiologique NE son</w:t>
      </w:r>
      <w:r w:rsidRPr="00496BB9">
        <w:rPr>
          <w:rFonts w:ascii="LMRoman10" w:hAnsi="LMRoman10"/>
          <w:i/>
          <w:iCs/>
          <w:color w:val="B45309"/>
        </w:rPr>
        <w:t>t PAS des CI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3× : Jn22Q32, M21Q3, M18Q39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Vaccin antipneumococcique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Inclus au PNI, peut être administré à l'immunodéprimé, voie injectable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Ne fait pas disparaître TOUS les cas de méningite à pneumocoque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élimine tous les cas de méningite à</w:t>
      </w:r>
      <w:r w:rsidRPr="00496BB9">
        <w:rPr>
          <w:rFonts w:ascii="LMRoman10" w:hAnsi="LMRoman10"/>
          <w:i/>
          <w:iCs/>
          <w:color w:val="B45309"/>
        </w:rPr>
        <w:t xml:space="preserve"> pneumocoque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vaccin vivant » (il est conjugué/inactivé)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Jn23Q47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2] PATHOLOGIE THYROÏDIENNE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~3.79 Q/examen (53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Carbimazole (Dimazol®) &amp; Méthimazole (Thyrozol®)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Antithyroïdiens de synthèse (ATS) de la famille des MERCAPTO-IMIDAZOLÉS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Indiqués pour la phase d'hyperthyroïdie ; utilisés systématiquement avant tout traitement radical (préparation à l'euthyroïdie)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FAUX : « famille des dérivés du thio-uracile » (c'est </w:t>
      </w:r>
      <w:r w:rsidRPr="00496BB9">
        <w:rPr>
          <w:rFonts w:ascii="LMRoman10" w:hAnsi="LMRoman10"/>
          <w:i/>
          <w:iCs/>
          <w:color w:val="B45309"/>
        </w:rPr>
        <w:t>le PTU/BTU, pas eux)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traitement de l'hypothyroïdie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4×+ : N25Q4, Jn24Q4, D24Q4, Jn23Q7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L-Thyroxine (Lévothyrox®) — dose &amp; prise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Dose usuelle post-op chez sujet jeune sans cardiopathie : 1,5 à 2 </w:t>
      </w:r>
      <w:r w:rsidRPr="00496BB9">
        <w:rPr>
          <w:rFonts w:ascii="Calibri" w:hAnsi="Calibri" w:cs="Calibri"/>
        </w:rPr>
        <w:t>µ</w:t>
      </w:r>
      <w:r w:rsidRPr="00496BB9">
        <w:rPr>
          <w:rFonts w:ascii="LMRoman10" w:hAnsi="LMRoman10"/>
        </w:rPr>
        <w:t>g/Kg/jour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Prise le MATIN, À JEUN, au moin</w:t>
      </w:r>
      <w:r w:rsidRPr="00496BB9">
        <w:rPr>
          <w:rFonts w:ascii="LMRoman10" w:hAnsi="LMRoman10"/>
        </w:rPr>
        <w:t>s 30 min avant le petit-déjeuner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Chez coronarien et sujet âgé : dose atteinte par PALIERS progressifs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FAUX : doses en mg/j ou en mg/Kg/j (piège d'unité — c'est </w:t>
      </w:r>
      <w:r w:rsidRPr="00496BB9">
        <w:rPr>
          <w:rFonts w:ascii="Calibri" w:hAnsi="Calibri" w:cs="Calibri"/>
          <w:i/>
          <w:iCs/>
          <w:color w:val="B45309"/>
        </w:rPr>
        <w:t>µ</w:t>
      </w:r>
      <w:r w:rsidRPr="00496BB9">
        <w:rPr>
          <w:rFonts w:ascii="LMRoman10" w:hAnsi="LMRoman10"/>
          <w:i/>
          <w:iCs/>
          <w:color w:val="B45309"/>
        </w:rPr>
        <w:t>g/Kg/j)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prise le soir » / « indépendante des repas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8×+ : N25Q5, Jn24Q6, M2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>4Q7, Nv24Q7, M23Q18, M22Q18, Jn20Q19, M18Q6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Maladie de Basedow — traitement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ATS, posologie initiale d'attaque du Carbimazole = 20 à 40 mg/j, adaptée à l'intensité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Bêtabloquant (propranolol) souvent associé en attendant l'effet des ATS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Durée du traitement</w:t>
      </w:r>
      <w:r w:rsidRPr="00496BB9">
        <w:rPr>
          <w:rFonts w:ascii="LMRoman10" w:hAnsi="LMRoman10"/>
        </w:rPr>
        <w:t xml:space="preserve"> médical conventionnel : 12 à 18 mois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posologie en mg/Kg/j (c'est mg/j)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durée ne doit pas dépasser 6 mois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radiothérapie EXTERNE » comme traitement radical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N25Q6, Jn24Q7, D24Q7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Traitement RADICAL des hyperthyroïdies </w:t>
      </w: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Irathérapie par l'IODE 131 OU thyroïdectomie totale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L'iode 131 nécessite l'euthyroïdie préalable ; CI en grossesse et orbitopathie sévère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iode 132 » / « Technétium » (piège d'isotope — c'est le 131)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radiothérapie externe » / « chimiothérapie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M24Q8, Nv24Q8, M23Q19, M22Q19, Jn19Q11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Goitre multinodulaire toxique (GMNT)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Traitement radical le plus souvent : THYROÏDECTOMIE TOTALE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Préparation systématique par ATS avant la chirurgie (obtention de l'euthyroïdie)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Suivi post-thyroïdectomie : Lévothyrox® + dosage de la TSHus seule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irathérapie I131 » comme radical de 1er choix du GMNT (c'est la chirurgie)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FAUX : surveillance </w:t>
      </w:r>
      <w:r w:rsidRPr="00496BB9">
        <w:rPr>
          <w:rFonts w:ascii="LMRoman10" w:hAnsi="LMRoman10"/>
          <w:i/>
          <w:iCs/>
          <w:color w:val="B45309"/>
        </w:rPr>
        <w:t>par LT3/LT4 (c'est la TSHus qui guide)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3×+ : Jn24Q5, D24Q5, Jn23Q8 + Jn24Q6/D24Q6/Jn23Q9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Effets secondaires des ATS (mercapto-imidazolés)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Le plus FRÉQUENT : rash urticarien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Le plus REDOUTÉ / grave : AGRANULOCYTOSE (NFS impérative devant toute fièvr</w:t>
      </w:r>
      <w:r w:rsidRPr="00496BB9">
        <w:rPr>
          <w:rFonts w:ascii="LMRoman10" w:hAnsi="LMRoman10"/>
        </w:rPr>
        <w:t>e/angine)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Ne pas confondre « fréquent » (rash) et « redouté » (agranulocytose)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insuffisance rénale aiguë / anémie hémolytique comme effet principal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M24Q9, Nv24Q9, M22Q20, M18Q5, M23Q20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de la thyroïdectomie totale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Paralysi</w:t>
      </w:r>
      <w:r w:rsidRPr="00496BB9">
        <w:rPr>
          <w:rFonts w:ascii="LMRoman10" w:hAnsi="LMRoman10"/>
        </w:rPr>
        <w:t>e récurrentielle (nerf récurrent), HYPOparathyroïdie (hypocalcémie), hématome suffocant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HYPERparathyroïdie » (c'est l'HYPO par exérèse parathyroïdienne)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AVC hémorragique » / « lésion des carotides internes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Jn19Q10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3] M</w:t>
      </w:r>
      <w:r w:rsidRPr="00496BB9">
        <w:rPr>
          <w:rFonts w:ascii="LMRoman10" w:hAnsi="LMRoman10"/>
        </w:rPr>
        <w:t>IGRAINE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~3.43 Q/examen (48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SPÉCIFIQUE de la crise = TRIPTANS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Élétriptan (Relpax®), Rizatriptan, Sumatriptan… = traitement spécifique de la crise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Pris DÈS le début de la céphalée ; vasoconstricteurs ; dose minimale efficace ; combinables aux AINS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CI : cardiopathie ischémique / coronaropathie, HTA non contrôlée, migraine hémiplégique, migraine du tronc cérébral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pris à la FIN de la céphal</w:t>
      </w:r>
      <w:r w:rsidRPr="00496BB9">
        <w:rPr>
          <w:rFonts w:ascii="LMRoman10" w:hAnsi="LMRoman10"/>
          <w:i/>
          <w:iCs/>
          <w:color w:val="B45309"/>
        </w:rPr>
        <w:t>ée » (c'est au début)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M24Q15, Nv24Q15, Jn24Q21, D24Q21, M21Q50, M20Q45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NON spécifique de la crise (antalgiques/AINS)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AINS : Ibuprofène, Naproxène, Diclofénac ; + Aspirine et Paracétamol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Chez la femme enceinte : PARACÉTAMOL en 1re intention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Étoricoxib (coxib) comme traitement non spécifique de la migraine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Amitriptyline/Topiramate en crise (ce sont des traitements de FOND)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N25Q11, M24Q14, Jn24Q23, D24Q23, Nv24Q14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T</w:t>
      </w: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raitement de FOND / préventif — indications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Migraines fréquentes et handicapantes, échec du traitement de crise, risque d'abus médicamenteux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Durée 6 à 12 mois, sevrage progressif, réintroduction si récidive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indiqué dans la migraine avec aura »</w:t>
      </w:r>
      <w:r w:rsidRPr="00496BB9">
        <w:rPr>
          <w:rFonts w:ascii="LMRoman10" w:hAnsi="LMRoman10"/>
          <w:i/>
          <w:iCs/>
          <w:color w:val="B45309"/>
        </w:rPr>
        <w:t xml:space="preserve"> comme critère à lui seul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Jn24Q22, D24Q22, Jn23Q20, Jn22Q18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Choix du traitement de FOND selon le terrain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lastRenderedPageBreak/>
        <w:t>HYPERTENDU → PROPRANOLOL (bêtabloquant) en 1re intention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DÉPRIMÉ → AMITRIPTYLINE (Laroxyl®)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Autres : Topiramate, anticorps monoclonaux anti-C</w:t>
      </w:r>
      <w:r w:rsidRPr="00496BB9">
        <w:rPr>
          <w:rFonts w:ascii="LMRoman10" w:hAnsi="LMRoman10"/>
        </w:rPr>
        <w:t>GRP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Propranolol/Topiramate prescrits 3 à 6 mois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Carbamazépine / Gabapentine / Lévétiracétam comme traitement de fond de la migraine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Jn24Q20, D24Q20, N25Q13, M23Q37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LASMIDITAN (nouvelle molécule de crise)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Efficacité comparable aux triptans, agit sur la voie CGRP, voie orale, bien toléré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Intérêt : PAS de vasoconstriction → utilisable si pathologie cardiovasculaire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contre-indiqué en cas de pathologie cardiovasculaire » (c'est justement son avantage</w:t>
      </w:r>
      <w:r w:rsidRPr="00496BB9">
        <w:rPr>
          <w:rFonts w:ascii="LMRoman10" w:hAnsi="LMRoman10"/>
          <w:i/>
          <w:iCs/>
          <w:color w:val="B45309"/>
        </w:rPr>
        <w:t>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4× : M24Q19, Nv24Q19, Jn23Q15, M21Q46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4] IRABC — INFECTIONS RESPIRATOIRES BASSES COMMUNAUTAIRES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~3.43 Q/examen (48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Bronchite aiguë NON compliquée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Traitement SYMPTOMATIQUE : antipyrétique + vitamine C — PAS d'antibiotique d'emblée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Antibiotique justifié SEULEMENT si : fièvre &gt; 38,5–39 °C persistante OU OMA purulente associée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antibiothérapie systématique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Amoxicilline / Amox-clav d'emblée dans la bronchite simple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corticoïdes inhalés dans la bronchite aigu</w:t>
      </w:r>
      <w:r w:rsidRPr="00496BB9">
        <w:rPr>
          <w:rFonts w:ascii="LMRoman10" w:hAnsi="LMRoman10"/>
          <w:i/>
          <w:iCs/>
          <w:color w:val="B45309"/>
        </w:rPr>
        <w:t>ë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N25Q33/35, M24Q40, Nv24Q40, Jn24Q34/35, D24Q34/35, Jn23Q23/24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Pneumonie à pneumocoque, sujet jeune SANS comorbidité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AMOXICILLINE 1re intention, 3 g/jour (1 g × 3)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Enfant : Amoxicilline 100 mg/Kg/j en 3 prises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Amox-clav / C3G / fluoroqu</w:t>
      </w:r>
      <w:r w:rsidRPr="00496BB9">
        <w:rPr>
          <w:rFonts w:ascii="LMRoman10" w:hAnsi="LMRoman10"/>
          <w:i/>
          <w:iCs/>
          <w:color w:val="B45309"/>
        </w:rPr>
        <w:t>inolone / macrolide en 1re intention chez le jeune sain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2 g/jour » (la cible adulte est 3 g/j)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4×+ : M24Q43, Jn24Q38, Nv24Q43, D24Q38, N25Q38, M18Q40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Pneumonie avec COMORBIDITÉS / sujet âgé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AMOXICILLINE + ACIDE CLAVULANIQUE 1re intention (1 g × 3/j)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Pneumonie atypique suspectée → macrolide (azithromycine) ou fluoroquinolone respiratoire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amoxicilline seule chez le patient à comorbidités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N25Q37, Jn23Q27, M20Q13, M23Q24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Critères</w:t>
      </w: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d'HOSPITALISATION d'une pneumonie (CRB-65)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Confusion, FR &gt; 30 cpm, PA basse (PAS&lt;90 / PAD</w:t>
      </w:r>
      <w:r w:rsidRPr="00496BB9">
        <w:rPr>
          <w:rFonts w:ascii="Courier New" w:hAnsi="Courier New" w:cs="Courier New"/>
        </w:rPr>
        <w:t>≤</w:t>
      </w:r>
      <w:r w:rsidRPr="00496BB9">
        <w:rPr>
          <w:rFonts w:ascii="LMRoman10" w:hAnsi="LMRoman10"/>
        </w:rPr>
        <w:t xml:space="preserve">60), </w:t>
      </w:r>
      <w:r w:rsidRPr="00496BB9">
        <w:rPr>
          <w:rFonts w:ascii="LMRoman10" w:hAnsi="LMRoman10" w:cs="LMRoman10"/>
        </w:rPr>
        <w:t>Â</w:t>
      </w:r>
      <w:r w:rsidRPr="00496BB9">
        <w:rPr>
          <w:rFonts w:ascii="LMRoman10" w:hAnsi="LMRoman10"/>
        </w:rPr>
        <w:t xml:space="preserve">ge </w:t>
      </w:r>
      <w:r w:rsidRPr="00496BB9">
        <w:rPr>
          <w:rFonts w:ascii="Courier New" w:hAnsi="Courier New" w:cs="Courier New"/>
        </w:rPr>
        <w:t>≥</w:t>
      </w:r>
      <w:r w:rsidRPr="00496BB9">
        <w:rPr>
          <w:rFonts w:ascii="LMRoman10" w:hAnsi="LMRoman10"/>
        </w:rPr>
        <w:t xml:space="preserve"> 65 ans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Évaluer aussi conscience, FC, FR, TA, terrain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âge &lt; 65 ans » comme critère de gravité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la seule opacité radiologique ne décide</w:t>
      </w:r>
      <w:r w:rsidRPr="00496BB9">
        <w:rPr>
          <w:rFonts w:ascii="LMRoman10" w:hAnsi="LMRoman10"/>
          <w:i/>
          <w:iCs/>
          <w:color w:val="B45309"/>
        </w:rPr>
        <w:t xml:space="preserve"> pas l'hospitalisation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N25Q34, Jn23Q26, M20Q12, M18Q11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Exacerbation de BPCO — LÉGÈRE vs SÉVÈRE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LÉGÈRE : bronchodilatateurs ± antibiotique SI expectorations purulentes (Amox-clav, lévofloxacine, moxifloxacine)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lastRenderedPageBreak/>
        <w:t>SÉVÈRE : antibiothérapie + bronchodil</w:t>
      </w:r>
      <w:r w:rsidRPr="00496BB9">
        <w:rPr>
          <w:rFonts w:ascii="LMRoman10" w:hAnsi="LMRoman10"/>
        </w:rPr>
        <w:t>atateurs + corticothérapie systémique + oxygénothérapie ± ventilation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antitussif dans l'exacerbation de BPCO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amoxicilline seule pour l'exacerbation bactérienne de BPCO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4×+ : M24Q41/42, Jn24Q36/37, Nv24Q41/42, D24Q36/37, Jn23Q25, Jn20Q30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Prévention des IRABC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Sevrage tabagique, vaccination (antigrippale + antipneumococcique), lavage des mains, port du masque, correction des comorbidités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antibiothérapie p</w:t>
      </w:r>
      <w:r w:rsidRPr="00496BB9">
        <w:rPr>
          <w:rFonts w:ascii="LMRoman10" w:hAnsi="LMRoman10"/>
          <w:i/>
          <w:iCs/>
          <w:color w:val="B45309"/>
        </w:rPr>
        <w:t>rophylactique chez les BPCO » / « lors des bronchites aiguës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N25Q39, M20Q14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5] TRANSPLANTATION RÉNALE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~3.29 Q/examen (46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Généralités sur la transplantation rénale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Meilleur traitement de l'IRC terminale, améliore qualité de vie et survie, coût moindre que la dialyse à long terme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Nécessite un traitement immunosuppresseur À VIE, une évaluation immunologique et un suivi au long cours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Greffon implanté en FOSSE ILIAQUE ; </w:t>
      </w:r>
      <w:r w:rsidRPr="00496BB9">
        <w:rPr>
          <w:rFonts w:ascii="LMRoman10" w:hAnsi="LMRoman10"/>
        </w:rPr>
        <w:t>anastomose veineuse sur la veine iliaque ; sonde JJ urinaire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immunosuppresseur uniquement la 1re année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néphrectomie systématique du rein natif » du receveur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aucun suivi après la greffe » / « expose à une surmortalité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4×+ : N25Q47, M24Q1, Nv24Q1, Jn22Q34, M21Q6, Jn20Q20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immunosuppresseur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Objectif : prévenir le rejet aigu ET la dysfonction chronique du greffon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Repose sur une ASSOCIATION de plusieurs molécules (pas une monothérapie)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Comporte une phase d'I</w:t>
      </w:r>
      <w:r w:rsidRPr="00496BB9">
        <w:rPr>
          <w:rFonts w:ascii="LMRoman10" w:hAnsi="LMRoman10"/>
        </w:rPr>
        <w:t>NDUCTION puis une phase de MAINTENANCE ; équilibre efficacité/toxicité, posologie individualisée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monothérapie » / « corticothérapie seule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posologie standard fixe identique chez tous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uniquement par voie injectable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>u : M24Q4, Nv24Q4, Jn22Q37, M21Q8, M20Q4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fréquentes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Thrombose vasculaire, complications INFECTIEUSES, REJET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perforation d'ulcère » et « complications psychiatriques » parmi les complications fréquentes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4× : N25Q49, M24Q3, Nv24Q3, Jn22Q36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Cadre légal &amp; organisation au Maroc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Régulée par un texte de loi, autorisée UNIQUEMENT dans les structures accréditées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Consentement éclairé du couple donneur–receveur obligatoire ; cross-match NÉGATIF requis avant</w:t>
      </w:r>
      <w:r w:rsidRPr="00496BB9">
        <w:rPr>
          <w:rFonts w:ascii="LMRoman10" w:hAnsi="LMRoman10"/>
        </w:rPr>
        <w:t xml:space="preserve"> greffe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Bons résultats avec bonne survie patients/greffons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peut être réalisée dans toutes les structures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cross-match POSITIF avant la greffe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concerne uniquement le donneur vivant » (le don sur mort encéphalique est prévu)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Jn24Q12/13/14, D24Q12/13/14, M21Q7, M20Q1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Contre-indications ABSOLUES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Cancer évolutif, infection mal contrôlée, maladie psychiatrique grave non contrôlée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maladie hypertensive » / « diabète » / « âge 65 ans » comme CI absolues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Jn20Q21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6] DIABÈTE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~3.14 Q/examen (44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METFORMINE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Corrige l'INSULINORÉSISTANCE (potentialise l'insuline au foie/muscle), n'augmente PAS l'insulinosécré</w:t>
      </w:r>
      <w:r w:rsidRPr="00496BB9">
        <w:rPr>
          <w:rFonts w:ascii="LMRoman10" w:hAnsi="LMRoman10"/>
        </w:rPr>
        <w:t>tion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Dose maximale </w:t>
      </w:r>
      <w:r w:rsidRPr="00496BB9">
        <w:rPr>
          <w:rFonts w:ascii="Courier New" w:hAnsi="Courier New" w:cs="Courier New"/>
        </w:rPr>
        <w:t>≈</w:t>
      </w:r>
      <w:r w:rsidRPr="00496BB9">
        <w:rPr>
          <w:rFonts w:ascii="LMRoman10" w:hAnsi="LMRoman10"/>
        </w:rPr>
        <w:t xml:space="preserve"> 3000 mg/j ; CI si IR s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v</w:t>
      </w:r>
      <w:r w:rsidRPr="00496BB9">
        <w:rPr>
          <w:rFonts w:ascii="LMRoman10" w:hAnsi="LMRoman10" w:cs="LMRoman10"/>
        </w:rPr>
        <w:t>è</w:t>
      </w:r>
      <w:r w:rsidRPr="00496BB9">
        <w:rPr>
          <w:rFonts w:ascii="LMRoman10" w:hAnsi="LMRoman10"/>
        </w:rPr>
        <w:t>re (risque d'acidose lactique), prudence &gt; 75 ans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stimule la sécrétion d'insuline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diminue l'absorption intestinale des sucres » (c'est l'acarbose)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fuite rénale de glucose » (c</w:t>
      </w:r>
      <w:r w:rsidRPr="00496BB9">
        <w:rPr>
          <w:rFonts w:ascii="LMRoman10" w:hAnsi="LMRoman10"/>
          <w:i/>
          <w:iCs/>
          <w:color w:val="B45309"/>
        </w:rPr>
        <w:t>'est les iSGLT2) ; FAUX : dose d'initiation 4000 mg/j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N25Q1, M24Q11, Nv24Q11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Antidiabétiques INSULINOSÉCRÉTEURS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Sulfamides hypoglycémiants, Glinides, inhibiteurs DPP-4, analogues du GLP-1 → induisent une insulinosécrétion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Insuline = apport exogène (corrige le manque d'insuline)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iSGLT2 = insulinosécréteurs (ils agissent au rein, indépendamment de l'insuline)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N25Q2, Jn24Q2, D24Q2, M23Q17, M24Q12, Nv24Q12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GLINIDES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Insulinosécréteurs à DEMI-VIE COURTE, prise conditionnée par le repas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CI en cas d'insuffisance hépatique sévère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demi-vie longue de 12 h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contre-indiqués dans l'IR modérée » (utilisables, contrairement aux sulfamides)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Jn24Q3, 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>D24Q3, M18Q3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iSGLT2 (gliflozines)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Diminuent la réabsorption rénale du glucose → glucosurie (fuite rénale de glucose)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Risques : infections uro-génitales, hypotension, déshydratation par pollakiurie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stimulent la sécrétion d'insuline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</w:t>
      </w:r>
      <w:r w:rsidRPr="00496BB9">
        <w:rPr>
          <w:rFonts w:ascii="LMRoman10" w:hAnsi="LMRoman10"/>
          <w:i/>
          <w:iCs/>
          <w:color w:val="B45309"/>
        </w:rPr>
        <w:t xml:space="preserve"> prise de poids importante » (ils font plutôt maigrir) ; FAUX : hypoglycémies sévères (seuls)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Jn20Q14, Jn20Q15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Insulinothérapie dans le DT2 — initiation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Indiquée après ÉCHEC du traitement oral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Débute par UNE injection d'analogue LENT à dose faibl</w:t>
      </w:r>
      <w:r w:rsidRPr="00496BB9">
        <w:rPr>
          <w:rFonts w:ascii="LMRoman10" w:hAnsi="LMRoman10"/>
        </w:rPr>
        <w:t>e (0,1–0,2 UI/Kg/j) en association à metformine ± insulinosécréteur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Titration : adapter sur la glycémie à jeun, augmentation tous les 3 jours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d'emblée 4 injections/j » / « par pompe d'emblée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dose d'initiation 2 UI/Kg/j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FAUX : « </w:t>
      </w:r>
      <w:r w:rsidRPr="00496BB9">
        <w:rPr>
          <w:rFonts w:ascii="LMRoman10" w:hAnsi="LMRoman10"/>
          <w:i/>
          <w:iCs/>
          <w:color w:val="B45309"/>
        </w:rPr>
        <w:t>prescrite dès la découverte du DT2 car vitale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M24Q13, Nv24Q13, Jn19Q14, M18Q4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Objectifs glycémiques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DT1 : glycémie préprandiale 0,80–1,20 g/l, HbA1c </w:t>
      </w:r>
      <w:r w:rsidRPr="00496BB9">
        <w:rPr>
          <w:rFonts w:ascii="Courier New" w:hAnsi="Courier New" w:cs="Courier New"/>
        </w:rPr>
        <w:t>≈</w:t>
      </w:r>
      <w:r w:rsidRPr="00496BB9">
        <w:rPr>
          <w:rFonts w:ascii="LMRoman10" w:hAnsi="LMRoman10"/>
        </w:rPr>
        <w:t xml:space="preserve"> 7 %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DT2 : HbA1c &lt; 7 % ; sujet &gt; 75 ans : HbA1c &lt; 8 % (objectif assoupli)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FAUX : initier l'insuline du DT1 à 3–4 UI/Kg/j (dose basale </w:t>
      </w:r>
      <w:r w:rsidRPr="00496BB9">
        <w:rPr>
          <w:rFonts w:ascii="Courier New" w:hAnsi="Courier New" w:cs="Courier New"/>
          <w:i/>
          <w:iCs/>
          <w:color w:val="B45309"/>
        </w:rPr>
        <w:t>≈</w:t>
      </w:r>
      <w:r w:rsidRPr="00496BB9">
        <w:rPr>
          <w:rFonts w:ascii="LMRoman10" w:hAnsi="LMRoman10"/>
          <w:i/>
          <w:iCs/>
          <w:color w:val="B45309"/>
        </w:rPr>
        <w:t xml:space="preserve"> 0,3</w:t>
      </w:r>
      <w:r w:rsidRPr="00496BB9">
        <w:rPr>
          <w:rFonts w:ascii="LMRoman10" w:hAnsi="LMRoman10" w:cs="LMRoman10"/>
          <w:i/>
          <w:iCs/>
          <w:color w:val="B45309"/>
        </w:rPr>
        <w:t>–</w:t>
      </w:r>
      <w:r w:rsidRPr="00496BB9">
        <w:rPr>
          <w:rFonts w:ascii="LMRoman10" w:hAnsi="LMRoman10"/>
          <w:i/>
          <w:iCs/>
          <w:color w:val="B45309"/>
        </w:rPr>
        <w:t>0,4 UI/Kg/j)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HbA1c &lt; 6 % » comme cible standard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N25Q3, Jn23Q11, M18Q1, Jn19Q15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7] CORTICOTHÉRAPIE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~3.07 Q/examen (43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Surveillance clinico-biologique sous corticothérapie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Rechercher : HYPERglycémie, HYPERcholestérolémie, HYPERtriglycéridémie, HTA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Surveiller aussi le risque infectieux et la kaliémie (risque d'HYPOkaliémie)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FAUX : « HYPERkaliémie » (le corticoïde donne </w:t>
      </w:r>
      <w:r w:rsidRPr="00496BB9">
        <w:rPr>
          <w:rFonts w:ascii="LMRoman10" w:hAnsi="LMRoman10"/>
          <w:i/>
          <w:iCs/>
          <w:color w:val="B45309"/>
        </w:rPr>
        <w:t>plutôt une HYPOkaliémie)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hypotension » / « hypoglycémie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M24Q38, Nv24Q38, M20Q43, M23Q49, M22Q38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Choix de la molécule pour une corticothérapie ORALE au long cours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PREDNISONE (ou prednisolone) = molécule de référence au long cours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Pris</w:t>
      </w:r>
      <w:r w:rsidRPr="00496BB9">
        <w:rPr>
          <w:rFonts w:ascii="LMRoman10" w:hAnsi="LMRoman10"/>
        </w:rPr>
        <w:t>e de la TOTALITÉ de la dose le MATIN (respect du cycle physiologique)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hydrocortisone / dexaméthasone / bétaméthasone pour le long cours (réservées à d'autres indications)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fractionnement en 3 prises » / « prise le soir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M23Q47, 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>M22Q36, M22Q37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MYOPATHIE cortisonique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Atteinte musculaire PROXIMALE, SYMÉTRIQUE, indolore ; CPK normales ou peu élevées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EMG : tracé myogène sans activité ; récupération lente ; prévention = travail musculaire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déficit DISTAL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attein</w:t>
      </w:r>
      <w:r w:rsidRPr="00496BB9">
        <w:rPr>
          <w:rFonts w:ascii="LMRoman10" w:hAnsi="LMRoman10"/>
          <w:i/>
          <w:iCs/>
          <w:color w:val="B45309"/>
        </w:rPr>
        <w:t>te douloureuse » / « atteinte asymétrique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CPK très augmentées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M24Q39, Nv24Q39, M20Q44, Jn19Q45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Mécanisme &amp; effet immunitaire des corticoïdes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Inducteurs de l'APOPTOSE des lymphocytes, diminuent la prolifération des LT, effet anti-inflammatoire et immunosuppresseur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stimulent la prolifération des LB » / « augmentent les immunoglobulines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effet inflammatoire » / « effet aller</w:t>
      </w:r>
      <w:r w:rsidRPr="00496BB9">
        <w:rPr>
          <w:rFonts w:ascii="LMRoman10" w:hAnsi="LMRoman10"/>
          <w:i/>
          <w:iCs/>
          <w:color w:val="B45309"/>
        </w:rPr>
        <w:t>gisant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Jn24Q48, D24Q48, M18Q34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Effets indésirables au long cours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Atrophie surrénalienne, diabète cortico-induit, HTA, OSTÉOPOROSE, hypogammaglobulinémie, infections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Sevrage de l'hydrocortisone pour prévenir l'insuffisance surrénalienne au sevra</w:t>
      </w:r>
      <w:r w:rsidRPr="00496BB9">
        <w:rPr>
          <w:rFonts w:ascii="LMRoman10" w:hAnsi="LMRoman10"/>
        </w:rPr>
        <w:t>ge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HYPERcalcémie » (risque plutôt d'ostéoporose/hypocalcémie)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hyperthyroïdie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M23Q50, M18Q35, Jn20Q44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Prévention de l'ostéoporose cortisonique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lastRenderedPageBreak/>
        <w:t>Apport phospho-calcique + vitamine D suffisants, lutte contre la sédentarité, év</w:t>
      </w:r>
      <w:r w:rsidRPr="00496BB9">
        <w:rPr>
          <w:rFonts w:ascii="LMRoman10" w:hAnsi="LMRoman10"/>
        </w:rPr>
        <w:t>iction du tabac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Ostéodensitométrie ; traitement anti-ostéoporotique selon T-score </w:t>
      </w:r>
      <w:r w:rsidRPr="00496BB9">
        <w:rPr>
          <w:rFonts w:ascii="Courier New" w:hAnsi="Courier New" w:cs="Courier New"/>
        </w:rPr>
        <w:t>≤</w:t>
      </w:r>
      <w:r w:rsidRPr="00496BB9">
        <w:rPr>
          <w:rFonts w:ascii="LMRoman10" w:hAnsi="LMRoman10"/>
        </w:rPr>
        <w:t xml:space="preserve"> </w:t>
      </w:r>
      <w:r w:rsidRPr="00496BB9">
        <w:rPr>
          <w:rFonts w:ascii="LMRoman10" w:hAnsi="LMRoman10" w:cs="LMRoman10"/>
        </w:rPr>
        <w:t>−</w:t>
      </w:r>
      <w:r w:rsidRPr="00496BB9">
        <w:rPr>
          <w:rFonts w:ascii="LMRoman10" w:hAnsi="LMRoman10"/>
        </w:rPr>
        <w:t>2,5 ou FRAX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apport en protéines sans importance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N25Q9/10, M18Q28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8] ÉPILEPSIE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~2.71 Q/examen (38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Choix de l'antiépileptique selon le SY</w:t>
      </w: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NDROME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Absence (enfant) → VALPROATE de sodium (éthosuximide aussi)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Épilepsie myoclonique juvénile → VALPROATE de sodium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Épilepsie FOCALE symptomatique → CARBAMAZÉPINE (ou lévétiracétam)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Carbamazépine dans l'absence / la myoclonie (peut les aggraver)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Gabapentine / Phénobarbital en 1re intention de ces syndromes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N25Q14, M20Q47, M24Q17, Nv24Q17, Jn24Q24, D24Q24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Antiépileptiques pendant la GROSSESSE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LAMOTRIGINE et LÉVÉTIRACÉTAM = les mieux tolérés / privilégiés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VALPROATE = à proscrire (tératogène : anomalies du tube neural, troubles neurodéveloppementaux)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Valproate (surtout à forte dose) chez la femme enceinte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Carbamazépine/Phénytoïne : à é</w:t>
      </w:r>
      <w:r w:rsidRPr="00496BB9">
        <w:rPr>
          <w:rFonts w:ascii="LMRoman10" w:hAnsi="LMRoman10"/>
          <w:i/>
          <w:iCs/>
          <w:color w:val="B45309"/>
        </w:rPr>
        <w:t>viter si alternative possible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M24Q18, Nv24Q18, M23Q39, M22Q31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PRÉ-thérapeutique du VALPROATE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Bilan HÉPATIQUE (hépatotoxicité) + numération plaquettaire ; calcémie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Surveillance du poids et des transaminases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glycémie / ECBU / kalié</w:t>
      </w:r>
      <w:r w:rsidRPr="00496BB9">
        <w:rPr>
          <w:rFonts w:ascii="LMRoman10" w:hAnsi="LMRoman10"/>
          <w:i/>
          <w:iCs/>
          <w:color w:val="B45309"/>
        </w:rPr>
        <w:t>mie » comme bilan clé du valproate (c'est le bilan HÉPATIQUE qui prime)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3× : N25Q16, Jn20Q28, Jn19Q19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Antiépileptiques CLASSIQUES vs nouveaux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Classiques : Carbamazépine, Valproate, Phénobarbital, Phénytoïne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Nouveaux : Lévétiracétam, Lamotrigine, Ga</w:t>
      </w:r>
      <w:r w:rsidRPr="00496BB9">
        <w:rPr>
          <w:rFonts w:ascii="LMRoman10" w:hAnsi="LMRoman10"/>
        </w:rPr>
        <w:t>bapentine, Topiramate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classer le Lévétiracétam parmi les « classiques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Jn24Q25, D24Q25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9] HTA — HYPERTENSION ARTÉRIELLE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~2.36 Q/examen (33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Bithérapie de 1re intention (ISH 2020 / ESC)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Association de base : IEC (ou ARA II) + INHIBITEUR CALCIQUE (ou + diurétique thiazidique)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HTA grade </w:t>
      </w:r>
      <w:r w:rsidRPr="00496BB9">
        <w:rPr>
          <w:rFonts w:ascii="Courier New" w:hAnsi="Courier New" w:cs="Courier New"/>
        </w:rPr>
        <w:t>≥</w:t>
      </w:r>
      <w:r w:rsidRPr="00496BB9">
        <w:rPr>
          <w:rFonts w:ascii="LMRoman10" w:hAnsi="LMRoman10"/>
        </w:rPr>
        <w:t xml:space="preserve"> 2 ou haut risque CV : bith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rapie d'embl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associer IEC + ARA II (double blocage du SRA déconseillé)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diurétique de l'anse comme antihyper</w:t>
      </w:r>
      <w:r w:rsidRPr="00496BB9">
        <w:rPr>
          <w:rFonts w:ascii="LMRoman10" w:hAnsi="LMRoman10"/>
          <w:i/>
          <w:iCs/>
          <w:color w:val="B45309"/>
        </w:rPr>
        <w:t>tenseur de fond (sauf IR/IC)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Jn23Q5, M22Q14, M18Q20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Effets indésirables des IEC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lastRenderedPageBreak/>
        <w:t>Toux sèche, hyperkaliémie, élévation de la créatininémie (surveiller fonction rénale + kaliémie)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Devant une dégradation rénale + hypokaliémie sous IEC → évoquer une cause RÉNOVASCULAIRE (sténose des artères rénales)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hypokaliémie » comme effet propre de l'IEC (il donne une HYPERkaliémie)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allongement du PR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Jn23Q4, M20Q33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des BÊTABLOQUANTS dans l'HTA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Fibrillation atriale, angor d'effort, post-infarctus, dissection aortique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Prudence/CI relative : asthme non contrôlé, BPCO ; ne pas associer BB + vérapamil/diltiazem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Jn23Q6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HTA RÉSISTANTE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Ajout de SPIR</w:t>
      </w:r>
      <w:r w:rsidRPr="00496BB9">
        <w:rPr>
          <w:rFonts w:ascii="LMRoman10" w:hAnsi="LMRoman10"/>
        </w:rPr>
        <w:t>ONOLACTONE à la dose de 25 mg en 4e ligne (après trithérapie incluant un diurétique)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spironolactone « 50 / 75 / 100 mg » d'emblée (la dose de référence ici est 25 mg)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M23Q9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Mesures hygiéno-diététiques &amp; objectifs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Sel &lt; 6 g/j, réduction p</w:t>
      </w:r>
      <w:r w:rsidRPr="00496BB9">
        <w:rPr>
          <w:rFonts w:ascii="LMRoman10" w:hAnsi="LMRoman10"/>
        </w:rPr>
        <w:t>ondérale, activité physique ; cible PAS souvent 130–139 mmHg (130 si bien toléré)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Diabétique : cible PA 130/80, HbA1c &lt; 7 %, LDL &lt; 1 g/l ; statine si risque élevé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sel &lt; 4 g/j » comme recommandation standard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M21Q33, Jn20Q50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10] ANTIBACILLAIRES — TUBERCULOSE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~2.36 Q/examen (33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Régimes thérapeutiques (RHZE)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Tuberculose pulmonaire commune ET pleurale : 2RHZE / 4RH (6 mois)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Tuberculose OSTÉO-ARTICULAIRE et NEUROMÉNINGÉE : 2RHZE / 7RH (9 mois)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4RHZE/2RH</w:t>
      </w:r>
      <w:r w:rsidRPr="00496BB9">
        <w:rPr>
          <w:rFonts w:ascii="LMRoman10" w:hAnsi="LMRoman10"/>
          <w:i/>
          <w:iCs/>
          <w:color w:val="B45309"/>
        </w:rPr>
        <w:t xml:space="preserve"> » / « 2RHZ/4RHE » pour la TB commune (l'ordre R-H-Z-E et la durée 2/4 comptent)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Piège pleurale : c'est 2RHZE/4RH (6 mois), pas 9 mois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4×+ : M24Q47, Jn24Q42, Nv24Q47, D24Q42, N25Q42, Jn23Q30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Posologies des antibacillaires (mg/Kg/j)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Rifampicine 10 mg/Kg/j • Isoniazide 5 mg/Kg/j • Pyrazinamide 25–30 • Éthambutol 15–20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ERIPK4 (forme combinée) chez un adulte </w:t>
      </w:r>
      <w:r w:rsidRPr="00496BB9">
        <w:rPr>
          <w:rFonts w:ascii="Courier New" w:hAnsi="Courier New" w:cs="Courier New"/>
        </w:rPr>
        <w:t>≈</w:t>
      </w:r>
      <w:r w:rsidRPr="00496BB9">
        <w:rPr>
          <w:rFonts w:ascii="LMRoman10" w:hAnsi="LMRoman10"/>
        </w:rPr>
        <w:t xml:space="preserve"> 55</w:t>
      </w:r>
      <w:r w:rsidRPr="00496BB9">
        <w:rPr>
          <w:rFonts w:ascii="LMRoman10" w:hAnsi="LMRoman10" w:cs="LMRoman10"/>
        </w:rPr>
        <w:t>–</w:t>
      </w:r>
      <w:r w:rsidRPr="00496BB9">
        <w:rPr>
          <w:rFonts w:ascii="LMRoman10" w:hAnsi="LMRoman10"/>
        </w:rPr>
        <w:t>70 Kg : 4 comprim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s/j en 1 prise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Rifampicine 5 mg/Kg/j (c'est 10) ou Isoniazide 10 mg/Kg/j (c'est 5)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4×+ : M24Q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>49, Jn24Q44, Nv24Q49, D24Q44, N25Q41/43, Jn23Q31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Modalités de prise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À JEUN, 30 min AVANT le repas, en PRISE UNIQUE quotidienne, dose adaptée au poids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ASSOCIATION de plusieurs antibacillaires (</w:t>
      </w:r>
      <w:r w:rsidRPr="00496BB9">
        <w:rPr>
          <w:rFonts w:ascii="Courier New" w:hAnsi="Courier New" w:cs="Courier New"/>
        </w:rPr>
        <w:t>≥</w:t>
      </w:r>
      <w:r w:rsidRPr="00496BB9">
        <w:rPr>
          <w:rFonts w:ascii="LMRoman10" w:hAnsi="LMRoman10"/>
        </w:rPr>
        <w:t xml:space="preserve"> 4 en phase initiale)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après le repas » / « 2–3 foi</w:t>
      </w:r>
      <w:r w:rsidRPr="00496BB9">
        <w:rPr>
          <w:rFonts w:ascii="LMRoman10" w:hAnsi="LMRoman10"/>
          <w:i/>
          <w:iCs/>
          <w:color w:val="B45309"/>
        </w:rPr>
        <w:t>s par jour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4×+ : M24Q50, Jn24Q45, Nv24Q50, D24Q45, M22Q28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Justification de l'ASSOCIATION (biologie du BK)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Existence de mutants naturellement résistants → association pour prévenir la résistance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Multiplication LENTE → prise unique quotidienne suffisante ; populations intra/extracellulaires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germe anaérobie » / « purement extracellulaire » / « multiplication rapide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N25Q40, M20Q17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RIFAMPICINE — particularités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INDUCTEUR enzymati</w:t>
      </w:r>
      <w:r w:rsidRPr="00496BB9">
        <w:rPr>
          <w:rFonts w:ascii="LMRoman10" w:hAnsi="LMRoman10"/>
        </w:rPr>
        <w:t>que → diminue l'effet des corticoïdes, des œstroprogestatifs et des AVK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CI : accident immuno-allergique majeur antérieur, obstruction des voies biliaires, porphyrie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augmente l'effet anticoagulant des AVK » (l'induction le DIMINUE)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con</w:t>
      </w:r>
      <w:r w:rsidRPr="00496BB9">
        <w:rPr>
          <w:rFonts w:ascii="LMRoman10" w:hAnsi="LMRoman10"/>
          <w:i/>
          <w:iCs/>
          <w:color w:val="B45309"/>
        </w:rPr>
        <w:t>tre-indiquée pendant la grossesse » (elle est utilisable)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M18Q9, Jn22Q46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11] DERMATOLOGIE — DERMOCORTICOÏDES &amp; ANTISEPTIQUES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~2.21 Q/examen (31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Choix du dermocorticoïde selon la localisation/lésion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Visage / nourrisson (eczéma des joues) → corticoïde FAIBLE : Désonide (Locapred®/Locatop®)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Kératodermie palmo-plantaire psoriasique / lésions épaisses → corticoïde TRÈS FORT : Clobétasol (Dermoval®), Bétaméthasone dipropionate (Diprolène®)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clobéta</w:t>
      </w:r>
      <w:r w:rsidRPr="00496BB9">
        <w:rPr>
          <w:rFonts w:ascii="LMRoman10" w:hAnsi="LMRoman10"/>
          <w:i/>
          <w:iCs/>
          <w:color w:val="B45309"/>
        </w:rPr>
        <w:t>sol/Diprolène sur le VISAGE ou chez le NOURRISSON (atrophie cutanée)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Règle : puissance adaptée au site (faible sur peau fine, fort sur peau épaisse)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M18Q7, M18Q8, Jn19Q35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ANTISEPTIQUES — Bétadine® (povidone iodée)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Povidone iodée ; CI chez la fe</w:t>
      </w:r>
      <w:r w:rsidRPr="00496BB9">
        <w:rPr>
          <w:rFonts w:ascii="LMRoman10" w:hAnsi="LMRoman10"/>
        </w:rPr>
        <w:t>mme ENCEINTE et le NOUVEAU-NÉ (risque thyroïdien)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Soins de l'ombilic du nouveau-né : éosine, chlorhexidine (PAS d'iode)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utilisable chez la femme allaitante / le nouveau-né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bactériostatique » (la povidone iodée est bactéricide)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Jn19Q34, Jn20Q11, Jn19Q36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Intertrigo inter-orteils macéré (mycose)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Antifongique en poudre (asséchant) : nitrate d'isoconazole (Mycoderme® poudre)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dermocorticoïde seul / acide fusidique en 1re intention sur un intertrigo mycosique macéré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Jn19Q35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12] ASTHME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~2.21 Q/examen (31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de fond selon la fréquence des symptômes (GINA)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Symptômes rares (</w:t>
      </w:r>
      <w:r w:rsidRPr="00496BB9">
        <w:rPr>
          <w:rFonts w:ascii="Courier New" w:hAnsi="Courier New" w:cs="Courier New"/>
        </w:rPr>
        <w:t>≤</w:t>
      </w:r>
      <w:r w:rsidRPr="00496BB9">
        <w:rPr>
          <w:rFonts w:ascii="LMRoman10" w:hAnsi="LMRoman10"/>
        </w:rPr>
        <w:t xml:space="preserve"> 2</w:t>
      </w:r>
      <w:r w:rsidRPr="00496BB9">
        <w:rPr>
          <w:rFonts w:ascii="LMRoman10" w:hAnsi="LMRoman10" w:cs="LMRoman10"/>
        </w:rPr>
        <w:t>×</w:t>
      </w:r>
      <w:r w:rsidRPr="00496BB9">
        <w:rPr>
          <w:rFonts w:ascii="LMRoman10" w:hAnsi="LMRoman10"/>
        </w:rPr>
        <w:t xml:space="preserve">/mois) </w:t>
      </w:r>
      <w:r w:rsidRPr="00496BB9">
        <w:rPr>
          <w:rFonts w:ascii="LMRoman10" w:hAnsi="LMRoman10" w:cs="LMRoman10"/>
        </w:rPr>
        <w:t>→</w:t>
      </w:r>
      <w:r w:rsidRPr="00496BB9">
        <w:rPr>
          <w:rFonts w:ascii="LMRoman10" w:hAnsi="LMRoman10"/>
        </w:rPr>
        <w:t xml:space="preserve"> CSI-formot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 xml:space="preserve">rol </w:t>
      </w:r>
      <w:r w:rsidRPr="00496BB9">
        <w:rPr>
          <w:rFonts w:ascii="LMRoman10" w:hAnsi="LMRoman10" w:cs="LMRoman10"/>
        </w:rPr>
        <w:t>À</w:t>
      </w:r>
      <w:r w:rsidRPr="00496BB9">
        <w:rPr>
          <w:rFonts w:ascii="LMRoman10" w:hAnsi="LMRoman10"/>
        </w:rPr>
        <w:t xml:space="preserve"> LA DEMANDE (palier 1)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Symptômes </w:t>
      </w:r>
      <w:r w:rsidRPr="00496BB9">
        <w:rPr>
          <w:rFonts w:ascii="Courier New" w:hAnsi="Courier New" w:cs="Courier New"/>
        </w:rPr>
        <w:t>≥</w:t>
      </w:r>
      <w:r w:rsidRPr="00496BB9">
        <w:rPr>
          <w:rFonts w:ascii="LMRoman10" w:hAnsi="LMRoman10"/>
        </w:rPr>
        <w:t xml:space="preserve"> 1</w:t>
      </w:r>
      <w:r w:rsidRPr="00496BB9">
        <w:rPr>
          <w:rFonts w:ascii="LMRoman10" w:hAnsi="LMRoman10" w:cs="LMRoman10"/>
        </w:rPr>
        <w:t>×</w:t>
      </w:r>
      <w:r w:rsidRPr="00496BB9">
        <w:rPr>
          <w:rFonts w:ascii="LMRoman10" w:hAnsi="LMRoman10"/>
        </w:rPr>
        <w:t xml:space="preserve">/semaine sans </w:t>
      </w:r>
      <w:r w:rsidRPr="00496BB9">
        <w:rPr>
          <w:rFonts w:ascii="LMRoman10" w:hAnsi="LMRoman10" w:cs="LMRoman10"/>
        </w:rPr>
        <w:t>ê</w:t>
      </w:r>
      <w:r w:rsidRPr="00496BB9">
        <w:rPr>
          <w:rFonts w:ascii="LMRoman10" w:hAnsi="LMRoman10"/>
        </w:rPr>
        <w:t xml:space="preserve">tre quotidiens </w:t>
      </w:r>
      <w:r w:rsidRPr="00496BB9">
        <w:rPr>
          <w:rFonts w:ascii="LMRoman10" w:hAnsi="LMRoman10" w:cs="LMRoman10"/>
        </w:rPr>
        <w:t>→</w:t>
      </w:r>
      <w:r w:rsidRPr="00496BB9">
        <w:rPr>
          <w:rFonts w:ascii="LMRoman10" w:hAnsi="LMRoman10"/>
        </w:rPr>
        <w:t xml:space="preserve"> CSI faible dose en </w:t>
      </w:r>
      <w:r w:rsidRPr="00496BB9">
        <w:rPr>
          <w:rFonts w:ascii="LMRoman10" w:hAnsi="LMRoman10"/>
        </w:rPr>
        <w:t>fond (± à la demande)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Symptômes quasi quotidiens / nocturnes → ASSOCIATION CSI + BDLA (LABA) en fond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BDLA (LABA) SEUL en traitement de fond (jamais sans corticoïde inhalé)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corticothérapie ORALE au long cours comme fond de l'asthme courant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4×+ : M24Q44/45, Jn24Q39/40, Nv24Q44/45, D24Q39/40, N25Q44/45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de la CRISE / exacerbation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Crise SÉVÈRE : </w:t>
      </w:r>
      <w:r w:rsidRPr="00496BB9">
        <w:rPr>
          <w:rFonts w:ascii="Courier New" w:hAnsi="Courier New" w:cs="Courier New"/>
        </w:rPr>
        <w:t>β</w:t>
      </w:r>
      <w:r w:rsidRPr="00496BB9">
        <w:rPr>
          <w:rFonts w:ascii="LMRoman10" w:hAnsi="LMRoman10"/>
        </w:rPr>
        <w:t>2-mim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tique de COURTE dur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e en N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BULISATION + cortico</w:t>
      </w:r>
      <w:r w:rsidRPr="00496BB9">
        <w:rPr>
          <w:rFonts w:ascii="LMRoman10" w:hAnsi="LMRoman10" w:cs="LMRoman10"/>
        </w:rPr>
        <w:t>ï</w:t>
      </w:r>
      <w:r w:rsidRPr="00496BB9">
        <w:rPr>
          <w:rFonts w:ascii="LMRoman10" w:hAnsi="LMRoman10"/>
        </w:rPr>
        <w:t>de SYST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MIQUE (IV/oral) + oxyg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noth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rapie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lastRenderedPageBreak/>
        <w:t xml:space="preserve">Crise modérée : </w:t>
      </w:r>
      <w:r w:rsidRPr="00496BB9">
        <w:rPr>
          <w:rFonts w:ascii="Courier New" w:hAnsi="Courier New" w:cs="Courier New"/>
        </w:rPr>
        <w:t>β</w:t>
      </w:r>
      <w:r w:rsidRPr="00496BB9">
        <w:rPr>
          <w:rFonts w:ascii="LMRoman10" w:hAnsi="LMRoman10"/>
        </w:rPr>
        <w:t>2-CDA n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bulis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 xml:space="preserve"> + corticoth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rapie orale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BDLA (LABA) nébulisé dans la crise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corticoïde INHALÉ comme traitement de la crise sévère (il faut le systémique)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4×+ : M24Q46, Jn24Q41, Nv24Q46, D24Q41, N25Q46, Jn22Q45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Principe d'association CSI + LABA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Les </w:t>
      </w:r>
      <w:r w:rsidRPr="00496BB9">
        <w:rPr>
          <w:rFonts w:ascii="Courier New" w:hAnsi="Courier New" w:cs="Courier New"/>
        </w:rPr>
        <w:t>β</w:t>
      </w:r>
      <w:r w:rsidRPr="00496BB9">
        <w:rPr>
          <w:rFonts w:ascii="LMRoman10" w:hAnsi="LMRoman10"/>
        </w:rPr>
        <w:t>2-mim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tiques de longue dur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 xml:space="preserve">e doivent TOUJOURS </w:t>
      </w:r>
      <w:r w:rsidRPr="00496BB9">
        <w:rPr>
          <w:rFonts w:ascii="LMRoman10" w:hAnsi="LMRoman10" w:cs="LMRoman10"/>
        </w:rPr>
        <w:t>ê</w:t>
      </w:r>
      <w:r w:rsidRPr="00496BB9">
        <w:rPr>
          <w:rFonts w:ascii="LMRoman10" w:hAnsi="LMRoman10"/>
        </w:rPr>
        <w:t>tre associ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 xml:space="preserve">s </w:t>
      </w:r>
      <w:r w:rsidRPr="00496BB9">
        <w:rPr>
          <w:rFonts w:ascii="LMRoman10" w:hAnsi="LMRoman10" w:cs="LMRoman10"/>
        </w:rPr>
        <w:t>à</w:t>
      </w:r>
      <w:r w:rsidRPr="00496BB9">
        <w:rPr>
          <w:rFonts w:ascii="LMRoman10" w:hAnsi="LMRoman10"/>
        </w:rPr>
        <w:t xml:space="preserve"> un cortico</w:t>
      </w:r>
      <w:r w:rsidRPr="00496BB9">
        <w:rPr>
          <w:rFonts w:ascii="LMRoman10" w:hAnsi="LMRoman10" w:cs="LMRoman10"/>
        </w:rPr>
        <w:t>ï</w:t>
      </w:r>
      <w:r w:rsidRPr="00496BB9">
        <w:rPr>
          <w:rFonts w:ascii="LMRoman10" w:hAnsi="LMRoman10"/>
        </w:rPr>
        <w:t>de inhal</w:t>
      </w:r>
      <w:r w:rsidRPr="00496BB9">
        <w:rPr>
          <w:rFonts w:ascii="LMRoman10" w:hAnsi="LMRoman10" w:cs="LMRoman10"/>
        </w:rPr>
        <w:t>é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CSI faible dose indiqués dès l'asthme persistant léger ; éducation + éviction des facteurs + sevrage tabagique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FAUX : « LABA seul </w:t>
      </w:r>
      <w:r w:rsidRPr="00496BB9">
        <w:rPr>
          <w:rFonts w:ascii="LMRoman10" w:hAnsi="LMRoman10"/>
          <w:i/>
          <w:iCs/>
          <w:color w:val="B45309"/>
        </w:rPr>
        <w:t>en 1re intention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corticothérapie orale en traitement de fond en 1re intention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M22Q26, M20Q15, Jn23Q33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13] AINS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~2.07 Q/examen (29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AINS chez le sujet à HAUT risque (âgé, ATCD CV/AVC, IR, antiagrégant)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Sujet avec ATCD </w:t>
      </w:r>
      <w:r w:rsidRPr="00496BB9">
        <w:rPr>
          <w:rFonts w:ascii="LMRoman10" w:hAnsi="LMRoman10"/>
        </w:rPr>
        <w:t>d'AVC/AVCI sous antiagrégant, artériopathie → AINS CONTRE-INDIQUÉS (chercher une alternative)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Crise de goutte chez patient à comorbidités/IR avec colchicine impossible → AINS souvent CI ; alternative = corticoïde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prescrire un coxib/diclofénac « qu</w:t>
      </w:r>
      <w:r w:rsidRPr="00496BB9">
        <w:rPr>
          <w:rFonts w:ascii="LMRoman10" w:hAnsi="LMRoman10"/>
          <w:i/>
          <w:iCs/>
          <w:color w:val="B45309"/>
        </w:rPr>
        <w:t>and même » en arrêtant l'antiagrégant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Réponse fréquente du concours : « E — aucune réponse / alternative aux AINS contre-indiqués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N25Q7/8, Jn24Q8, D24Q8, Jn23Q22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Règles de prescription dans un rhumatisme inflammatoire (spondyloarthrite)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AINS </w:t>
      </w:r>
      <w:r w:rsidRPr="00496BB9">
        <w:rPr>
          <w:rFonts w:ascii="LMRoman10" w:hAnsi="LMRoman10"/>
        </w:rPr>
        <w:t>lors des POUSSÉES, à la dose minimale efficace, durée la plus courte, réévaluation régulière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Voie IM courte (</w:t>
      </w:r>
      <w:r w:rsidRPr="00496BB9">
        <w:rPr>
          <w:rFonts w:ascii="Courier New" w:hAnsi="Courier New" w:cs="Courier New"/>
        </w:rPr>
        <w:t>≈</w:t>
      </w:r>
      <w:r w:rsidRPr="00496BB9">
        <w:rPr>
          <w:rFonts w:ascii="LMRoman10" w:hAnsi="LMRoman10"/>
        </w:rPr>
        <w:t xml:space="preserve"> 3 jours) puis relais ORAL ; ne pas poursuivre en r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mission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AINS à vie / en continu même en rémission pour prévenir l'ankylose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</w:t>
      </w:r>
      <w:r w:rsidRPr="00496BB9">
        <w:rPr>
          <w:rFonts w:ascii="LMRoman10" w:hAnsi="LMRoman10"/>
          <w:i/>
          <w:iCs/>
          <w:color w:val="B45309"/>
        </w:rPr>
        <w:t xml:space="preserve"> : « IM pendant toute la poussée / 7 jours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M24Q5, Nv24Q5, M22Q6, Jn23Q21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digestif &amp; précautions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FdR : âge &gt; 65 ans, ATCD d'ulcère, infection H. pylori, tabac, co-prescription corticoïdes/anticoagulants/aspirine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Précautions : IPP associé, dose minimale, durée courte, évaluer fonction rénale et TA, éducation anti-automédication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l'âge JEUNE » comme facteur de risque digestif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mêmes précautions que chez le sujet jeune » pour le sujet âgé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>M24Q6, Nv24Q6, M23Q36, Jn22Q4, Jn19Q40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14] ANTIBIOTHÉRAPIE — PRINCIPES &amp; ÉCHECS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~2.00 Q/examen (28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d'une ASSOCIATION d'antibiotiques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Tuberculose, sepsis à Pseudomonas aeruginosa, fièvre chez le neutropénique → association oblig</w:t>
      </w:r>
      <w:r w:rsidRPr="00496BB9">
        <w:rPr>
          <w:rFonts w:ascii="LMRoman10" w:hAnsi="LMRoman10"/>
        </w:rPr>
        <w:t>atoire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association systématique pour une cystite ou une pneumonie simple du sujet jeune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M24Q31, Nv24Q31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Voie INTRAVEINEUSE d'emblée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Méningite à pneumocoque, sepsis à BGN, endocardite → voie IV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Démarrer avant la confirmation microbiologiq</w:t>
      </w:r>
      <w:r w:rsidRPr="00496BB9">
        <w:rPr>
          <w:rFonts w:ascii="LMRoman10" w:hAnsi="LMRoman10"/>
        </w:rPr>
        <w:t>ue dans le sepsis ; ATB bactéricide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voie IV pour une angine streptococcique ou une cystite simple (voie orale)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Jn24Q47, D24Q47, M21Q41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de l'ÉCHEC de l'antibiothérapie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VRAI échec lié à : la BACTÉRIE (résistance acquise, err</w:t>
      </w:r>
      <w:r w:rsidRPr="00496BB9">
        <w:rPr>
          <w:rFonts w:ascii="LMRoman10" w:hAnsi="LMRoman10"/>
        </w:rPr>
        <w:t>eur d'identification), le TRAITEMENT (posologie/durée insuffisante), le FOYER (collection, corps étranger, lithiase, métastases septiques, abcès), le MALADE (immunodépression/terrain)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FAUX échec : fièvre d'autre origine (thrombophlébite, veinite, fièvre mé</w:t>
      </w:r>
      <w:r w:rsidRPr="00496BB9">
        <w:rPr>
          <w:rFonts w:ascii="LMRoman10" w:hAnsi="LMRoman10"/>
        </w:rPr>
        <w:t>dicamenteuse) avec régression du syndrome inflammatoire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Une infection à Candida ou une fièvre médicamenteuse N'EST PAS un échec lié au foyer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Foyer profond (abcès/empyème) → drainage CHIRURGICAL, pas seulement changer d'ATB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N25Q31/32, M23Q45, M21Q43/44, M20Q30, M18Q31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Surveillance &amp; antibiothérapie courte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Réévaluation systématique à 48–72 h (efficacité ET tolérance) ; ARRÊT FRANC, sans dégression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Antibiothérapie courte : favorise l'observance, préserve l'écologie, peu coûteuse (ex : cystite simple)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arrêt par dégression progressive des posologies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antibiothérapie courte pour une arthrite septique (infection profonde = durée long</w:t>
      </w:r>
      <w:r w:rsidRPr="00496BB9">
        <w:rPr>
          <w:rFonts w:ascii="LMRoman10" w:hAnsi="LMRoman10"/>
          <w:i/>
          <w:iCs/>
          <w:color w:val="B45309"/>
        </w:rPr>
        <w:t>ue)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Jn23Q43, M23Q46, N25Q31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15] UGD &amp; HELICOBACTER PYLORI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~1.86 Q/examen (26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Éradication de H. pylori — protocole de 1re intention (sans antibiogramme)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1re intention : QUADRITHÉRAPIE bismuthée (Pylera®) OU quadrithérapie concomitan</w:t>
      </w:r>
      <w:r w:rsidRPr="00496BB9">
        <w:rPr>
          <w:rFonts w:ascii="LMRoman10" w:hAnsi="LMRoman10"/>
        </w:rPr>
        <w:t>te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ALLERGIE à la pénicilline → QUADRITHÉRAPIE BISMUTHÉE (sans amoxicilline)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trithérapie standard amoxicilline-clarithromycine en 1re intention (résistance clarithromycine élevée)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N25Q21, Jn24Q50, M23Q34, M21Q20, M20Q37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Résistances des anti</w:t>
      </w: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biotiques anti-H. pylori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Cause principale d'échec : RÉSISTANCE à la CLARITHROMYCINE (et non-observance)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AMOXICILLINE : résistance EXCEPTIONNELLE/rare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résistance fréquente à l'amoxicilline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désigner le métronidazole comme l'ATB sans r</w:t>
      </w:r>
      <w:r w:rsidRPr="00496BB9">
        <w:rPr>
          <w:rFonts w:ascii="LMRoman10" w:hAnsi="LMRoman10"/>
          <w:i/>
          <w:iCs/>
          <w:color w:val="B45309"/>
        </w:rPr>
        <w:t>ésistance (c'est l'amoxicilline)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Jn22Q3, M21Q21, M20Q35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IPP &amp; cytochrome 2C19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ÉSOMÉPRAZOLE et RABÉPRAZOLE : efficacité peu dépendante du polymorphisme du CYP2C19 → à privilégier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IPP poursuivis 4 semaines après l'éradication dans l'ulcère gastrique ; contrôle d'éradication systématique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IPP pris APRÈS le repas » (les IPP se prennent AVANT le repas)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Jn24Q49, D24Q49, M20Q36, M24Q37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Composition de la quadrithérapie b</w:t>
      </w: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ismuthée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Sous-citrate de bismuth + métronidazole + tétracycline (chlorhydrate) + IPP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y inclure l'amoxicilline ou la clarithromycine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Jn20Q2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16] OMA — OTITE MOYENNE AIGUË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~1.79 Q/examen (25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Antibiotique de 1re intention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AMOXICILLINE en 1re intention (enfant : 80–90 mg/Kg/j)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Alternatives : amoxicilline-acide clavulanique, céfuroxime axétil (selon contexte)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moxifloxacine / cotrimoxazole / ciprofloxacine en 1re intention de l'OMA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5×+ : M20Q19, Jn20Q36, Jn19Q24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>, M23Q13, M22Q46, Jn23Q35, Jn22Q50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Arsenal thérapeutique global de l'OMA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Antalgiques/antipyrétiques, désinfection rhinopharyngée (sérum physiologique), corticothérapie orale courte, paracentèse, mastoïdectomie (compliquée)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Tous ces moyens peuvent faire</w:t>
      </w:r>
      <w:r w:rsidRPr="00496BB9">
        <w:rPr>
          <w:rFonts w:ascii="LMRoman10" w:hAnsi="LMRoman10"/>
          <w:i/>
          <w:iCs/>
          <w:color w:val="B45309"/>
        </w:rPr>
        <w:t xml:space="preserve"> partie de la PEC selon la gravité (réponse « A,B,C,D,E » fréquente)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6× : M24Q27, Jn24Q33, Nv24Q27, D24Q33, Jn23Q37, M21Q38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de la PARACENTÈSE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Otite COMPLIQUÉE, otite hyperalgique, otite traînante, échec thérapeutique, nourrisson &lt; 3 moi</w:t>
      </w:r>
      <w:r w:rsidRPr="00496BB9">
        <w:rPr>
          <w:rFonts w:ascii="LMRoman10" w:hAnsi="LMRoman10"/>
        </w:rPr>
        <w:t>s, déficit immunitaire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paracentèse devant une otite CONGESTIVE (stade congestif = pas de paracentèse)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M23Q15, M22Q48, M20Q21, Jn19Q25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Échec à 72 h (tympan bombant persistant)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Chercher une MAUVAISE OBSERVANCE, puis indiquer une PARACENTÈSE (documentation + drainage)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mastoïdectomie ou TDM du rocher d'emblée à 72 h sans complication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Jn20Q38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17] DOULEUR THORACIQUE AIGUË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~1.21 Q/examen (17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</w:t>
      </w: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de la THROMBOLYSE IV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SCA avec sus-décalage PERSISTANT du segment ST (SCA ST+), jusqu'à H12, si angioplastie non disponible à temps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Embolie pulmonaire GRAVE avec état de choc / hypotension persistante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thrombolyse dans le SCA ST− (même à haut risque) → c'est l'angioplastie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thrombolyse dans la dissection aortique ou la péricardite (CI absolue)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M24Q32, Nv24Q32, N25Q27, Jn24Q16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DISSECTION AORTIQUE — prise en charge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Type A → traitem</w:t>
      </w:r>
      <w:r w:rsidRPr="00496BB9">
        <w:rPr>
          <w:rFonts w:ascii="LMRoman10" w:hAnsi="LMRoman10"/>
        </w:rPr>
        <w:t>ent MÉDICO-CHIRURGICAL (urgence chirurgicale) ; Type B → médical (BB IV, inhibiteur calcique IV)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Objectifs : PAS &lt; 120 mmHg et FC &lt; 60 bpm ; angioscanner thoracique = examen de référence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traitement de la dissection type A est médical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FAUX : </w:t>
      </w:r>
      <w:r w:rsidRPr="00496BB9">
        <w:rPr>
          <w:rFonts w:ascii="LMRoman10" w:hAnsi="LMRoman10"/>
          <w:i/>
          <w:iCs/>
          <w:color w:val="B45309"/>
        </w:rPr>
        <w:t>« anticoagulation par énoxaparine/HNF systématique à l'admission » (CI dans la dissection)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M24Q33, Nv24Q33, Jn24Q17, D24Q17, Jn22Q7/27, M23Q8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Ténectéplase (Métalyse®) — dose selon le poids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Dose adaptée au poids : 60–69 Kg → 35 mg ; 70–79 Kg → 40 </w:t>
      </w:r>
      <w:r w:rsidRPr="00496BB9">
        <w:rPr>
          <w:rFonts w:ascii="LMRoman10" w:hAnsi="LMRoman10"/>
        </w:rPr>
        <w:t>mg ; 80–89 Kg → 45 mg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Patient 85 Kg → 45 mg ; 65 Kg → 35 mg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Piège récurrent du concours : associer le bon palier de poids à la bonne dose en mg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Jn24Q18, D24Q18, N25Q29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RIVAROXABAN dans l'embolie pulmonaire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Inhibiteur du facteur Xa ; schéma 15 mg × 2/j pendant 21 jours, puis 20 mg/j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CI si DFG &lt; 15 ml/min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inhibe le facteur II » (c'est le Xa)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15 mg × 2/j pendant 7 jours » (c'est 21 jours)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N25Q28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18] ANGINE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~1.14 Q/exame</w:t>
      </w: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n (16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Antibiotique de 1re intention (angine streptococcique)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AMOXICILLINE = traitement court de référence (6 jours)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Enfant 10 Kg : amoxicilline 50 mg/Kg/j (ex : 500 mg en 2 prises)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pénicilline V / amox-clav / céfuroxime / quinolone en 1re intention (c'est l'amoxicilline)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5×+ : M24Q25, Jn24Q31, Nv24Q25, D24Q31, M21Q36, M22Q45, M18Q45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Allergie aux bêtalactamines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MACROLIDE en cas d'allergie aux bêtalactamines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C3G</w:t>
      </w:r>
      <w:r w:rsidRPr="00496BB9">
        <w:rPr>
          <w:rFonts w:ascii="LMRoman10" w:hAnsi="LMRoman10"/>
          <w:i/>
          <w:iCs/>
          <w:color w:val="B45309"/>
        </w:rPr>
        <w:t xml:space="preserve"> ou amox-clav chez l'allergique aux bêtalactamines (allergie croisée possible)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M23Q12, Jn22Q47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Pourquoi traiter l'angine streptococcique ?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Objectif principal = prévention du RHUMATISME ARTICULAIRE AIGU (RAA) et des complications post-streptococciqu</w:t>
      </w:r>
      <w:r w:rsidRPr="00496BB9">
        <w:rPr>
          <w:rFonts w:ascii="LMRoman10" w:hAnsi="LMRoman10"/>
        </w:rPr>
        <w:t>es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parce que l'origine bactérienne est la plus fréquente » (la majorité des angines sont virales)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M18Q36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19] SCA — SYNDROME CORONARIEN AIGU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~1.07 Q/examen (15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Thrombolyse dans le SCA ST+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Indiquée dans le SCA ST+ jusqu'à H12, d'autant plus efficace qu'elle est précoce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Associée à une ANTICOAGULATION + double antiagrégation ; dose de charge CLOPIDOGREL = 300 mg PER OS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pas d'anticoagulant associé à la thrombolyse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clopidog</w:t>
      </w:r>
      <w:r w:rsidRPr="00496BB9">
        <w:rPr>
          <w:rFonts w:ascii="LMRoman10" w:hAnsi="LMRoman10"/>
          <w:i/>
          <w:iCs/>
          <w:color w:val="B45309"/>
        </w:rPr>
        <w:t>rel « 300 mg en IV » (la dose de charge est orale)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M23Q5, Jn23Q2, D24Q16, M22Q11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Antiagrégants &amp; anticoagulants — classes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lastRenderedPageBreak/>
        <w:t>Antiagrégants plaquettaires : ASPIRINE + CLOPIDOGREL (et autres inhibiteurs P2Y12)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AOD (anticoagulant oral direct) : APIXABA</w:t>
      </w:r>
      <w:r w:rsidRPr="00496BB9">
        <w:rPr>
          <w:rFonts w:ascii="LMRoman10" w:hAnsi="LMRoman10"/>
        </w:rPr>
        <w:t>N, rivaroxaban (l'énoxaparine est une HBPM, le Sintrom® un AVK)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classer héparine / bêtabloquant / digitalique parmi les antiagrégants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Sintrom® / énoxaparine / aspirine comme « AOD »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M23Q6, Jn23Q3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Objectif lipidique après un SCA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Cible LDL-cholestérol &lt; 0,55 g/l (et réduction </w:t>
      </w:r>
      <w:r w:rsidRPr="00496BB9">
        <w:rPr>
          <w:rFonts w:ascii="Courier New" w:hAnsi="Courier New" w:cs="Courier New"/>
        </w:rPr>
        <w:t>≥</w:t>
      </w:r>
      <w:r w:rsidRPr="00496BB9">
        <w:rPr>
          <w:rFonts w:ascii="LMRoman10" w:hAnsi="LMRoman10"/>
        </w:rPr>
        <w:t xml:space="preserve"> 50 %) </w:t>
      </w:r>
      <w:r w:rsidRPr="00496BB9">
        <w:rPr>
          <w:rFonts w:ascii="LMRoman10" w:hAnsi="LMRoman10" w:cs="LMRoman10"/>
        </w:rPr>
        <w:t>→</w:t>
      </w:r>
      <w:r w:rsidRPr="00496BB9">
        <w:rPr>
          <w:rFonts w:ascii="LMRoman10" w:hAnsi="LMRoman10"/>
        </w:rPr>
        <w:t xml:space="preserve"> statine de forte intensit</w:t>
      </w:r>
      <w:r w:rsidRPr="00496BB9">
        <w:rPr>
          <w:rFonts w:ascii="LMRoman10" w:hAnsi="LMRoman10" w:cs="LMRoman10"/>
        </w:rPr>
        <w:t>é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cibles « &lt; 0,7 g/l » ou « &lt; 1 g/l » après SCA (la cible post-SCA est &lt; 0,55 g/l)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Jn22Q9, Jn22Q29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Ténectéplase — dose selon poids (rappel)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85 Kg → 45 mg ; 65 Kg → 35 mg (cf. fiche Douleur thoracique aiguë)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Même piège dose/poids que dans la dissection/IDM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M24Q34, Nv24Q34, N25Q29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20] RGO — REFLUX GASTRO-ŒSOPHAGIEN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~1.07 Q/examen (15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Pyrosis isolé sans signe d'alarme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</w:t>
      </w:r>
      <w:r w:rsidRPr="00496BB9">
        <w:rPr>
          <w:rFonts w:ascii="LMRoman10" w:hAnsi="LMRoman10"/>
        </w:rPr>
        <w:t>ujet JEUNE (&lt; 50 ans) sans signe d'alarme → IPP / antiH2 d'épreuve SANS endoscopie préalable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Sujet &gt; 50 ans OU signes d'alarme → ENDOSCOPIE (FOGD) en 1re intention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endoscopie systématique chez le jeune avec pyrosis isolé sans alarme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Attention : </w:t>
      </w:r>
      <w:r w:rsidRPr="00496BB9">
        <w:rPr>
          <w:rFonts w:ascii="LMRoman10" w:hAnsi="LMRoman10"/>
          <w:i/>
          <w:iCs/>
          <w:color w:val="B45309"/>
        </w:rPr>
        <w:t xml:space="preserve">si âge </w:t>
      </w:r>
      <w:r w:rsidRPr="00496BB9">
        <w:rPr>
          <w:rFonts w:ascii="Courier New" w:hAnsi="Courier New" w:cs="Courier New"/>
          <w:i/>
          <w:iCs/>
          <w:color w:val="B45309"/>
        </w:rPr>
        <w:t>≥</w:t>
      </w:r>
      <w:r w:rsidRPr="00496BB9">
        <w:rPr>
          <w:rFonts w:ascii="LMRoman10" w:hAnsi="LMRoman10"/>
          <w:i/>
          <w:iCs/>
          <w:color w:val="B45309"/>
        </w:rPr>
        <w:t xml:space="preserve"> 50 ans </w:t>
      </w:r>
      <w:r w:rsidRPr="00496BB9">
        <w:rPr>
          <w:rFonts w:ascii="LMRoman10" w:hAnsi="LMRoman10" w:cs="LMRoman10"/>
          <w:i/>
          <w:iCs/>
          <w:color w:val="B45309"/>
        </w:rPr>
        <w:t>→</w:t>
      </w:r>
      <w:r w:rsidRPr="00496BB9">
        <w:rPr>
          <w:rFonts w:ascii="LMRoman10" w:hAnsi="LMRoman10"/>
          <w:i/>
          <w:iCs/>
          <w:color w:val="B45309"/>
        </w:rPr>
        <w:t xml:space="preserve"> la FOGD devient la bonne r</w:t>
      </w:r>
      <w:r w:rsidRPr="00496BB9">
        <w:rPr>
          <w:rFonts w:ascii="LMRoman10" w:hAnsi="LMRoman10" w:cs="LMRoman10"/>
          <w:i/>
          <w:iCs/>
          <w:color w:val="B45309"/>
        </w:rPr>
        <w:t>é</w:t>
      </w:r>
      <w:r w:rsidRPr="00496BB9">
        <w:rPr>
          <w:rFonts w:ascii="LMRoman10" w:hAnsi="LMRoman10"/>
          <w:i/>
          <w:iCs/>
          <w:color w:val="B45309"/>
        </w:rPr>
        <w:t>ponse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Jn19Q47, Jn20Q4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Œsophagite peptique SÉVÈRE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IPP indispensables (cicatrisation muqueuse) + mesures hygiéno-diététiques et posturales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Traitement d'entretien par IPP si poussées fréquentes/rapprochée</w:t>
      </w:r>
      <w:r w:rsidRPr="00496BB9">
        <w:rPr>
          <w:rFonts w:ascii="LMRoman10" w:hAnsi="LMRoman10"/>
        </w:rPr>
        <w:t>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antiH2 « efficaces dans l'œsophagite sévère » (insuffisants → IPP)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alginates/antiacides pour cicatriser la muqueuse (ils ne font que soulager)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M23Q33, M22Q15, M24Q36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Endobrachyœsophage (Barrett)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IPP forte dose + SURVEILLANCE e</w:t>
      </w:r>
      <w:r w:rsidRPr="00496BB9">
        <w:rPr>
          <w:rFonts w:ascii="LMRoman10" w:hAnsi="LMRoman10"/>
        </w:rPr>
        <w:t>ndoscopique ; risque d'ADÉNOCARCINOME œsophagien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traitement chirurgical systématique » de l'EBO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M21Q23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Alginates &amp; antiH2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Alginates : neutralisation locale des H+, pris APRÈS le repas, soulagent les symptômes intermittents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AntiH2 : utiles dans les formes à poussées rapprochées, associables aux alginates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alginates « permettent la cicatrisation des lésions » (rôle purement symptomatique)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M21Q22, M22Q17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21] SINUSITE &amp; RHINITE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~1.00 Q/examen (14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S</w:t>
      </w: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inusite maxillaire aiguë — 1re intention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AMOXICILLINE-ACIDE CLAVULANIQUE en 1re intention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moxifloxacine / C1G / sulfamide / macrolide en 1re intention de la sinusite maxillaire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5×+ : M24Q24, Jn24Q30, Nv24Q24, D24Q30, M21Q35, M23Q14, M20Q20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Échec ou sinusite frontale → 2e intention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Quinolone de dernière génération (lévofloxacine, moxifloxacine) en cas d'échec de l'amox-clav ou de sinusite frontale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céphalosporine de 1re génération / cycline / aminoside en 2e intention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Jn22Q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>48, M18Q43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RHINITE allergique — paliers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Intermittente minime → ANTIHISTAMINIQUE en 1re intention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Persistante modérée à sévère → corticothérapie NASALE ± générale, immunothérapie spécifique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cromones seuls en 1re intention dans les formes modérées</w:t>
      </w:r>
      <w:r w:rsidRPr="00496BB9">
        <w:rPr>
          <w:rFonts w:ascii="LMRoman10" w:hAnsi="LMRoman10"/>
          <w:i/>
          <w:iCs/>
          <w:color w:val="B45309"/>
        </w:rPr>
        <w:t>/sévères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Jn19Q23, M18Q44</w:t>
      </w:r>
    </w:p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[RANG 22] IRC &amp; TROUBLES MÉTABOLIQUES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~0.71 Q/examen (10 Q)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Anémie de l'IRC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Agents stimulant l'érythropoïèse (ASE) dès Hb &lt; 10 g/dl + correction du déficit en fer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Cible Hb modérée (</w:t>
      </w:r>
      <w:r w:rsidRPr="00496BB9">
        <w:rPr>
          <w:rFonts w:ascii="Courier New" w:hAnsi="Courier New" w:cs="Courier New"/>
        </w:rPr>
        <w:t>≈</w:t>
      </w:r>
      <w:r w:rsidRPr="00496BB9">
        <w:rPr>
          <w:rFonts w:ascii="LMRoman10" w:hAnsi="LMRoman10"/>
        </w:rPr>
        <w:t xml:space="preserve"> 10</w:t>
      </w:r>
      <w:r w:rsidRPr="00496BB9">
        <w:rPr>
          <w:rFonts w:ascii="LMRoman10" w:hAnsi="LMRoman10" w:cs="LMRoman10"/>
        </w:rPr>
        <w:t>–</w:t>
      </w:r>
      <w:r w:rsidRPr="00496BB9">
        <w:rPr>
          <w:rFonts w:ascii="LMRoman10" w:hAnsi="LMRoman10"/>
        </w:rPr>
        <w:t xml:space="preserve">11,5 g/dl), 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viter &gt; 13 g/dl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démarrer les ASE quand Hb &gt; 11,5 » / « viser Hb &gt; 13 g/dl »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encourager les transfusions » (risque d'allo-immunisation pré-greffe)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Jn19Q5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Métabolisme phosphocalcique &amp; dyslipidémie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Contrôle du phosphore (&lt; 50 mg/l), chélateur</w:t>
      </w:r>
      <w:r w:rsidRPr="00496BB9">
        <w:rPr>
          <w:rFonts w:ascii="LMRoman10" w:hAnsi="LMRoman10"/>
        </w:rPr>
        <w:t>s du phosphore, 1</w:t>
      </w:r>
      <w:r w:rsidRPr="00496BB9">
        <w:rPr>
          <w:rFonts w:ascii="Courier New" w:hAnsi="Courier New" w:cs="Courier New"/>
        </w:rPr>
        <w:t>α</w:t>
      </w:r>
      <w:r w:rsidRPr="00496BB9">
        <w:rPr>
          <w:rFonts w:ascii="LMRoman10" w:hAnsi="LMRoman10"/>
        </w:rPr>
        <w:t>-OH-vitamine D3, PTH cible 3</w:t>
      </w:r>
      <w:r w:rsidRPr="00496BB9">
        <w:rPr>
          <w:rFonts w:ascii="LMRoman10" w:hAnsi="LMRoman10" w:cs="LMRoman10"/>
        </w:rPr>
        <w:t>–</w:t>
      </w:r>
      <w:r w:rsidRPr="00496BB9">
        <w:rPr>
          <w:rFonts w:ascii="LMRoman10" w:hAnsi="LMRoman10"/>
        </w:rPr>
        <w:t>6</w:t>
      </w:r>
      <w:r w:rsidRPr="00496BB9">
        <w:rPr>
          <w:rFonts w:ascii="LMRoman10" w:hAnsi="LMRoman10" w:cs="LMRoman10"/>
        </w:rPr>
        <w:t>×</w:t>
      </w:r>
      <w:r w:rsidRPr="00496BB9">
        <w:rPr>
          <w:rFonts w:ascii="LMRoman10" w:hAnsi="LMRoman10"/>
        </w:rPr>
        <w:t xml:space="preserve"> la normale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Dyslipidémie : statine ± ézétimibe, cible LDL-C &lt; 0,70 g/l (70 mg/dl)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éviction des statines » dans l'IRC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restriction calcique stricte comme mesure principale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Jn19Q6, M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>18Q49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Méthodes d'épuration extra-rénale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Hémodialyse : circulation extracorporelle, membrane (surface d'échange artificielle), abord vasculaire permanent (FAV)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Dialyse péritonéale : diffusion-osmose, accès péritonéal permanent, ascite artificielle, contin</w:t>
      </w:r>
      <w:r w:rsidRPr="00496BB9">
        <w:rPr>
          <w:rFonts w:ascii="LMRoman10" w:hAnsi="LMRoman10"/>
        </w:rPr>
        <w:t>ue ou intermittente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l'EER « corrige les fonctions endocrines » du rein (elle remplace surtout l'épuration)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hémodialyse « tous les jours » (séances périodiques, ~3×/semaine)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Jn19Q7, Jn19Q8, M18Q48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Urgence : HYPERKALIÉMIE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Gluconat</w:t>
      </w:r>
      <w:r w:rsidRPr="00496BB9">
        <w:rPr>
          <w:rFonts w:ascii="LMRoman10" w:hAnsi="LMRoman10"/>
        </w:rPr>
        <w:t>e de calcium (protection myocardique), sérum bicarbonaté, sérum glucosé + insuline, résines échangeuses de K+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diurétiques thiazidiques » pour traiter l'hyperkaliémie aiguë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M18Q47</w:t>
      </w:r>
    </w:p>
    <w:p w:rsidR="00330851" w:rsidRPr="00496BB9" w:rsidRDefault="00496BB9">
      <w:pPr>
        <w:rPr>
          <w:rFonts w:ascii="LMRoman10" w:hAnsi="LMRoman10"/>
        </w:rPr>
      </w:pPr>
      <w:r w:rsidRPr="00496BB9">
        <w:rPr>
          <w:rFonts w:ascii="LMRoman10" w:hAnsi="LMRoman10"/>
        </w:rPr>
        <w:lastRenderedPageBreak/>
        <w:br w:type="page"/>
      </w:r>
    </w:p>
    <w:p w:rsidR="00330851" w:rsidRPr="00496BB9" w:rsidRDefault="00496BB9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</w:t>
      </w:r>
      <w:r w:rsidRPr="00496BB9">
        <w:rPr>
          <w:rFonts w:ascii="LMRoman10" w:hAnsi="LMRoman10"/>
          <w:b/>
          <w:bCs/>
          <w:color w:val="FFFFFF"/>
          <w:sz w:val="24"/>
          <w:szCs w:val="24"/>
        </w:rPr>
        <w:t>NULÉ)</w:t>
      </w:r>
    </w:p>
    <w:p w:rsidR="00330851" w:rsidRPr="00496BB9" w:rsidRDefault="00496BB9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496BB9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496BB9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330851" w:rsidRPr="00496BB9" w:rsidRDefault="00496BB9">
      <w:pPr>
        <w:spacing w:before="80" w:after="12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330851" w:rsidRPr="00496BB9" w:rsidRDefault="00496BB9">
      <w:pPr>
        <w:spacing w:before="120" w:after="60"/>
        <w:rPr>
          <w:rFonts w:ascii="LMRoman10" w:hAnsi="LMRoman10"/>
        </w:rPr>
      </w:pPr>
      <w:r w:rsidRPr="00496BB9">
        <w:rPr>
          <w:rFonts w:ascii="LMRoman10" w:hAnsi="LMRoman10"/>
          <w:i/>
          <w:iCs/>
          <w:color w:val="000000"/>
        </w:rPr>
        <w:t>Ces topics représentaient historiquement ~0.14% des questions des examens passés. S'ils ne sont PAS au programme cette année, ils peuvent malgré tout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Apparaître en question résiduelle ou rattrapage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Être recyclés à la dernière minute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Servir de "culture gé</w:t>
      </w:r>
      <w:r w:rsidRPr="00496BB9">
        <w:rPr>
          <w:rFonts w:ascii="LMRoman10" w:hAnsi="LMRoman10"/>
        </w:rPr>
        <w:t>nérale" médicale</w:t>
      </w:r>
    </w:p>
    <w:p w:rsidR="00330851" w:rsidRPr="00496BB9" w:rsidRDefault="00496BB9">
      <w:pPr>
        <w:spacing w:before="20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000000"/>
        </w:rPr>
        <w:t>Topics hors programme 2026 (par fréquence décroissante)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  <w:gridCol w:w="1600"/>
        <w:gridCol w:w="2260"/>
      </w:tblGrid>
      <w:tr w:rsidR="00330851" w:rsidRPr="00496BB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Topic (hors programme)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Question transversale / hors-thème (AVC ischémique)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1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jc w:val="center"/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0.07</w:t>
            </w:r>
          </w:p>
        </w:tc>
      </w:tr>
    </w:tbl>
    <w:p w:rsidR="00330851" w:rsidRPr="00496BB9" w:rsidRDefault="00496BB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96BB9">
        <w:rPr>
          <w:rFonts w:ascii="LMRoman10" w:hAnsi="LMRoman10"/>
        </w:rPr>
        <w:t>[HORS 1] QUESTION INCLASSIFIABLE — AVC ISCHÉMIQUE AVEC TRANSFORMATION HÉMORRAGIQUE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1 question — item transversal, hors chapitre thérapeutique dédié</w:t>
      </w:r>
    </w:p>
    <w:p w:rsidR="00330851" w:rsidRPr="00496BB9" w:rsidRDefault="00496BB9">
      <w:pPr>
        <w:spacing w:before="16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8B0000"/>
          <w:sz w:val="22"/>
          <w:szCs w:val="22"/>
          <w:u w:val="single"/>
        </w:rPr>
        <w:t>AVC ischémique sylvien total avec infarcissement hémorragique (Glasgow 9) :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Présence d'une transformation HÉ</w:t>
      </w:r>
      <w:r w:rsidRPr="00496BB9">
        <w:rPr>
          <w:rFonts w:ascii="LMRoman10" w:hAnsi="LMRoman10"/>
        </w:rPr>
        <w:t>MORRAGIQUE → thrombolyse et anticoagulants CONTRE-INDIQUÉS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Prise en charge : oxygénothérapie + rééducation motrice (mesures de soutien), unité neuro-vasculaire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thrombolyse » (CI absolue en présence d'hémorragie)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FAUX : « anticoagulants » (aggr</w:t>
      </w:r>
      <w:r w:rsidRPr="00496BB9">
        <w:rPr>
          <w:rFonts w:ascii="LMRoman10" w:hAnsi="LMRoman10"/>
          <w:i/>
          <w:iCs/>
          <w:color w:val="B45309"/>
        </w:rPr>
        <w:t>avent le saignement)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Ne pas baisser brutalement la TA en phase aiguë d'AVC ischémique</w:t>
      </w:r>
    </w:p>
    <w:p w:rsidR="00330851" w:rsidRPr="00496BB9" w:rsidRDefault="00496BB9">
      <w:pPr>
        <w:spacing w:before="2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96BB9">
        <w:rPr>
          <w:rFonts w:ascii="LMRoman10" w:hAnsi="LMRoman10"/>
          <w:i/>
          <w:iCs/>
          <w:color w:val="404040"/>
          <w:sz w:val="18"/>
          <w:szCs w:val="18"/>
        </w:rPr>
        <w:t xml:space="preserve"> Vu : M18Q15 (question isolée, non rattachée à un chapitre du module)</w:t>
      </w:r>
    </w:p>
    <w:p w:rsidR="00330851" w:rsidRPr="00496BB9" w:rsidRDefault="00496BB9">
      <w:pPr>
        <w:rPr>
          <w:rFonts w:ascii="LMRoman10" w:hAnsi="LMRoman10"/>
        </w:rPr>
      </w:pPr>
      <w:r w:rsidRPr="00496BB9">
        <w:rPr>
          <w:rFonts w:ascii="LMRoman10" w:hAnsi="LMRoman10"/>
        </w:rPr>
        <w:br w:type="page"/>
      </w:r>
    </w:p>
    <w:p w:rsidR="00330851" w:rsidRPr="00496BB9" w:rsidRDefault="00496BB9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THÉRAPEUTIQUE</w:t>
      </w:r>
    </w:p>
    <w:p w:rsidR="00330851" w:rsidRPr="00496BB9" w:rsidRDefault="00496BB9">
      <w:pPr>
        <w:pStyle w:val="Heading2"/>
        <w:rPr>
          <w:rFonts w:ascii="LMRoman10" w:hAnsi="LMRoman10"/>
        </w:rPr>
      </w:pPr>
      <w:r w:rsidRPr="00496BB9">
        <w:rPr>
          <w:rFonts w:ascii="LMRoman10" w:hAnsi="LMRoman10"/>
        </w:rPr>
        <w:t>** PROTOCOLES &amp; SCHÉMAS POSOLOGIQUES À RETENIR PAR CŒUR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Tuberculose commune / pleurale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2RHZE / 4RH (6 mois)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Tuberculose ostéo-articulaire / neuroméningée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2RHZE / 7RH (9 mois)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Posologies antibacillaires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 10 — H 5 — Z 25-30 — E 15-20 (mg/Kg/j)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L-Thyroxine post-op (sujet jeune)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1,5 à 2 </w:t>
            </w:r>
            <w:r w:rsidRPr="00496BB9">
              <w:rPr>
                <w:rFonts w:ascii="Calibri" w:hAnsi="Calibri" w:cs="Calibri"/>
                <w:b/>
                <w:bCs/>
                <w:color w:val="8B0000"/>
                <w:sz w:val="18"/>
                <w:szCs w:val="18"/>
              </w:rPr>
              <w:t>µ</w:t>
            </w: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g/Kg/j, le matin </w:t>
            </w:r>
            <w:r w:rsidRPr="00496BB9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à</w:t>
            </w: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jeun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Carbimazole — attaque Basedow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20 à 40 mg/j (PAS mg/Kg/j)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Pneumonie jeune sain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Amoxicilline 3 g/j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Pneumonie comorbidités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Amoxicilline-acide clavulanique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Ténectéplase (Métalyse®)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65Kg→35mg · 75Kg→40mg · 85Kg→45mg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Clopidogrel — charge (thrombolyse SCA ST+)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300 mg PER OS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Rivaroxaban — EP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mg ×2/j × 21 j puis 20 mg/j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Spironolactone — HTA résistante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mg (4e ligne)</w:t>
            </w:r>
          </w:p>
        </w:tc>
      </w:tr>
    </w:tbl>
    <w:p w:rsidR="00330851" w:rsidRPr="00496BB9" w:rsidRDefault="00496BB9">
      <w:pPr>
        <w:pStyle w:val="Heading2"/>
        <w:rPr>
          <w:rFonts w:ascii="LMRoman10" w:hAnsi="LMRoman10"/>
        </w:rPr>
      </w:pPr>
      <w:r w:rsidRPr="00496BB9">
        <w:rPr>
          <w:rFonts w:ascii="LMRoman10" w:hAnsi="LMRoman10"/>
        </w:rPr>
        <w:t>** MOLÉCULE DE 1re INTENTION PAR INDICATION (réflexe ATB/traitement)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860"/>
      </w:tblGrid>
      <w:tr w:rsidR="00330851" w:rsidRPr="00496BB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Angine streptococcique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AMOXICILLINE (allergie → macrolide)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OMA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AMOXICILLINE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Sinusite maxillaire aiguë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AMOXICILLINE-ACIDE CLAVULANIQUE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Sinusite frontale / échec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Fluoroquinolone de dernière génération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Migraine — crise spécifique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TRIPTANS (dès le début de la crise)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Migraine fond — hypertendu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PROPRANOLOL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Migraine fond — déprimé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AMITRIPTYLINE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Absence / myoclonie juvénile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VALPROATE de sodium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Épilepsie focale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CARBAMAZÉPINE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Épilepsie + grossesse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LAMOTRIGINE / LÉVÉTIRACÉTAM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Corticothérapie orale au long cours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PREDNISONE (le matin)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H. pylori — 1re intention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QUADRITHÉRAPIE (bismuthée ou concomitante)</w:t>
            </w:r>
          </w:p>
        </w:tc>
      </w:tr>
      <w:tr w:rsidR="00330851" w:rsidRPr="00496B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SCA ST+ (angioplastie indisponible)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0851" w:rsidRPr="00496BB9" w:rsidRDefault="00496BB9">
            <w:pPr>
              <w:rPr>
                <w:rFonts w:ascii="LMRoman10" w:hAnsi="LMRoman10"/>
              </w:rPr>
            </w:pPr>
            <w:r w:rsidRPr="00496BB9">
              <w:rPr>
                <w:rFonts w:ascii="LMRoman10" w:hAnsi="LMRoman10"/>
                <w:color w:val="000000"/>
                <w:sz w:val="18"/>
                <w:szCs w:val="18"/>
              </w:rPr>
              <w:t>THROMBOLYSE jusqu'à H12</w:t>
            </w:r>
          </w:p>
        </w:tc>
      </w:tr>
    </w:tbl>
    <w:p w:rsidR="00330851" w:rsidRPr="00496BB9" w:rsidRDefault="00496BB9">
      <w:pPr>
        <w:pStyle w:val="Heading2"/>
        <w:rPr>
          <w:rFonts w:ascii="LMRoman10" w:hAnsi="LMRoman10"/>
        </w:rPr>
      </w:pPr>
      <w:r w:rsidRPr="00496BB9">
        <w:rPr>
          <w:rFonts w:ascii="LMRoman10" w:hAnsi="LMRoman10"/>
        </w:rPr>
        <w:t>** PIÈGES CLASSIQUES DU CONCOURS (à ne plus jamais rater) **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Unités L-Thyroxine : </w:t>
      </w:r>
      <w:r w:rsidRPr="00496BB9">
        <w:rPr>
          <w:rFonts w:ascii="Calibri" w:hAnsi="Calibri" w:cs="Calibri"/>
          <w:i/>
          <w:iCs/>
          <w:color w:val="B45309"/>
        </w:rPr>
        <w:t>µ</w:t>
      </w:r>
      <w:r w:rsidRPr="00496BB9">
        <w:rPr>
          <w:rFonts w:ascii="LMRoman10" w:hAnsi="LMRoman10"/>
          <w:i/>
          <w:iCs/>
          <w:color w:val="B45309"/>
        </w:rPr>
        <w:t xml:space="preserve">g/Kg/j et NON mg/Kg/j ni </w:t>
      </w:r>
      <w:r w:rsidRPr="00496BB9">
        <w:rPr>
          <w:rFonts w:ascii="Calibri" w:hAnsi="Calibri" w:cs="Calibri"/>
          <w:i/>
          <w:iCs/>
          <w:color w:val="B45309"/>
        </w:rPr>
        <w:t>µ</w:t>
      </w:r>
      <w:r w:rsidRPr="00496BB9">
        <w:rPr>
          <w:rFonts w:ascii="LMRoman10" w:hAnsi="LMRoman10"/>
          <w:i/>
          <w:iCs/>
          <w:color w:val="B45309"/>
        </w:rPr>
        <w:t>g/j.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Iode 131 (et non 132) pour l'irathérapie ; Technétium </w:t>
      </w:r>
      <w:r w:rsidRPr="00496BB9">
        <w:rPr>
          <w:rFonts w:ascii="Courier New" w:hAnsi="Courier New" w:cs="Courier New"/>
          <w:i/>
          <w:iCs/>
          <w:color w:val="B45309"/>
        </w:rPr>
        <w:t>≠</w:t>
      </w:r>
      <w:r w:rsidRPr="00496BB9">
        <w:rPr>
          <w:rFonts w:ascii="LMRoman10" w:hAnsi="LMRoman10"/>
          <w:i/>
          <w:iCs/>
          <w:color w:val="B45309"/>
        </w:rPr>
        <w:t xml:space="preserve"> th</w:t>
      </w:r>
      <w:r w:rsidRPr="00496BB9">
        <w:rPr>
          <w:rFonts w:ascii="LMRoman10" w:hAnsi="LMRoman10" w:cs="LMRoman10"/>
          <w:i/>
          <w:iCs/>
          <w:color w:val="B45309"/>
        </w:rPr>
        <w:t>é</w:t>
      </w:r>
      <w:r w:rsidRPr="00496BB9">
        <w:rPr>
          <w:rFonts w:ascii="LMRoman10" w:hAnsi="LMRoman10"/>
          <w:i/>
          <w:iCs/>
          <w:color w:val="B45309"/>
        </w:rPr>
        <w:t>rapeutique.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ATS = mercapto-imidazolés (Carbimazole/Méthimazole) ; PTU/BTU = thio-uracile.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ES des ATS : rash = le plus FRÉQUENT, agranulocytose = le plus REDOUTÉ.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Metformine corrige l'insulinorésistance, ne stimule PAS l'insulinosécrétion.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 xml:space="preserve">iSGLT2 </w:t>
      </w:r>
      <w:r w:rsidRPr="00496BB9">
        <w:rPr>
          <w:rFonts w:ascii="Courier New" w:hAnsi="Courier New" w:cs="Courier New"/>
          <w:i/>
          <w:iCs/>
          <w:color w:val="B45309"/>
        </w:rPr>
        <w:t>≠</w:t>
      </w:r>
      <w:r w:rsidRPr="00496BB9">
        <w:rPr>
          <w:rFonts w:ascii="LMRoman10" w:hAnsi="LMRoman10"/>
          <w:i/>
          <w:iCs/>
          <w:color w:val="B45309"/>
        </w:rPr>
        <w:t xml:space="preserve"> insulinos</w:t>
      </w:r>
      <w:r w:rsidRPr="00496BB9">
        <w:rPr>
          <w:rFonts w:ascii="LMRoman10" w:hAnsi="LMRoman10" w:cs="LMRoman10"/>
          <w:i/>
          <w:iCs/>
          <w:color w:val="B45309"/>
        </w:rPr>
        <w:t>é</w:t>
      </w:r>
      <w:r w:rsidRPr="00496BB9">
        <w:rPr>
          <w:rFonts w:ascii="LMRoman10" w:hAnsi="LMRoman10"/>
          <w:i/>
          <w:iCs/>
          <w:color w:val="B45309"/>
        </w:rPr>
        <w:t>cr</w:t>
      </w:r>
      <w:r w:rsidRPr="00496BB9">
        <w:rPr>
          <w:rFonts w:ascii="LMRoman10" w:hAnsi="LMRoman10" w:cs="LMRoman10"/>
          <w:i/>
          <w:iCs/>
          <w:color w:val="B45309"/>
        </w:rPr>
        <w:t>é</w:t>
      </w:r>
      <w:r w:rsidRPr="00496BB9">
        <w:rPr>
          <w:rFonts w:ascii="LMRoman10" w:hAnsi="LMRoman10"/>
          <w:i/>
          <w:iCs/>
          <w:color w:val="B45309"/>
        </w:rPr>
        <w:t>t</w:t>
      </w:r>
      <w:r w:rsidRPr="00496BB9">
        <w:rPr>
          <w:rFonts w:ascii="LMRoman10" w:hAnsi="LMRoman10"/>
          <w:i/>
          <w:iCs/>
          <w:color w:val="B45309"/>
        </w:rPr>
        <w:t>eurs (action rénale, glucosurie).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Corticoïdes → HYPOkaliémie (pas hyper) ; jamais d'hypercalcémie.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BCG : protège des formes graves, jamais 100 %, pas de contrôle IDR, pas de rappel.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Rotavirus : voie ORALE, fenêtre précoce, n'élimine pas la maladie.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Rifampicine = INDUCTEUR enzymatique → diminue AVK/corticoïdes/œstroprogestatifs.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Thrombolyse : OUI au SCA ST+ et à l'EP avec choc ; JAMAIS dans la dissection aortique.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Dissection type A = médico-CHIRURGICAL ; pas d'anticoagulation.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LDL post-SCA : c</w:t>
      </w:r>
      <w:r w:rsidRPr="00496BB9">
        <w:rPr>
          <w:rFonts w:ascii="LMRoman10" w:hAnsi="LMRoman10"/>
          <w:i/>
          <w:iCs/>
          <w:color w:val="B45309"/>
        </w:rPr>
        <w:t>ible &lt; 0,55 g/l.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AINS : âge JEUNE n'est PAS un FdR digestif ; ATCD AVC + antiagrégant → AINS CI.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Bronchite aiguë simple : PAS d'antibiotique (sauf fièvre &gt; 38,5 °C ou OMA associée).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Pyrosis du jeune sans alarme : IPP d'épreuve, pas d'endoscopie d'emblée (</w:t>
      </w:r>
      <w:r w:rsidRPr="00496BB9">
        <w:rPr>
          <w:rFonts w:ascii="Courier New" w:hAnsi="Courier New" w:cs="Courier New"/>
          <w:i/>
          <w:iCs/>
          <w:color w:val="B45309"/>
        </w:rPr>
        <w:t>≥</w:t>
      </w:r>
      <w:r w:rsidRPr="00496BB9">
        <w:rPr>
          <w:rFonts w:ascii="LMRoman10" w:hAnsi="LMRoman10"/>
          <w:i/>
          <w:iCs/>
          <w:color w:val="B45309"/>
        </w:rPr>
        <w:t xml:space="preserve"> 50 ans </w:t>
      </w:r>
      <w:r w:rsidRPr="00496BB9">
        <w:rPr>
          <w:rFonts w:ascii="LMRoman10" w:hAnsi="LMRoman10" w:cs="LMRoman10"/>
          <w:i/>
          <w:iCs/>
          <w:color w:val="B45309"/>
        </w:rPr>
        <w:t>→</w:t>
      </w:r>
      <w:r w:rsidRPr="00496BB9">
        <w:rPr>
          <w:rFonts w:ascii="LMRoman10" w:hAnsi="LMRoman10"/>
          <w:i/>
          <w:iCs/>
          <w:color w:val="B45309"/>
        </w:rPr>
        <w:t xml:space="preserve"> FOGD).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H. pylori : résistance à l'amoxicilline = exceptionnelle ; échec = résistance clarithromycine.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96BB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96BB9">
        <w:rPr>
          <w:rFonts w:ascii="LMRoman10" w:hAnsi="LMRoman10"/>
          <w:i/>
          <w:iCs/>
          <w:color w:val="B45309"/>
        </w:rPr>
        <w:t>IPP : se prennent AVANT le repas.</w:t>
      </w:r>
    </w:p>
    <w:p w:rsidR="00330851" w:rsidRPr="00496BB9" w:rsidRDefault="00496BB9">
      <w:pPr>
        <w:pStyle w:val="Heading2"/>
        <w:rPr>
          <w:rFonts w:ascii="LMRoman10" w:hAnsi="LMRoman10"/>
        </w:rPr>
      </w:pPr>
      <w:r w:rsidRPr="00496BB9">
        <w:rPr>
          <w:rFonts w:ascii="LMRoman10" w:hAnsi="LMRoman10"/>
        </w:rPr>
        <w:t>** ARBRES DÉCISIONNELS &amp; ENCHAÎN</w:t>
      </w:r>
      <w:r w:rsidRPr="00496BB9">
        <w:rPr>
          <w:rFonts w:ascii="LMRoman10" w:hAnsi="LMRoman10"/>
        </w:rPr>
        <w:t>EMENTS THÉRAPEUTIQUES **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 xml:space="preserve">Asthme : </w:t>
      </w:r>
      <w:r w:rsidRPr="00496BB9">
        <w:rPr>
          <w:rFonts w:ascii="Courier New" w:hAnsi="Courier New" w:cs="Courier New"/>
        </w:rPr>
        <w:t>≤</w:t>
      </w:r>
      <w:r w:rsidRPr="00496BB9">
        <w:rPr>
          <w:rFonts w:ascii="LMRoman10" w:hAnsi="LMRoman10"/>
        </w:rPr>
        <w:t xml:space="preserve">2/mois </w:t>
      </w:r>
      <w:r w:rsidRPr="00496BB9">
        <w:rPr>
          <w:rFonts w:ascii="LMRoman10" w:hAnsi="LMRoman10" w:cs="LMRoman10"/>
        </w:rPr>
        <w:t>→</w:t>
      </w:r>
      <w:r w:rsidRPr="00496BB9">
        <w:rPr>
          <w:rFonts w:ascii="LMRoman10" w:hAnsi="LMRoman10"/>
        </w:rPr>
        <w:t xml:space="preserve"> CSI-formot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 xml:space="preserve">rol </w:t>
      </w:r>
      <w:r w:rsidRPr="00496BB9">
        <w:rPr>
          <w:rFonts w:ascii="LMRoman10" w:hAnsi="LMRoman10" w:cs="LMRoman10"/>
        </w:rPr>
        <w:t>à</w:t>
      </w:r>
      <w:r w:rsidRPr="00496BB9">
        <w:rPr>
          <w:rFonts w:ascii="LMRoman10" w:hAnsi="LMRoman10"/>
        </w:rPr>
        <w:t xml:space="preserve"> la demande </w:t>
      </w:r>
      <w:r w:rsidRPr="00496BB9">
        <w:rPr>
          <w:rFonts w:ascii="LMRoman10" w:hAnsi="LMRoman10" w:cs="LMRoman10"/>
        </w:rPr>
        <w:t>→</w:t>
      </w:r>
      <w:r w:rsidRPr="00496BB9">
        <w:rPr>
          <w:rFonts w:ascii="LMRoman10" w:hAnsi="LMRoman10"/>
        </w:rPr>
        <w:t xml:space="preserve"> CSI faible dose fond </w:t>
      </w:r>
      <w:r w:rsidRPr="00496BB9">
        <w:rPr>
          <w:rFonts w:ascii="LMRoman10" w:hAnsi="LMRoman10" w:cs="LMRoman10"/>
        </w:rPr>
        <w:t>→</w:t>
      </w:r>
      <w:r w:rsidRPr="00496BB9">
        <w:rPr>
          <w:rFonts w:ascii="LMRoman10" w:hAnsi="LMRoman10"/>
        </w:rPr>
        <w:t xml:space="preserve"> CSI+LABA fond </w:t>
      </w:r>
      <w:r w:rsidRPr="00496BB9">
        <w:rPr>
          <w:rFonts w:ascii="LMRoman10" w:hAnsi="LMRoman10" w:cs="LMRoman10"/>
        </w:rPr>
        <w:t>→</w:t>
      </w:r>
      <w:r w:rsidRPr="00496BB9">
        <w:rPr>
          <w:rFonts w:ascii="LMRoman10" w:hAnsi="LMRoman10"/>
        </w:rPr>
        <w:t xml:space="preserve"> CSI forte dose+LABA </w:t>
      </w:r>
      <w:r w:rsidRPr="00496BB9">
        <w:rPr>
          <w:rFonts w:ascii="LMRoman10" w:hAnsi="LMRoman10" w:cs="LMRoman10"/>
        </w:rPr>
        <w:t>→</w:t>
      </w:r>
      <w:r w:rsidRPr="00496BB9">
        <w:rPr>
          <w:rFonts w:ascii="LMRoman10" w:hAnsi="LMRoman10"/>
        </w:rPr>
        <w:t xml:space="preserve"> corticoth</w:t>
      </w:r>
      <w:r w:rsidRPr="00496BB9">
        <w:rPr>
          <w:rFonts w:ascii="LMRoman10" w:hAnsi="LMRoman10" w:cs="LMRoman10"/>
        </w:rPr>
        <w:t>é</w:t>
      </w:r>
      <w:r w:rsidRPr="00496BB9">
        <w:rPr>
          <w:rFonts w:ascii="LMRoman10" w:hAnsi="LMRoman10"/>
        </w:rPr>
        <w:t>rapie orale.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Hyperthyroïdie : ATS (euthyroïdie) → traitement radical (I131 OU thyroïdectomie totale).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DT2 : règ</w:t>
      </w:r>
      <w:r w:rsidRPr="00496BB9">
        <w:rPr>
          <w:rFonts w:ascii="LMRoman10" w:hAnsi="LMRoman10"/>
        </w:rPr>
        <w:t>les hygiéno-diététiques + metformine → bithérapie orale → insuline basale (après échec oral).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Échec ATB : analyser BACTÉRIE → TRAITEMENT → FOYER → MALADE (vrai échec) vs FAUX échec (autre fièvre).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RGO → œsophagite → endobrachyœsophage (Barrett) → adénocarc</w:t>
      </w:r>
      <w:r w:rsidRPr="00496BB9">
        <w:rPr>
          <w:rFonts w:ascii="LMRoman10" w:hAnsi="LMRoman10"/>
        </w:rPr>
        <w:t>inome œsophagien (surveillance endoscopique).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OMA sous amoxicilline, échec 72 h → vérifier observance → paracentèse.</w:t>
      </w:r>
    </w:p>
    <w:p w:rsidR="00330851" w:rsidRPr="00496BB9" w:rsidRDefault="00496BB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96BB9">
        <w:rPr>
          <w:rFonts w:ascii="LMRoman10" w:hAnsi="LMRoman10"/>
        </w:rPr>
        <w:t>HTA : MHD + bithérapie (IEC/ARAII + IC ou diurétique) → trithérapie → + spironolactone 25 mg (résistante).</w:t>
      </w:r>
    </w:p>
    <w:p w:rsidR="00330851" w:rsidRPr="00496BB9" w:rsidRDefault="00496BB9">
      <w:pPr>
        <w:spacing w:before="240" w:after="60"/>
        <w:rPr>
          <w:rFonts w:ascii="LMRoman10" w:hAnsi="LMRoman10"/>
        </w:rPr>
      </w:pPr>
      <w:r w:rsidRPr="00496BB9">
        <w:rPr>
          <w:rFonts w:ascii="LMRoman10" w:hAnsi="LMRoman10"/>
          <w:color w:val="000000"/>
        </w:rPr>
        <w:t xml:space="preserve"> </w:t>
      </w:r>
    </w:p>
    <w:p w:rsidR="00330851" w:rsidRPr="00496BB9" w:rsidRDefault="00330851">
      <w:pPr>
        <w:pBdr>
          <w:top w:val="double" w:sz="8" w:space="4" w:color="1F3A5F"/>
        </w:pBdr>
        <w:rPr>
          <w:rFonts w:ascii="LMRoman10" w:hAnsi="LMRoman10"/>
        </w:rPr>
      </w:pP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i/>
          <w:iCs/>
          <w:color w:val="000000"/>
          <w:sz w:val="18"/>
          <w:szCs w:val="18"/>
        </w:rPr>
        <w:t>Généré par Claude.ai (claude-</w:t>
      </w:r>
      <w:r w:rsidRPr="00496BB9">
        <w:rPr>
          <w:rFonts w:ascii="LMRoman10" w:hAnsi="LMRoman10"/>
          <w:i/>
          <w:iCs/>
          <w:color w:val="000000"/>
          <w:sz w:val="18"/>
          <w:szCs w:val="18"/>
        </w:rPr>
        <w:t>opus-4-8) — Version 1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i/>
          <w:iCs/>
          <w:color w:val="000000"/>
          <w:sz w:val="18"/>
          <w:szCs w:val="18"/>
        </w:rPr>
        <w:t>Cross-match 700 QEs officielles × Synthèse Thérapeutique AIO (1197 pages)</w:t>
      </w:r>
    </w:p>
    <w:p w:rsidR="00330851" w:rsidRPr="00496BB9" w:rsidRDefault="00496BB9">
      <w:pPr>
        <w:spacing w:before="60" w:after="60"/>
        <w:jc w:val="center"/>
        <w:rPr>
          <w:rFonts w:ascii="LMRoman10" w:hAnsi="LMRoman10"/>
        </w:rPr>
      </w:pPr>
      <w:r w:rsidRPr="00496BB9">
        <w:rPr>
          <w:rFonts w:ascii="LMRoman10" w:hAnsi="LMRoman10"/>
          <w:b/>
          <w:bCs/>
          <w:i/>
          <w:iCs/>
          <w:color w:val="000000"/>
          <w:sz w:val="18"/>
          <w:szCs w:val="18"/>
        </w:rPr>
        <w:t>14 sessions d'examen (Mai 2018 → Normal 2025) — corrections officielles</w:t>
      </w:r>
    </w:p>
    <w:p w:rsidR="00330851" w:rsidRPr="00496BB9" w:rsidRDefault="00496BB9">
      <w:pPr>
        <w:spacing w:before="200" w:after="60"/>
        <w:rPr>
          <w:rFonts w:ascii="LMRoman10" w:hAnsi="LMRoman10"/>
        </w:rPr>
      </w:pPr>
      <w:r w:rsidRPr="00496BB9">
        <w:rPr>
          <w:rFonts w:ascii="LMRoman10" w:hAnsi="LMRoman10"/>
          <w:b/>
          <w:bCs/>
          <w:color w:val="065F46"/>
        </w:rPr>
        <w:t>Améliorations Version 1 :</w:t>
      </w:r>
    </w:p>
    <w:p w:rsidR="00330851" w:rsidRPr="00496BB9" w:rsidRDefault="00496BB9">
      <w:pPr>
        <w:spacing w:before="6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96BB9">
        <w:rPr>
          <w:rFonts w:ascii="LMRoman10" w:hAnsi="LMRoman10"/>
          <w:color w:val="065F46"/>
          <w:sz w:val="18"/>
          <w:szCs w:val="18"/>
        </w:rPr>
        <w:t xml:space="preserve"> PARTIE 3 strictement par rang de fréquence (1 → 22)</w:t>
      </w:r>
    </w:p>
    <w:p w:rsidR="00330851" w:rsidRPr="00496BB9" w:rsidRDefault="00496BB9">
      <w:pPr>
        <w:spacing w:before="6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96BB9">
        <w:rPr>
          <w:rFonts w:ascii="LMRoman10" w:hAnsi="LMRoman10"/>
          <w:color w:val="065F46"/>
          <w:sz w:val="18"/>
          <w:szCs w:val="18"/>
        </w:rPr>
        <w:t xml:space="preserve"> Déduplication : 700 questions → patterns uniques fusionnés</w:t>
      </w:r>
    </w:p>
    <w:p w:rsidR="00330851" w:rsidRPr="00496BB9" w:rsidRDefault="00496BB9">
      <w:pPr>
        <w:spacing w:before="6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96BB9">
        <w:rPr>
          <w:rFonts w:ascii="LMRoman10" w:hAnsi="LMRoman10"/>
          <w:color w:val="065F46"/>
          <w:sz w:val="18"/>
          <w:szCs w:val="18"/>
        </w:rPr>
        <w:t xml:space="preserve"> FAUX (pièges) explicites avec </w:t>
      </w:r>
      <w:r w:rsidRPr="00496BB9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496BB9">
        <w:rPr>
          <w:rFonts w:ascii="LMRoman10" w:hAnsi="LMRoman10"/>
          <w:color w:val="065F46"/>
          <w:sz w:val="18"/>
          <w:szCs w:val="18"/>
        </w:rPr>
        <w:t xml:space="preserve"> </w:t>
      </w:r>
      <w:r w:rsidRPr="00496BB9">
        <w:rPr>
          <w:rFonts w:ascii="LMRoman10" w:hAnsi="LMRoman10" w:cs="LMRoman10"/>
          <w:color w:val="065F46"/>
          <w:sz w:val="18"/>
          <w:szCs w:val="18"/>
        </w:rPr>
        <w:t>—</w:t>
      </w:r>
      <w:r w:rsidRPr="00496BB9">
        <w:rPr>
          <w:rFonts w:ascii="LMRoman10" w:hAnsi="LMRoman10"/>
          <w:color w:val="065F46"/>
          <w:sz w:val="18"/>
          <w:szCs w:val="18"/>
        </w:rPr>
        <w:t xml:space="preserve"> le contenu </w:t>
      </w:r>
      <w:r w:rsidRPr="00496BB9">
        <w:rPr>
          <w:rFonts w:ascii="LMRoman10" w:hAnsi="LMRoman10" w:cs="LMRoman10"/>
          <w:color w:val="065F46"/>
          <w:sz w:val="18"/>
          <w:szCs w:val="18"/>
        </w:rPr>
        <w:t>à</w:t>
      </w:r>
      <w:r w:rsidRPr="00496BB9">
        <w:rPr>
          <w:rFonts w:ascii="LMRoman10" w:hAnsi="LMRoman10"/>
          <w:color w:val="065F46"/>
          <w:sz w:val="18"/>
          <w:szCs w:val="18"/>
        </w:rPr>
        <w:t xml:space="preserve"> plus forte valeur</w:t>
      </w:r>
    </w:p>
    <w:p w:rsidR="00330851" w:rsidRPr="00496BB9" w:rsidRDefault="00496BB9">
      <w:pPr>
        <w:spacing w:before="6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96BB9">
        <w:rPr>
          <w:rFonts w:ascii="LMRoman10" w:hAnsi="LMRoman10"/>
          <w:color w:val="065F46"/>
          <w:sz w:val="18"/>
          <w:szCs w:val="18"/>
        </w:rPr>
        <w:t xml:space="preserve"> Corrections officielles consolidées sur 14 sessions (2018→2025)</w:t>
      </w:r>
    </w:p>
    <w:p w:rsidR="00330851" w:rsidRPr="00496BB9" w:rsidRDefault="00496BB9">
      <w:pPr>
        <w:spacing w:before="60" w:after="60"/>
        <w:rPr>
          <w:rFonts w:ascii="LMRoman10" w:hAnsi="LMRoman10"/>
        </w:rPr>
      </w:pPr>
      <w:r w:rsidRPr="00496BB9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96BB9">
        <w:rPr>
          <w:rFonts w:ascii="LMRoman10" w:hAnsi="LMRoman10"/>
          <w:color w:val="065F46"/>
          <w:sz w:val="18"/>
          <w:szCs w:val="18"/>
        </w:rPr>
        <w:t xml:space="preserve"> Aide-mémoire pharmaco : protocoles, molécules de 1re intenti</w:t>
      </w:r>
      <w:r w:rsidRPr="00496BB9">
        <w:rPr>
          <w:rFonts w:ascii="LMRoman10" w:hAnsi="LMRoman10"/>
          <w:color w:val="065F46"/>
          <w:sz w:val="18"/>
          <w:szCs w:val="18"/>
        </w:rPr>
        <w:t>on, pièges, arbres</w:t>
      </w:r>
      <w:bookmarkEnd w:id="0"/>
    </w:p>
    <w:sectPr w:rsidR="00330851" w:rsidRPr="00496BB9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8D73F3"/>
    <w:multiLevelType w:val="hybridMultilevel"/>
    <w:tmpl w:val="F80EEF54"/>
    <w:lvl w:ilvl="0" w:tplc="164CD12A">
      <w:start w:val="1"/>
      <w:numFmt w:val="bullet"/>
      <w:lvlText w:val="●"/>
      <w:lvlJc w:val="left"/>
      <w:pPr>
        <w:ind w:left="720" w:hanging="360"/>
      </w:pPr>
    </w:lvl>
    <w:lvl w:ilvl="1" w:tplc="CC64C3A4">
      <w:start w:val="1"/>
      <w:numFmt w:val="bullet"/>
      <w:lvlText w:val="○"/>
      <w:lvlJc w:val="left"/>
      <w:pPr>
        <w:ind w:left="1440" w:hanging="360"/>
      </w:pPr>
    </w:lvl>
    <w:lvl w:ilvl="2" w:tplc="15665072">
      <w:start w:val="1"/>
      <w:numFmt w:val="bullet"/>
      <w:lvlText w:val="■"/>
      <w:lvlJc w:val="left"/>
      <w:pPr>
        <w:ind w:left="2160" w:hanging="360"/>
      </w:pPr>
    </w:lvl>
    <w:lvl w:ilvl="3" w:tplc="844A7FC6">
      <w:start w:val="1"/>
      <w:numFmt w:val="bullet"/>
      <w:lvlText w:val="●"/>
      <w:lvlJc w:val="left"/>
      <w:pPr>
        <w:ind w:left="2880" w:hanging="360"/>
      </w:pPr>
    </w:lvl>
    <w:lvl w:ilvl="4" w:tplc="6D0A8456">
      <w:start w:val="1"/>
      <w:numFmt w:val="bullet"/>
      <w:lvlText w:val="○"/>
      <w:lvlJc w:val="left"/>
      <w:pPr>
        <w:ind w:left="3600" w:hanging="360"/>
      </w:pPr>
    </w:lvl>
    <w:lvl w:ilvl="5" w:tplc="62386648">
      <w:start w:val="1"/>
      <w:numFmt w:val="bullet"/>
      <w:lvlText w:val="■"/>
      <w:lvlJc w:val="left"/>
      <w:pPr>
        <w:ind w:left="4320" w:hanging="360"/>
      </w:pPr>
    </w:lvl>
    <w:lvl w:ilvl="6" w:tplc="5394BEFA">
      <w:start w:val="1"/>
      <w:numFmt w:val="bullet"/>
      <w:lvlText w:val="●"/>
      <w:lvlJc w:val="left"/>
      <w:pPr>
        <w:ind w:left="5040" w:hanging="360"/>
      </w:pPr>
    </w:lvl>
    <w:lvl w:ilvl="7" w:tplc="042C86D8">
      <w:start w:val="1"/>
      <w:numFmt w:val="bullet"/>
      <w:lvlText w:val="●"/>
      <w:lvlJc w:val="left"/>
      <w:pPr>
        <w:ind w:left="5760" w:hanging="360"/>
      </w:pPr>
    </w:lvl>
    <w:lvl w:ilvl="8" w:tplc="82FEC7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FB40FF"/>
    <w:multiLevelType w:val="hybridMultilevel"/>
    <w:tmpl w:val="70306E20"/>
    <w:lvl w:ilvl="0" w:tplc="522E0AF0">
      <w:start w:val="1"/>
      <w:numFmt w:val="bullet"/>
      <w:lvlText w:val="•"/>
      <w:lvlJc w:val="left"/>
      <w:pPr>
        <w:ind w:left="720" w:hanging="360"/>
      </w:pPr>
    </w:lvl>
    <w:lvl w:ilvl="1" w:tplc="F06059B0">
      <w:numFmt w:val="decimal"/>
      <w:lvlText w:val=""/>
      <w:lvlJc w:val="left"/>
    </w:lvl>
    <w:lvl w:ilvl="2" w:tplc="25E8829E">
      <w:numFmt w:val="decimal"/>
      <w:lvlText w:val=""/>
      <w:lvlJc w:val="left"/>
    </w:lvl>
    <w:lvl w:ilvl="3" w:tplc="7ABE29CE">
      <w:numFmt w:val="decimal"/>
      <w:lvlText w:val=""/>
      <w:lvlJc w:val="left"/>
    </w:lvl>
    <w:lvl w:ilvl="4" w:tplc="08CAA83A">
      <w:numFmt w:val="decimal"/>
      <w:lvlText w:val=""/>
      <w:lvlJc w:val="left"/>
    </w:lvl>
    <w:lvl w:ilvl="5" w:tplc="3800B992">
      <w:numFmt w:val="decimal"/>
      <w:lvlText w:val=""/>
      <w:lvlJc w:val="left"/>
    </w:lvl>
    <w:lvl w:ilvl="6" w:tplc="CB38DB2E">
      <w:numFmt w:val="decimal"/>
      <w:lvlText w:val=""/>
      <w:lvlJc w:val="left"/>
    </w:lvl>
    <w:lvl w:ilvl="7" w:tplc="0262E238">
      <w:numFmt w:val="decimal"/>
      <w:lvlText w:val=""/>
      <w:lvlJc w:val="left"/>
    </w:lvl>
    <w:lvl w:ilvl="8" w:tplc="3B4C652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851"/>
    <w:rsid w:val="00330851"/>
    <w:rsid w:val="00496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45E3E9-27C6-4B8F-93B7-504FF3D25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6635</Words>
  <Characters>37822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THÉRAPEUTIQUE - QE Haute Fréquence</vt:lpstr>
    </vt:vector>
  </TitlesOfParts>
  <Company/>
  <LinksUpToDate>false</LinksUpToDate>
  <CharactersWithSpaces>44369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THÉRAPEUTIQUE - QE Haute Fréquence</dc:title>
  <dc:creator>Claude.ai</dc:creator>
  <dc:description>Generated by qe-analysis skill</dc:description>
  <cp:lastModifiedBy>tool</cp:lastModifiedBy>
  <cp:revision>2</cp:revision>
  <cp:lastPrinted>2026-06-13T23:02:00Z</cp:lastPrinted>
  <dcterms:created xsi:type="dcterms:W3CDTF">2026-06-04T18:29:00Z</dcterms:created>
  <dcterms:modified xsi:type="dcterms:W3CDTF">2026-06-13T23:02:00Z</dcterms:modified>
</cp:coreProperties>
</file>