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A07B0" w:rsidRPr="007D545D" w:rsidRDefault="007D545D">
      <w:pPr>
        <w:spacing w:after="100"/>
        <w:jc w:val="center"/>
        <w:rPr>
          <w:rFonts w:ascii="LMRoman10" w:hAnsi="LMRoman10"/>
        </w:rPr>
      </w:pPr>
      <w:bookmarkStart w:id="0" w:name="_GoBack"/>
      <w:r w:rsidRPr="007D545D">
        <w:rPr>
          <w:rFonts w:ascii="LMRoman10" w:hAnsi="LMRoman10"/>
          <w:b/>
          <w:bCs/>
          <w:color w:val="1F3A5F"/>
          <w:sz w:val="44"/>
          <w:szCs w:val="44"/>
        </w:rPr>
        <w:t>PHARMACOLOGIE &amp; TOXICOLOGIE</w:t>
      </w:r>
    </w:p>
    <w:p w:rsidR="004A07B0" w:rsidRPr="007D545D" w:rsidRDefault="007D545D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30"/>
          <w:szCs w:val="30"/>
        </w:rPr>
        <w:t>Fiches QE Haute Fréquence (concours FMPM) — Version 1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i/>
          <w:iCs/>
          <w:color w:val="000000"/>
        </w:rPr>
        <w:t>Cross-match : 740 QEs officielles (2018→2026) × Cours AIO pharmaco générale (882 p.) + pharmaco spécifique (954 p.) + registre AMMPS (DCI Maroc)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000000"/>
          <w:sz w:val="18"/>
          <w:szCs w:val="18"/>
        </w:rPr>
        <w:t>FMPM — concours 2026 (module Pharmacologie &amp; Toxicologie, S6)</w:t>
      </w:r>
    </w:p>
    <w:p w:rsidR="004A07B0" w:rsidRPr="007D545D" w:rsidRDefault="007D545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4A07B0" w:rsidRPr="007D545D" w:rsidRDefault="007D545D">
      <w:pPr>
        <w:spacing w:before="60" w:after="60"/>
        <w:rPr>
          <w:rFonts w:ascii="LMRoman10" w:hAnsi="LMRoman10"/>
        </w:rPr>
      </w:pPr>
      <w:r w:rsidRPr="007D545D">
        <w:rPr>
          <w:rFonts w:ascii="LMRoman10" w:hAnsi="LMRoman10"/>
          <w:i/>
          <w:iCs/>
          <w:color w:val="000000"/>
        </w:rPr>
        <w:t>Classement basé sur la fréquence réelle dans 740 QEs (15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4A07B0" w:rsidRPr="007D545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 xml:space="preserve">Cardiologie — cas cliniques (transversal : antithrombotiques, IEC/ARA2, </w:t>
            </w:r>
            <w:r w:rsidRPr="007D545D">
              <w:rPr>
                <w:rFonts w:ascii="Courier New" w:hAnsi="Courier New" w:cs="Courier New"/>
                <w:color w:val="000000"/>
                <w:sz w:val="18"/>
                <w:szCs w:val="18"/>
              </w:rPr>
              <w:t>β</w:t>
            </w: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-bloquants, inhib. calciques, statines, anti-angineux, digitaliques)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Pharmacocinétique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règles générales de la prescription médicamenteuse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La vie du médicament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Toxicologie (module S6 toxico-pharma)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essais cliniques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Effets indésirables des médicaments et pharmacovigilance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interactions médicamenteuses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anti-inflammatoires (AINS + corticoïdes)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La prescription médicamenteuse chez l'enfant et le sujet âgé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La prescription chez la femme enceinte et allaitante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Anti-bacillaires (antituberculeux)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Médicament et pathologie du foie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 suivi thérapeutique pharmacologique (STP)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diurétiques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Bêta-lactamines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Antiviraux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Traitement de la maladie ulcéreuse gastroduodénale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antalgiques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Antiépileptiques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Anxiolytiques (benzodiazépines)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Antidépresseurs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Antitussifs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Rein et médicaments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25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Prise en charge médicamenteuse de la constipation (laxatifs)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Endocrinologie — insulines &amp; antidiabétiques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Bronchodilatateurs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Anti-infectieux — divers (diffusion BHM, temps/conc-dépendance, voie digestive)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Antibiothérapie — généralités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Aminosides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Imidazolés / nitro-imidazolés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Macrolides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Glycopeptides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Questions inclassifiables (recoupe cardio + corticoïdes)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Antifongiques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Sulfamides (cotrimoxazole)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Cyclines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Quinolones / fluoroquinolones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Antispasmodiques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inhibiteurs calciques (item isolé)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</w:tbl>
    <w:p w:rsidR="004A07B0" w:rsidRPr="007D545D" w:rsidRDefault="007D545D">
      <w:pPr>
        <w:rPr>
          <w:rFonts w:ascii="LMRoman10" w:hAnsi="LMRoman10"/>
        </w:rPr>
      </w:pPr>
      <w:r w:rsidRPr="007D545D">
        <w:rPr>
          <w:rFonts w:ascii="LMRoman10" w:hAnsi="LMRoman10"/>
        </w:rPr>
        <w:br w:type="page"/>
      </w:r>
    </w:p>
    <w:p w:rsidR="004A07B0" w:rsidRPr="007D545D" w:rsidRDefault="007D545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4A07B0" w:rsidRPr="007D545D" w:rsidRDefault="007D545D">
      <w:pPr>
        <w:spacing w:before="60" w:after="60"/>
        <w:rPr>
          <w:rFonts w:ascii="LMRoman10" w:hAnsi="LMRoman10"/>
        </w:rPr>
      </w:pPr>
      <w:r w:rsidRPr="007D545D">
        <w:rPr>
          <w:rFonts w:ascii="LMRoman10" w:hAnsi="LMRoman10"/>
          <w:i/>
          <w:iCs/>
          <w:color w:val="000000"/>
        </w:rPr>
        <w:t>Statistiques calculées sur 15 sessions, chaque examen ~49.33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4A07B0" w:rsidRPr="007D545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 xml:space="preserve">Cardiologie — cas cliniques (transversal : antithrombotiques, IEC/ARA2, </w:t>
            </w:r>
            <w:r w:rsidRPr="007D545D">
              <w:rPr>
                <w:rFonts w:ascii="Courier New" w:hAnsi="Courier New" w:cs="Courier New"/>
                <w:color w:val="000000"/>
                <w:sz w:val="18"/>
                <w:szCs w:val="18"/>
              </w:rPr>
              <w:t>β</w:t>
            </w: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-bloquants, inhib. calciques, statines, anti-angineux, digitaliques)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83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11.2%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Pharmacocinétique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65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8.8%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règles générales de la prescription médicamenteuse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52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7.0%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La vie du médicament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45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6.1%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Toxicologie (module S6 toxico-pharma)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40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5.4%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essais cliniques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40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5.4%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Effets indésirables des médicaments et pharmacovigilance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36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4.9%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interactions médicamenteuses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29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3.9%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anti-inflammatoires (AINS + corticoïdes)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26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3.5%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La prescription médicamenteuse chez l'enfant et le sujet âgé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24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La prescription chez la femme enceinte et allaitante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22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3.0%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Anti-bacillaires (antituberculeux)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20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Médicament et pathologie du foie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19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2.6%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 suivi thérapeutique pharmacologique (STP)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18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2.4%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diurétiques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17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Bêta-lactamines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17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2.3%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Antiviraux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16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2.2%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Traitement de la maladie ulcéreuse gastroduodénale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13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1.8%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antalgiques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13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1.8%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Antiépileptiques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12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Anxiolytiques (benzodiazépines)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12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Antidépresseurs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12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1.6%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Antitussifs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11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Rein et médicaments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11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Prise en charge médicamenteuse de la constipation (laxatifs)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11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0.73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1.5%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Endocrinologie — insulines &amp; antidiabétiques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10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1.4%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Bronchodilatateurs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9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1.2%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Anti-infectieux — divers (diffusion BHM, temps/conc-dépendance, voie digestive)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8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1.1%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lastRenderedPageBreak/>
              <w:t>Antibiothérapie — généralités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7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0.47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0.9%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Aminosides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6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0.8%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Imidazolés / nitro-imidazolés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5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0.7%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Macrolides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5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0.7%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Glycopeptides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5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0.7%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Questions inclassifiables (recoupe cardio + corticoïdes)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4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0.5%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Antifongiques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4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0.5%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Sulfamides (cotrimoxazole)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4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0.5%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Cyclines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3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0.4%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Quinolones / fluoroquinolones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3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0.4%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Antispasmodiques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2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Les inhibiteurs calciques (item isolé)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1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0.1%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— toutes leçons examinées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740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49.33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jc w:val="center"/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100%</w:t>
            </w:r>
          </w:p>
        </w:tc>
      </w:tr>
    </w:tbl>
    <w:p w:rsidR="004A07B0" w:rsidRPr="007D545D" w:rsidRDefault="007D545D">
      <w:pPr>
        <w:rPr>
          <w:rFonts w:ascii="LMRoman10" w:hAnsi="LMRoman10"/>
        </w:rPr>
      </w:pPr>
      <w:r w:rsidRPr="007D545D">
        <w:rPr>
          <w:rFonts w:ascii="LMRoman10" w:hAnsi="LMRoman10"/>
        </w:rPr>
        <w:br w:type="page"/>
      </w:r>
    </w:p>
    <w:p w:rsidR="004A07B0" w:rsidRPr="007D545D" w:rsidRDefault="007D545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i/>
          <w:iCs/>
          <w:color w:val="000000"/>
        </w:rPr>
        <w:t>Format : faits (-) / pièges (</w:t>
      </w:r>
      <w:r w:rsidRPr="007D545D">
        <w:rPr>
          <w:rFonts w:ascii="Segoe UI Symbol" w:hAnsi="Segoe UI Symbol" w:cs="Segoe UI Symbol"/>
          <w:i/>
          <w:iCs/>
          <w:color w:val="000000"/>
        </w:rPr>
        <w:t>⚠</w:t>
      </w:r>
      <w:r w:rsidRPr="007D545D">
        <w:rPr>
          <w:rFonts w:ascii="LMRoman10" w:hAnsi="LMRoman10"/>
          <w:i/>
          <w:iCs/>
          <w:color w:val="000000"/>
        </w:rPr>
        <w:t>) / source (</w:t>
      </w:r>
      <w:r w:rsidRPr="007D545D">
        <w:rPr>
          <w:rFonts w:ascii="Segoe UI Symbol" w:hAnsi="Segoe UI Symbol" w:cs="Segoe UI Symbol"/>
          <w:i/>
          <w:iCs/>
          <w:color w:val="000000"/>
        </w:rPr>
        <w:t>📖</w:t>
      </w:r>
      <w:r w:rsidRPr="007D545D">
        <w:rPr>
          <w:rFonts w:ascii="LMRoman10" w:hAnsi="LMRoman10"/>
          <w:i/>
          <w:iCs/>
          <w:color w:val="000000"/>
        </w:rPr>
        <w:t>) / lien cours (</w:t>
      </w:r>
      <w:r w:rsidRPr="007D545D">
        <w:rPr>
          <w:rFonts w:ascii="Segoe UI Symbol" w:hAnsi="Segoe UI Symbol" w:cs="Segoe UI Symbol"/>
          <w:i/>
          <w:iCs/>
          <w:color w:val="000000"/>
        </w:rPr>
        <w:t>📎</w:t>
      </w:r>
      <w:r w:rsidRPr="007D545D">
        <w:rPr>
          <w:rFonts w:ascii="LMRoman10" w:hAnsi="LMRoman10"/>
          <w:i/>
          <w:iCs/>
          <w:color w:val="000000"/>
        </w:rPr>
        <w:t>) / citations (</w:t>
      </w:r>
      <w:r w:rsidRPr="007D545D">
        <w:rPr>
          <w:rFonts w:ascii="Segoe UI Symbol" w:hAnsi="Segoe UI Symbol" w:cs="Segoe UI Symbol"/>
          <w:i/>
          <w:iCs/>
          <w:color w:val="000000"/>
        </w:rPr>
        <w:t>📋</w:t>
      </w:r>
      <w:r w:rsidRPr="007D545D">
        <w:rPr>
          <w:rFonts w:ascii="LMRoman10" w:hAnsi="LMRoman10"/>
          <w:i/>
          <w:iCs/>
          <w:color w:val="000000"/>
        </w:rPr>
        <w:t>)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1] CARDIOLOGIE — CAS CLINIQUES (TRANSVERSAL : ANTITHROMBOTIQUES, IEC/ARA2, Β-BLOQUANTS, INHIB. CALCIQUES, STATINES, ANTI-ANGINEUX, DIGITALIQUES)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~5.53 Q/examen (83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Antivitamines K (acénocoumarol, warfarine) &amp; gestion de l'INR</w:t>
      </w: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— LE sujet le plus répété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Mécanisme : inhibition de la synthèse hépatique des facteurs vitamine K-dépendants (II, VII, IX, X) → effet anticoagulant RETARDÉ (24-48 h), jamais immédiat. Surveillance = INR.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Indications AVK : prothèse valvulaire MÉCANIQUE, FA valvulaire, embolie pulmonaire / TVP.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Prothèse mécanique avec INR infra-cible (1 à 1,5) : ajouter une HBPM + augmenter la dose d'AVK (relais protecteur tant que l'INR n'est pas dans la cible).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INR dans la</w:t>
      </w:r>
      <w:r w:rsidRPr="007D545D">
        <w:rPr>
          <w:rFonts w:ascii="LMRoman10" w:hAnsi="LMRoman10"/>
        </w:rPr>
        <w:t xml:space="preserve"> cible (</w:t>
      </w:r>
      <w:r w:rsidRPr="007D545D">
        <w:rPr>
          <w:rFonts w:ascii="Courier New" w:hAnsi="Courier New" w:cs="Courier New"/>
        </w:rPr>
        <w:t>≈</w:t>
      </w:r>
      <w:r w:rsidRPr="007D545D">
        <w:rPr>
          <w:rFonts w:ascii="LMRoman10" w:hAnsi="LMRoman10"/>
        </w:rPr>
        <w:t>2,5 pour la plupart, 3 pour proth</w:t>
      </w:r>
      <w:r w:rsidRPr="007D545D">
        <w:rPr>
          <w:rFonts w:ascii="LMRoman10" w:hAnsi="LMRoman10" w:cs="LMRoman10"/>
        </w:rPr>
        <w:t>è</w:t>
      </w:r>
      <w:r w:rsidRPr="007D545D">
        <w:rPr>
          <w:rFonts w:ascii="LMRoman10" w:hAnsi="LMRoman10"/>
        </w:rPr>
        <w:t>se m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canique) : garder la m</w:t>
      </w:r>
      <w:r w:rsidRPr="007D545D">
        <w:rPr>
          <w:rFonts w:ascii="LMRoman10" w:hAnsi="LMRoman10" w:cs="LMRoman10"/>
        </w:rPr>
        <w:t>ê</w:t>
      </w:r>
      <w:r w:rsidRPr="007D545D">
        <w:rPr>
          <w:rFonts w:ascii="LMRoman10" w:hAnsi="LMRoman10"/>
        </w:rPr>
        <w:t>me dose et poursuivre la surveillance.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Surdosage modéré (INR </w:t>
      </w:r>
      <w:r w:rsidRPr="007D545D">
        <w:rPr>
          <w:rFonts w:ascii="Courier New" w:hAnsi="Courier New" w:cs="Courier New"/>
        </w:rPr>
        <w:t>≈</w:t>
      </w:r>
      <w:r w:rsidRPr="007D545D">
        <w:rPr>
          <w:rFonts w:ascii="LMRoman10" w:hAnsi="LMRoman10"/>
        </w:rPr>
        <w:t>4 sous 5 mg) : r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 xml:space="preserve">duire la dose (ex. alterner 1 cp et 1 cp </w:t>
      </w:r>
      <w:r w:rsidRPr="007D545D">
        <w:rPr>
          <w:rFonts w:ascii="LMRoman10" w:hAnsi="LMRoman10" w:cs="LMRoman10"/>
        </w:rPr>
        <w:t>¼</w:t>
      </w:r>
      <w:r w:rsidRPr="007D545D">
        <w:rPr>
          <w:rFonts w:ascii="LMRoman10" w:hAnsi="LMRoman10"/>
        </w:rPr>
        <w:t>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Surdosage majeur (INR </w:t>
      </w:r>
      <w:r w:rsidRPr="007D545D">
        <w:rPr>
          <w:rFonts w:ascii="Courier New" w:hAnsi="Courier New" w:cs="Courier New"/>
        </w:rPr>
        <w:t>≈</w:t>
      </w:r>
      <w:r w:rsidRPr="007D545D">
        <w:rPr>
          <w:rFonts w:ascii="LMRoman10" w:hAnsi="LMRoman10"/>
        </w:rPr>
        <w:t>8) : sauter une prise (et envisager un</w:t>
      </w:r>
      <w:r w:rsidRPr="007D545D">
        <w:rPr>
          <w:rFonts w:ascii="LMRoman10" w:hAnsi="LMRoman10"/>
        </w:rPr>
        <w:t xml:space="preserve"> relais/arrêt selon le risque).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Chez un porteur de prothèse valvulaire MÉCANIQUE, on ne remplace JAMAIS l'AVK par un AOD (apixaban/rivaroxaban/dabigatran contre-indiqués) — distracteur présent presque chaque année.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L'effet des AVK n'est pas immédiat dè</w:t>
      </w:r>
      <w:r w:rsidRPr="007D545D">
        <w:rPr>
          <w:rFonts w:ascii="LMRoman10" w:hAnsi="LMRoman10"/>
          <w:i/>
          <w:iCs/>
          <w:color w:val="B45309"/>
        </w:rPr>
        <w:t>s la 1re prise.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AVK = nombreuses interactions médicamenteuses ET alimentaires ; « sans interaction » est faux.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« Le rivaroxaban est la seule molécule disponible au Maroc » : faux.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Q37, 2019N Q38, 2020N Q37, 2023N Q37-38, 2024N Q38-39, 202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4R Q38-39, 2025N Q26, 2026N Q42 (</w:t>
      </w:r>
      <w:r w:rsidRPr="007D545D">
        <w:rPr>
          <w:rFonts w:ascii="Courier New" w:hAnsi="Courier New" w:cs="Courier New"/>
          <w:i/>
          <w:iCs/>
          <w:color w:val="404040"/>
          <w:sz w:val="18"/>
          <w:szCs w:val="18"/>
        </w:rPr>
        <w:t>≥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10</w:t>
      </w:r>
      <w:r w:rsidRPr="007D545D">
        <w:rPr>
          <w:rFonts w:ascii="LMRoman10" w:hAnsi="LMRoman10" w:cs="LMRoman10"/>
          <w:i/>
          <w:iCs/>
          <w:color w:val="404040"/>
          <w:sz w:val="18"/>
          <w:szCs w:val="18"/>
        </w:rPr>
        <w:t>×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Surveillance biologique des anticoagulants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Héparine non fractionnée (IV) → TCA.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AVK → INR (TP-INR).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HBPM (sous-cutanée) → pas de surveillance de routine ; si besoin, activité anti-Xa.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L'HNF agit via l'ANTITHROMBINE III (action indirecte, surtout anti-Xa et anti-IIa) — elle n'agit pas « directement » et ne se surveille pas par le TP.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surveillance d'un anticoagulant par voie sous-cutanée ne passe pas systématiquement par TCA/TP/INR.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Q39, 2021N Q39, 2022N Q42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Antiplaquettaires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Aspirine (dose antiagrégante) : IDM, post-angioplastie coronaire, AOMI, AVC ischémique.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Clopidogrel (thiénopyridine, prodrogue) : AOMI, post-angioplastie ; ticagrelor : anti-P2Y12 (anti-ADP) RÉVER</w:t>
      </w:r>
      <w:r w:rsidRPr="007D545D">
        <w:rPr>
          <w:rFonts w:ascii="LMRoman10" w:hAnsi="LMRoman10"/>
        </w:rPr>
        <w:t>SIBLE, ce n'est PAS une prodrogue.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Post-angioplastie : bithérapie aspirine + clopidogrel ~1 mois, puis monothérapie (aspirine) à distance.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Ticagrelor / clopidogrel ne sont pas indiqués dans la FA valvulaire, la TVP, ni la prévention primaire du diabétiqu</w:t>
      </w:r>
      <w:r w:rsidRPr="007D545D">
        <w:rPr>
          <w:rFonts w:ascii="LMRoman10" w:hAnsi="LMRoman10"/>
          <w:i/>
          <w:iCs/>
          <w:color w:val="B45309"/>
        </w:rPr>
        <w:t>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thiénopyridines (clopidogrel) ne couvrent pas la FA (qui relève des anticoagulants).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2019R Q37, 2020N Q38, 2021R Q38, 2023N Q39-40, 2023R Q37, 2025N Q27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Anticoagulants oraux directs (AOD : apixaban, rivaroxaban, dabigatran)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Apixaban / ri</w:t>
      </w:r>
      <w:r w:rsidRPr="007D545D">
        <w:rPr>
          <w:rFonts w:ascii="LMRoman10" w:hAnsi="LMRoman10"/>
        </w:rPr>
        <w:t>varoxaban = inhibiteurs DIRECTS du facteur Xa ; indications EP/TVP, FA NON valvulaire ; pas de surveillance biologique de routine ; moins d'hémorragies que les AVK.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Apixaban contre-indiqué si insuffisance rénale sévère (clairance </w:t>
      </w:r>
      <w:r w:rsidRPr="007D545D">
        <w:rPr>
          <w:rFonts w:ascii="Courier New" w:hAnsi="Courier New" w:cs="Courier New"/>
        </w:rPr>
        <w:t>≤</w:t>
      </w:r>
      <w:r w:rsidRPr="007D545D">
        <w:rPr>
          <w:rFonts w:ascii="LMRoman10" w:hAnsi="LMRoman10"/>
        </w:rPr>
        <w:t>15 mL/min).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AOD n'agissent pas via l'antithrombine III (contrairement aux héparines).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AOD contre-indiqués dans la FA VALVULAIRE et chez le porteur de prothèse mécanique.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Apixaban n'est pas surveillé par TP-INR.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2020N Q39, 2021R Q37, 2023R Q42, 2025N Q2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8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Thrombolytiques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Indications : IDM à la phase aiguë (avant la 12e heure), embolie pulmonaire GRAVE.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Contre-indications : HTA sévère, péricardite (+ tout risque hémorragique majeur).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« AVC ischémique après 6 h » : hors fenêtre de thrombolyse — distract</w:t>
      </w:r>
      <w:r w:rsidRPr="007D545D">
        <w:rPr>
          <w:rFonts w:ascii="LMRoman10" w:hAnsi="LMRoman10"/>
          <w:i/>
          <w:iCs/>
          <w:color w:val="B45309"/>
        </w:rPr>
        <w:t>eur classique.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Q42, 2021R Q39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Hypolipémiants (statines, fibrates, ézétimibe)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Statines = inhibition de l'HMG-CoA réductase → ↓ synthèse hépatique du cholestérol.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Indications statines : IDM, AVC ischémique, AOMI, prévention secondaire de l'athérosclérose.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Hypertriglycéridémie MAJEURE (ex. TG 6 g/L) → fibrate ; LDL élevé avec TG modérés → statine.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Surveillance statine : bilan hépatique (ALAT/ASAT) AVANT initiation.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Une élévation LÉGÈRE des transaminases ne contre-indique pas les statines ; la surveillance clinique seule est insuffisante.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Les statines n'agissent ni par catabolisme des HDL ni par inhibition de l'absorption intestinale du cholestérol (= mécanisme de </w:t>
      </w:r>
      <w:r w:rsidRPr="007D545D">
        <w:rPr>
          <w:rFonts w:ascii="LMRoman10" w:hAnsi="LMRoman10"/>
          <w:i/>
          <w:iCs/>
          <w:color w:val="B45309"/>
        </w:rPr>
        <w:t>l'ézétimibe).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Q40, 2019N Q39, 2022N Q39, 2025N Q33, 2026N Q38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Bêtabloquants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Indications : HTA, angor d'effort, troubles du rythme, insuffisance cardiaque chronique (introduction à faible dose progressive).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Effet rebond adrénergique à l'arrê</w:t>
      </w:r>
      <w:r w:rsidRPr="007D545D">
        <w:rPr>
          <w:rFonts w:ascii="LMRoman10" w:hAnsi="LMRoman10"/>
        </w:rPr>
        <w:t>t brutal → sevrage progressif.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Contre-indications : asthme, syndrome de Raynaud, troubles de conduction AV, IC décompensée/congestive.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Ils ralentissent (n'augmentent pas) la FC et la conduction AV ; ils ne sont pas tous cardiosélectifs et ne stimulent </w:t>
      </w:r>
      <w:r w:rsidRPr="007D545D">
        <w:rPr>
          <w:rFonts w:ascii="LMRoman10" w:hAnsi="LMRoman10"/>
          <w:i/>
          <w:iCs/>
          <w:color w:val="B45309"/>
        </w:rPr>
        <w:t xml:space="preserve">pas les récepteurs </w:t>
      </w:r>
      <w:r w:rsidRPr="007D545D">
        <w:rPr>
          <w:rFonts w:ascii="Courier New" w:hAnsi="Courier New" w:cs="Courier New"/>
          <w:i/>
          <w:iCs/>
          <w:color w:val="B45309"/>
        </w:rPr>
        <w:t>α</w:t>
      </w:r>
      <w:r w:rsidRPr="007D545D">
        <w:rPr>
          <w:rFonts w:ascii="LMRoman10" w:hAnsi="LMRoman10"/>
          <w:i/>
          <w:iCs/>
          <w:color w:val="B45309"/>
        </w:rPr>
        <w:t>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Q38, 2020N Q41, 2021N Q41, 2021R Q41, 2023R Q41, 2025N Q30, 2026N Q39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Inhibiteurs calciques (dihydropyridines vs non-dihydropyridines)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DHP (amlodipine, nicardipine) : effet VASCULAIRE prédominant → HTA, angor de Prinzm</w:t>
      </w:r>
      <w:r w:rsidRPr="007D545D">
        <w:rPr>
          <w:rFonts w:ascii="LMRoman10" w:hAnsi="LMRoman10"/>
        </w:rPr>
        <w:t>etal, Raynaud ; effets indésirables = œdèmes des membres inférieurs, céphalées, flush.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Non-DHP « bradycardisants » (vérapamil, diltiazem) : effet CARDIAQUE → ralentissent la conduction AV → troubles du rythme supraventriculaire, angor, HTA ; le diltiazem r</w:t>
      </w:r>
      <w:r w:rsidRPr="007D545D">
        <w:rPr>
          <w:rFonts w:ascii="LMRoman10" w:hAnsi="LMRoman10"/>
        </w:rPr>
        <w:t>alentit la cadence ventriculaire en FA.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DHP ne sont pas bradycardisantes ; l'amlodipine n'est pas un non-DHP.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L'IC systolique n'est PAS l'indication privilégiée des non-DHP (effet inotrope négatif).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vérapamil n'a pas un effet « vasculaire exclusif ».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2020N Q42, 2021N Q42, 2021R Q42, 2023N Q42, 2025N Q31, 2026N Q40-41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IEC vs ARA2 (sartans)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IEC : insuffisance cardiaque, néphroprotection (HTA + néphropathie, diabétique).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IEC et ARA2 diffèren</w:t>
      </w:r>
      <w:r w:rsidRPr="007D545D">
        <w:rPr>
          <w:rFonts w:ascii="LMRoman10" w:hAnsi="LMRoman10"/>
        </w:rPr>
        <w:t>t par la TOUX sèche (effet de classe des IEC, absente sous ARA2).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ARA2 + IEC ou ARA2 + inhibiteur calcique = associations synergiques ; néphroprotection diabétique.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Sous ARA2 en monothérapie avec TA non contrôlée, le traitement n'est pas suffisant.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Sur</w:t>
      </w:r>
      <w:r w:rsidRPr="007D545D">
        <w:rPr>
          <w:rFonts w:ascii="LMRoman10" w:hAnsi="LMRoman10"/>
          <w:i/>
          <w:iCs/>
          <w:color w:val="B45309"/>
        </w:rPr>
        <w:t>veiller la KALIÉMIE (risque d'hyperkaliémie), pas la calcémie ni la natrémie — piège récurrent.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2022N Q41, 2023N Q41, 2023R Q39, 2024N Q42, 2024R Q42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Digoxine (digitaliques)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Mécanisme : inhibition de la pompe Na</w:t>
      </w:r>
      <w:r w:rsidRPr="007D545D">
        <w:rPr>
          <w:rFonts w:ascii="Cambria Math" w:hAnsi="Cambria Math" w:cs="Cambria Math"/>
        </w:rPr>
        <w:t>⁺</w:t>
      </w:r>
      <w:r w:rsidRPr="007D545D">
        <w:rPr>
          <w:rFonts w:ascii="LMRoman10" w:hAnsi="LMRoman10"/>
        </w:rPr>
        <w:t>/K</w:t>
      </w:r>
      <w:r w:rsidRPr="007D545D">
        <w:rPr>
          <w:rFonts w:ascii="Cambria Math" w:hAnsi="Cambria Math" w:cs="Cambria Math"/>
        </w:rPr>
        <w:t>⁺</w:t>
      </w:r>
      <w:r w:rsidRPr="007D545D">
        <w:rPr>
          <w:rFonts w:ascii="LMRoman10" w:hAnsi="LMRoman10"/>
        </w:rPr>
        <w:t>-ATPase membranaire.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Ralentit la cadence ventriculaire en FA (utile chez le sujet en IC).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N'agit pas par blocage calcique, ni stimulation </w:t>
      </w:r>
      <w:r w:rsidRPr="007D545D">
        <w:rPr>
          <w:rFonts w:ascii="Courier New" w:hAnsi="Courier New" w:cs="Courier New"/>
          <w:i/>
          <w:iCs/>
          <w:color w:val="B45309"/>
        </w:rPr>
        <w:t>β</w:t>
      </w:r>
      <w:r w:rsidRPr="007D545D">
        <w:rPr>
          <w:rFonts w:ascii="LMRoman10" w:hAnsi="LMRoman10"/>
          <w:i/>
          <w:iCs/>
          <w:color w:val="B45309"/>
        </w:rPr>
        <w:t>1, ni blocage des r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cepteurs AT-II (distracteurs).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Association digoxine + diurétique hypokaliémiant = interaction pharmacodynamique da</w:t>
      </w:r>
      <w:r w:rsidRPr="007D545D">
        <w:rPr>
          <w:rFonts w:ascii="LMRoman10" w:hAnsi="LMRoman10"/>
          <w:i/>
          <w:iCs/>
          <w:color w:val="B45309"/>
        </w:rPr>
        <w:t>ngereuse (l'hypokaliémie majore la toxicité digitalique).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Q37, 2023N Q9, 2026N Q37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Ivabradine &amp; autres anti-angineux (dérivés nitrés, trimétazidine, nicorandil)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Ivabradine : anti-angineux qui RÉDUIT la fréquence cardiaque (inhibiteur du cou</w:t>
      </w:r>
      <w:r w:rsidRPr="007D545D">
        <w:rPr>
          <w:rFonts w:ascii="LMRoman10" w:hAnsi="LMRoman10"/>
        </w:rPr>
        <w:t>rant If sinusal) sans agir sur la conduction AV.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Dérivés nitrés : action rapide par voie SUBLINGUALE ; effet indésirable typique = céphalées.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L'ivabradine ne ralentit pas la conduction AV et ne sert pas à ralentir la cadence ventriculaire en FA.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L'effe</w:t>
      </w:r>
      <w:r w:rsidRPr="007D545D">
        <w:rPr>
          <w:rFonts w:ascii="LMRoman10" w:hAnsi="LMRoman10"/>
          <w:i/>
          <w:iCs/>
          <w:color w:val="B45309"/>
        </w:rPr>
        <w:t>t indésirable des nitrés n'est ni bradycardie, ni toux, ni diarrhée, mais les céphalées.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Q41, 2019R Q41, 2025N Q32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Ordonnances types à mémoriser (questions de cas cliniques)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IDM phase aiguë : aspirine + 2e antiagrégant (clopidogrel/prasugre</w:t>
      </w:r>
      <w:r w:rsidRPr="007D545D">
        <w:rPr>
          <w:rFonts w:ascii="LMRoman10" w:hAnsi="LMRoman10"/>
        </w:rPr>
        <w:t xml:space="preserve">l/ticagrelor) + statine + </w:t>
      </w:r>
      <w:r w:rsidRPr="007D545D">
        <w:rPr>
          <w:rFonts w:ascii="Courier New" w:hAnsi="Courier New" w:cs="Courier New"/>
        </w:rPr>
        <w:t>β</w:t>
      </w:r>
      <w:r w:rsidRPr="007D545D">
        <w:rPr>
          <w:rFonts w:ascii="LMRoman10" w:hAnsi="LMRoman10"/>
        </w:rPr>
        <w:t>-bloquant + HBPM.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AOMI symptomatique : antiagrégant (clopidogrel ou aspirine) + statine.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AVC ischémique sur sténose carotidienne : antiagrégant (aspirine) + statine.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ICC post-IDM : IEC + </w:t>
      </w:r>
      <w:r w:rsidRPr="007D545D">
        <w:rPr>
          <w:rFonts w:ascii="Courier New" w:hAnsi="Courier New" w:cs="Courier New"/>
        </w:rPr>
        <w:t>β</w:t>
      </w:r>
      <w:r w:rsidRPr="007D545D">
        <w:rPr>
          <w:rFonts w:ascii="LMRoman10" w:hAnsi="LMRoman10"/>
        </w:rPr>
        <w:t>-bloquant + aspirine + statine.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Prothèse valvulaire mécanique en FA : ralentir la cadence par </w:t>
      </w:r>
      <w:r w:rsidRPr="007D545D">
        <w:rPr>
          <w:rFonts w:ascii="Courier New" w:hAnsi="Courier New" w:cs="Courier New"/>
          <w:i/>
          <w:iCs/>
          <w:color w:val="B45309"/>
        </w:rPr>
        <w:t>β</w:t>
      </w:r>
      <w:r w:rsidRPr="007D545D">
        <w:rPr>
          <w:rFonts w:ascii="LMRoman10" w:hAnsi="LMRoman10"/>
          <w:i/>
          <w:iCs/>
          <w:color w:val="B45309"/>
        </w:rPr>
        <w:t>-bloquant / diltiazem / digoxine ET anticoaguler par AVK (jamais un AOD).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Q40, 2021N Q40, 2021R Q40, 2022N Q40, 2024N Q40-41, 2025N Q29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2] PHARMACOCINÉTIQUE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~4.33 Q/ex</w:t>
      </w: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amen (65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phases (vs pharmacodynamie)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Pharmacocinétique = devenir du médicament dans l'organisme : phases d'absorption, distribution, métabolisme, élimination (ADME).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Pharmacodynamie = effet principal et mécanisme d'action du médicament (</w:t>
      </w:r>
      <w:r w:rsidRPr="007D545D">
        <w:rPr>
          <w:rFonts w:ascii="Courier New" w:hAnsi="Courier New" w:cs="Courier New"/>
        </w:rPr>
        <w:t>≠</w:t>
      </w:r>
      <w:r w:rsidRPr="007D545D">
        <w:rPr>
          <w:rFonts w:ascii="LMRoman10" w:hAnsi="LMRoman10"/>
        </w:rPr>
        <w:t xml:space="preserve"> ADME).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La phase galénique = libération du principe actif à partir de la forme pharmaceutique (plus longue pour une forme solide que pour un sirop) ; fait partie de l'absorption.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La </w:t>
      </w:r>
      <w:r w:rsidRPr="007D545D">
        <w:rPr>
          <w:rFonts w:ascii="LMRoman10" w:hAnsi="LMRoman10"/>
          <w:i/>
          <w:iCs/>
          <w:color w:val="B45309"/>
        </w:rPr>
        <w:t>phase galénique n'est PAS la fixation protéique, ni la distribution, ni l'élimination.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pharmacocinétique ne « comprend pas » la fixation protéique comme phase à part : c'est une étape de la distribution.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Q3, 2019N Q3/Q10, 2021R Q11, 2022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N Q11, 2023R Q1, 2026N Q10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Mécanismes de franchissement membranaire (diffusion passive vs active)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Diffusion passive : non saturable, pas de compétition, dans le sens du gradient, sans énergie ; observée en absorption ET en distribution. C'est le mode le </w:t>
      </w:r>
      <w:r w:rsidRPr="007D545D">
        <w:rPr>
          <w:rFonts w:ascii="LMRoman10" w:hAnsi="LMRoman10"/>
        </w:rPr>
        <w:t>plus répandu de la distribution.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Transport/diffusion active : saturable, soumis à compétition, contre le gradient, consomme de l'énergie, via transporteurs ; possible en absorption, métabolisme et élimination.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Autres mécanismes digestifs : transport parace</w:t>
      </w:r>
      <w:r w:rsidRPr="007D545D">
        <w:rPr>
          <w:rFonts w:ascii="LMRoman10" w:hAnsi="LMRoman10"/>
        </w:rPr>
        <w:t>llulaire, pinocytose.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diffusion passive ne consomme pas d'énergie et ne se fait pas contre le gradient (erreurs systématiquement proposées).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transport actif n'est pas « le plus prépondérant ».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Q9/Q14, 2019R Q10, 2021N Q10/Q12, 2022N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Q10/Q12, 2024N Q9, 2026N Q12-13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Premier passage hépatique &amp; biodisponibilité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Premier passage : se fait essentiellement au niveau du FOIE, lors de la phase d'absorption ; marqué pour les médicaments LIPOSOLUBLES ; peut entraîner une perte importante du m</w:t>
      </w:r>
      <w:r w:rsidRPr="007D545D">
        <w:rPr>
          <w:rFonts w:ascii="LMRoman10" w:hAnsi="LMRoman10"/>
        </w:rPr>
        <w:t>édicament.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Biodisponibilité = fraction de la dose atteignant la circulation générale + vitesse d'apparition ; quantifie l'absorption ; absolue ou relative (vs voie de référence).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1er passage n'augmente PAS la demi-vie ni l'absorption ; il n'est pas ma</w:t>
      </w:r>
      <w:r w:rsidRPr="007D545D">
        <w:rPr>
          <w:rFonts w:ascii="LMRoman10" w:hAnsi="LMRoman10"/>
          <w:i/>
          <w:iCs/>
          <w:color w:val="B45309"/>
        </w:rPr>
        <w:t>rqué pour les hydrosolubles.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voie orale n'évite pas le 1er passage hépatique (à la différence des voies transdermique, sublinguale, rectale partielle).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Q12, 2020N Q10-11, 2023N Q12-13, 2024N Q10, 2025N Q7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Métabolisme (biotransformation)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Lieu privilégié = le FOIE (enzymes du cytochrome P450) ; réactions de phase 1 et de phase 2.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Aboutit généralement à une inactivation, mais peut produire des métabolites ACTIFS (parfois toxiques).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Influencé par le facteur g</w:t>
      </w:r>
      <w:r w:rsidRPr="007D545D">
        <w:rPr>
          <w:rFonts w:ascii="LMRoman10" w:hAnsi="LMRoman10"/>
        </w:rPr>
        <w:t>énétique et les interactions (induction/inhibition enzymatique).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métabolisme n'est pas évalué par la biodisponibilité ni le volume de distribution.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Il EST influencé par le facteur génétique (proposition inverse fausse).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Q13, 2020N Q12,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2021N Q13, 2024N Q11, 2026N Q14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Inducteurs et inhibiteurs enzymatiques (à connaître par cœur)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Inducteurs : phénytoïne, carbamazépine, rifampicine, phénobarbital → accélèrent le catabolisme → ↓ effet et ↓ demi-vie du médicament associé.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Inhibiteurs : cim</w:t>
      </w:r>
      <w:r w:rsidRPr="007D545D">
        <w:rPr>
          <w:rFonts w:ascii="LMRoman10" w:hAnsi="LMRoman10"/>
        </w:rPr>
        <w:t>étidine, isoniazide → ↑ concentration et effet du médicament associé.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carbamazépine et la phénytoïne sont des INDUCTEURS (souvent proposées à tort comme inhibiteurs).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L'induction n'augmente pas la demi-vie ni l'absorption du médicament associé.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Q13, 2023R Q9-Q10, 2024R Q11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Distribution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Étape de diffusion vers les tissus, indispensable à l'action ; comprend la fixation protéique ; nécessite le franchissement de membranes.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Facteurs : fixation aux protéines plasmatiques, nature des b</w:t>
      </w:r>
      <w:r w:rsidRPr="007D545D">
        <w:rPr>
          <w:rFonts w:ascii="LMRoman10" w:hAnsi="LMRoman10"/>
        </w:rPr>
        <w:t>arrières tissulaires, solubilité du médicament ; peut être modifiée par une interaction.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distribution ne se fait pas « essentiellement par diffusion active » (c'est la diffusion passive).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Elle ne comprend pas de réabsorption tubulaire ni de filtrati</w:t>
      </w:r>
      <w:r w:rsidRPr="007D545D">
        <w:rPr>
          <w:rFonts w:ascii="LMRoman10" w:hAnsi="LMRoman10"/>
          <w:i/>
          <w:iCs/>
          <w:color w:val="B45309"/>
        </w:rPr>
        <w:t>on glomérulaire (= élimination).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Q14, 2020N Q13, 2022N Q14, 2023N Q14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Élimination &amp; demi-vie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Voies : rénale (filtration glomérulaire = petites molécules ; sécrétion et réabsorption tubulaires), pulmonaire, sudorale, lactée, biliaire.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Filtra</w:t>
      </w:r>
      <w:r w:rsidRPr="007D545D">
        <w:rPr>
          <w:rFonts w:ascii="LMRoman10" w:hAnsi="LMRoman10"/>
        </w:rPr>
        <w:t>tion glomérulaire modulée par la fixation protéique ; réabsorption tubulaire DÉPEND du pH urinaire.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Le médicament peut être éliminé sous forme ACTIVE.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Demi-vie plasmatique = temps pour que la concentration diminue de 50 %.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Paramètres d'élimination = claira</w:t>
      </w:r>
      <w:r w:rsidRPr="007D545D">
        <w:rPr>
          <w:rFonts w:ascii="LMRoman10" w:hAnsi="LMRoman10"/>
        </w:rPr>
        <w:t>nce et demi-vie.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filtration glomérulaire concerne les PETITES molécules (pas les grandes).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réabsorption tubulaire dépend bien du pH urinaire (proposition inverse fausse).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L'élimination peut être sujette à interaction (induction/inhibition).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Q11, 2019R Q14, 2020N Q14, 2021N Q14, 2021R Q14, 2023R Q11, 2025N Q10-11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3] LES RÈGLES GÉNÉRALES DE LA PRESCRIPTION MÉDICAMENTEUSE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~3.47 Q/examen (52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Mentions obligatoires d'une ordonnance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Lisible, nom du patient, nom + adresse du prescripteur, signature ; délivrée après examen du patient.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Peut comporter : prescription d'examens complémentaires, de soins infirmiers, de lunettes de correction, le poids/âge du patient.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Types : simple, sécurisé</w:t>
      </w:r>
      <w:r w:rsidRPr="007D545D">
        <w:rPr>
          <w:rFonts w:ascii="LMRoman10" w:hAnsi="LMRoman10"/>
        </w:rPr>
        <w:t>e, bizone (ALD), non renouvelable.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Première délivrance dans les 3 mois suivant la prescription.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L'ordonnance ne comporte pas obligatoirement le diagnostic, ni les antécédents/résultats de bilan (sauf l'essentiel).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Q18, 2023N Q20-21, 2024R Q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17-19, 2026N Q18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Classement des médicaments (listes)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Liste I : médicaments classés pouvant présenter un risque ; prescription obligatoire ; non renouvelable sauf mention.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Liste II : renouvelable sauf si la prescription l'exclut.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Médicaments non listés : </w:t>
      </w:r>
      <w:r w:rsidRPr="007D545D">
        <w:rPr>
          <w:rFonts w:ascii="LMRoman10" w:hAnsi="LMRoman10"/>
        </w:rPr>
        <w:t>vente libre / automédication, pas dénués de risque à forte dose ou usage prolongé.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Stupéfiants : ordonnance SÉCURISÉE (papier filigrané, numéro d'identification, nombre d'unités/prises/dosage en TOUTES LETTRES).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médicaments de liste I ne sont ni « pa</w:t>
      </w:r>
      <w:r w:rsidRPr="007D545D">
        <w:rPr>
          <w:rFonts w:ascii="LMRoman10" w:hAnsi="LMRoman10"/>
          <w:i/>
          <w:iCs/>
          <w:color w:val="B45309"/>
        </w:rPr>
        <w:t>rticulièrement coûteux » ni « stupéfiants » par définition.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stupéfiants ne se prescrivent ni sur ordonnance simple ni bizone.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Q18/Q21, 2020N Q18, 2021N Q18, 2022N Q19/Q21, 2023R Q18, 2026N Q19-21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Catégories particulières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Médicaments d</w:t>
      </w:r>
      <w:r w:rsidRPr="007D545D">
        <w:rPr>
          <w:rFonts w:ascii="LMRoman10" w:hAnsi="LMRoman10"/>
        </w:rPr>
        <w:t>'exception : coûteux, indications précises, ordonnance spéciale.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ATU (autorisation temporaire d'utilisation) : maladies graves ou rares sans alternative thérapeutique.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Médicaments à surveillance particulière : prescription/renouvellement subordonnés à des </w:t>
      </w:r>
      <w:r w:rsidRPr="007D545D">
        <w:rPr>
          <w:rFonts w:ascii="LMRoman10" w:hAnsi="LMRoman10"/>
        </w:rPr>
        <w:t>examens périodiques (= prescription restreinte).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Usage hospitalier / prescription hospitalière : prescrits par un médecin hospitalier, délivrés par un pharmacien hospitalier.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ATU ne sont pas définis comme « médicaments coûteux » ni « pour ALD ».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Q19, 2019N Q20, 2021N Q19-20, 2025N Q19, 2026N Q21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Prescripteurs, observance, générique/princeps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Prescripteurs : médecin, chirurgien-dentiste, sage-femme (dans leur champ).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Observance = adhésion du patient à son traitement ; influencée par </w:t>
      </w:r>
      <w:r w:rsidRPr="007D545D">
        <w:rPr>
          <w:rFonts w:ascii="LMRoman10" w:hAnsi="LMRoman10"/>
        </w:rPr>
        <w:t>l'âge, la maladie, les EI, le nombre de médicaments ; peut expliquer un échec thérapeutique.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Générique vs princeps : bioéquivalents (même composition qualitative ET quantitative en PA).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L'observance EST influencée par le nombre de médicaments et l'âge (propositions inverses fausses).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Générique et princeps n'ont pas une composition « différente ».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Q10/Q21, 2020N Q19, 2021R Q19, 2022N Q20, 2024N Q19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>[RANG 4] LA VIE DU MÉDICA</w:t>
      </w:r>
      <w:r w:rsidRPr="007D545D">
        <w:rPr>
          <w:rFonts w:ascii="LMRoman10" w:hAnsi="LMRoman10"/>
        </w:rPr>
        <w:t>MENT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~3.0 Q/examen (45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Origines &amp; phase de découverte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Origines : substance minérale, plante, organisme vivant (biotechnologie), synthèse chimique.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Découverte : tirage aléatoire (passage sur une batterie de tests), modification de</w:t>
      </w:r>
      <w:r w:rsidRPr="007D545D">
        <w:rPr>
          <w:rFonts w:ascii="LMRoman10" w:hAnsi="LMRoman10"/>
        </w:rPr>
        <w:t xml:space="preserve"> structure d'un médicament existant, fabrication rationnelle basée sur la physiopathologie.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Un médicament issu de la biotechnologie est produit à partir d'un organisme vivant.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tirage aléatoire n'a pas une « grande probabilité de succès » et ne part pa</w:t>
      </w:r>
      <w:r w:rsidRPr="007D545D">
        <w:rPr>
          <w:rFonts w:ascii="LMRoman10" w:hAnsi="LMRoman10"/>
          <w:i/>
          <w:iCs/>
          <w:color w:val="B45309"/>
        </w:rPr>
        <w:t>s d'un médicament existant amélioré.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Q1-2, 2020N Q3, 2021N Q3, 2023N Q4, 2026N Q1/Q3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Études précliniques (chez l'animal)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Pharmacodynamie animale : effet principal + mécanisme d'action + effets concomitants.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Pharmacocinétique animale : absor</w:t>
      </w:r>
      <w:r w:rsidRPr="007D545D">
        <w:rPr>
          <w:rFonts w:ascii="LMRoman10" w:hAnsi="LMRoman10"/>
        </w:rPr>
        <w:t>ption, distribution, métabolisme, élimination.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Toxicologie : toxicité aiguë (DL50), toxicité en administration réitérée/prolongée, fonction de reproduction (foetotoxicité, développement postnatal), cancérogenèse, mutagenèse/génotoxicité, fertilité.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Support</w:t>
      </w:r>
      <w:r w:rsidRPr="007D545D">
        <w:rPr>
          <w:rFonts w:ascii="LMRoman10" w:hAnsi="LMRoman10"/>
        </w:rPr>
        <w:t>s : animaux vivants, organes isolés, tissus, cellules en culture, récepteurs.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études précliniques NE testent PAS le médicament chez l'homme.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études de cancérogenèse sont de longue durée, par la voie thérapeutique, déclenchées si images suspecte</w:t>
      </w:r>
      <w:r w:rsidRPr="007D545D">
        <w:rPr>
          <w:rFonts w:ascii="LMRoman10" w:hAnsi="LMRoman10"/>
          <w:i/>
          <w:iCs/>
          <w:color w:val="B45309"/>
        </w:rPr>
        <w:t>s en toxicologie réitérée — elles n'étudient pas la tératogenèse ni la PK.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Elles ne prédisent pas « dans tous les cas » la toxicité chez l'homme.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Q4, 2020N Q1-2/Q4, 2021N Q1-2/Q4, 2021R Q1-5, 2024N Q1-3, 2024R Q1-2, 2026N Q2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AMM &amp; critères d'enregistrement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Le dossier de demande d'AMM est déposé lorsqu'on veut commercialiser le médicament (après les essais cliniques).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Critères d'enregistrement : qualité pharmaceutique, sécurité d'utilisation, efficacité thérapeutique.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CO</w:t>
      </w:r>
      <w:r w:rsidRPr="007D545D">
        <w:rPr>
          <w:rFonts w:ascii="LMRoman10" w:hAnsi="LMRoman10"/>
          <w:i/>
          <w:iCs/>
          <w:color w:val="B45309"/>
        </w:rPr>
        <w:t>ÛT n'est pas un critère d'enregistrement.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L'AMM n'est pas déposée avant les études de toxicité ni pendant les phases précliniques.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Q1-2, 2022N Q4, 2023N Q1-2, 2023R Q3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5] TOXICOLOGIE (MODULE S6 TOXICO-PHARMA)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—  •  ~2.67 Q/examen (40 </w:t>
      </w: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Toxicocinétique &amp; techniques analytiques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Distribution des toxiques : surtout diffusion passive, dépend de l'ionisation, de la liaison protéique, du tropisme d'organe.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Élimination urinaire : toxiques hydrophiles, non liés aux protéines,</w:t>
      </w:r>
      <w:r w:rsidRPr="007D545D">
        <w:rPr>
          <w:rFonts w:ascii="LMRoman10" w:hAnsi="LMRoman10"/>
        </w:rPr>
        <w:t xml:space="preserve"> filtration glomérulaire ; modulable thérapeutiquement (diurèse, pH) — pas toujours passive.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Extraction liquide-liquide : un acide est extrait en phase organique quand le milieu est ACIDE (pH &lt; pKa, forme non ionisée). Bon solvant = non miscible, grande af</w:t>
      </w:r>
      <w:r w:rsidRPr="007D545D">
        <w:rPr>
          <w:rFonts w:ascii="LMRoman10" w:hAnsi="LMRoman10"/>
        </w:rPr>
        <w:t>finité, faible toxicité.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Minéralisation : sèche (four à moufle, cendres, perte d'éléments volatils) ; humide (acides concentrés, pour les métaux Pb/Hg).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Une forte liaison protéique d'un toxique diminue la toxicité aiguë immédiate mais PROLONGE l'intoxica</w:t>
      </w:r>
      <w:r w:rsidRPr="007D545D">
        <w:rPr>
          <w:rFonts w:ascii="LMRoman10" w:hAnsi="LMRoman10"/>
          <w:i/>
          <w:iCs/>
          <w:color w:val="B45309"/>
        </w:rPr>
        <w:t>tion (ex. warfarine liée à 99 % vs phénobarbital à 50 %).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minéralisation sèche n'utilise PAS d'acides concentrés ; la minéralisation humide ne s'applique pas aux métaux volatils.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DL50 évalue la toxicité AIGUË (pas chronique).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ToxS6-2025 Q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1-13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Pesticides — organophosphorés, carbamates, organochlorés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Organophosphorés : inhibition de l'acétylcholinestérase (syndrome muscarinique + nicotinique) ; antidote = pralidoxime (régénère l'AChE, effets muscariniques ET nicotiniques) ± atropine.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Carba</w:t>
      </w:r>
      <w:r w:rsidRPr="007D545D">
        <w:rPr>
          <w:rFonts w:ascii="LMRoman10" w:hAnsi="LMRoman10"/>
        </w:rPr>
        <w:t>mates : inhibition RÉVERSIBLE de l'AChE, PAS de phénomène d'aging ; syndrome cholinergique possible.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Organochlorés : très liposolubles, persistants dans l'environnement, pas d'antidote efficace.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organophosphorés inhibent l'AChE de façon IRRÉVERSIBLE (aging) — pas réversible.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Avec les carbamates, la pralidoxime n'est pas systématiquement recommandée (inhibition réversible).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ToxS6-2025 Q14-18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Toxiques gazeux &amp; solvants — phosphure d'al</w:t>
      </w: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uminium, CO, benzène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Phosphure d'aluminium : libère la phosphine (PH</w:t>
      </w:r>
      <w:r w:rsidRPr="007D545D">
        <w:rPr>
          <w:rFonts w:ascii="Cambria Math" w:hAnsi="Cambria Math" w:cs="Cambria Math"/>
        </w:rPr>
        <w:t>₃</w:t>
      </w:r>
      <w:r w:rsidRPr="007D545D">
        <w:rPr>
          <w:rFonts w:ascii="LMRoman10" w:hAnsi="LMRoman10"/>
        </w:rPr>
        <w:t>) dans l'estomac, inhibe la cytochrome c oxydase (bloque la phosphorylation oxydative) ; N-ac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tylcyst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ine contre le stress oxydatif.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Monoxyde de carbone : gaz inodore, réducteur, absorbe les IR ; dosage de la carboxyhémoglobine (HbCO) par spectrophotométrie / carboxymètre ; triade céphalées-vomissements-vertiges ; oxygénothérapie hyperbare ; séquelles neurologiques possibles.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Benzène : </w:t>
      </w:r>
      <w:r w:rsidRPr="007D545D">
        <w:rPr>
          <w:rFonts w:ascii="LMRoman10" w:hAnsi="LMRoman10"/>
        </w:rPr>
        <w:t>toxicité médullaire (aplasie), cancérogène avéré chez l'homme ; métabolites = phénol, hydroquinone, acide trans-muconique, acide phénylmercapturique.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L'atropine n'est PAS l'antidote de la phosphine.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CO donne une TACHYcardie (la bradycardie est l'ite</w:t>
      </w:r>
      <w:r w:rsidRPr="007D545D">
        <w:rPr>
          <w:rFonts w:ascii="LMRoman10" w:hAnsi="LMRoman10"/>
          <w:i/>
          <w:iCs/>
          <w:color w:val="B45309"/>
        </w:rPr>
        <w:t>m faux) ; l'affinité Hb-CO est ~210 fois SUPÉRIEURE (pas inférieure) à celle de l'O</w:t>
      </w:r>
      <w:r w:rsidRPr="007D545D">
        <w:rPr>
          <w:rFonts w:ascii="Cambria Math" w:hAnsi="Cambria Math" w:cs="Cambria Math"/>
          <w:i/>
          <w:iCs/>
          <w:color w:val="B45309"/>
        </w:rPr>
        <w:t>₂</w:t>
      </w:r>
      <w:r w:rsidRPr="007D545D">
        <w:rPr>
          <w:rFonts w:ascii="LMRoman10" w:hAnsi="LMRoman10"/>
          <w:i/>
          <w:iCs/>
          <w:color w:val="B45309"/>
        </w:rPr>
        <w:t xml:space="preserve"> ; le CO est 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limin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 xml:space="preserve"> par voie pulmonaire.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L'acide benzoïque n'est pas un métabolite du benzène.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ToxS6-2025 Q19, Q25-30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Alcools — éthanol, méthanol, éthylène glyco</w:t>
      </w: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l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Éthanol : ADH → acétaldéhyde (métabolite TOXIQUE) → ALDH → acide acétique. Disulfirame (Antabuse) = inhibiteur de l'ALDH (accumulation d'acétaldéhyde, effet antabuse).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Méthanol : acidose métabolique, atteinte oculaire sévère ; antidote = fomépizole (4-</w:t>
      </w:r>
      <w:r w:rsidRPr="007D545D">
        <w:rPr>
          <w:rFonts w:ascii="LMRoman10" w:hAnsi="LMRoman10"/>
        </w:rPr>
        <w:t>méthylpyrazole, inhibiteur de l'ADH).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Éthylène glycol : IRA avec cristaux d'oxalate de calcium urinaires, acidose métabolique à trou anionique élevé, hypocalcémie.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métabolisme du méthanol est PLUS LENT que celui de l'éthanol (item « plus rapide » faux</w:t>
      </w:r>
      <w:r w:rsidRPr="007D545D">
        <w:rPr>
          <w:rFonts w:ascii="LMRoman10" w:hAnsi="LMRoman10"/>
          <w:i/>
          <w:iCs/>
          <w:color w:val="B45309"/>
        </w:rPr>
        <w:t>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disulfirame inhibe l'ALDH (pas l'ADH) et n'augmente pas l'élimination rénale de l'éthanol.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ToxS6-2025 Q20-24, Q39-40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Métaux lourds — plomb, mercure, cadmium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Mécanisme commun : inhibition enzymatique par liaison aux groupements THIOL.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Plom</w:t>
      </w:r>
      <w:r w:rsidRPr="007D545D">
        <w:rPr>
          <w:rFonts w:ascii="LMRoman10" w:hAnsi="LMRoman10"/>
        </w:rPr>
        <w:t>b (saturnisme) : anémie, bandes métaphysaires radiologiques, troubles neuro ; surveillance = plombémie, plomburie, ALA-urinaire (acide delta-aminolévulinique), porphyrines urinaires ; relargage osseux favorisé par ostéoporose et corticothérapie.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Mercure : </w:t>
      </w:r>
      <w:r w:rsidRPr="007D545D">
        <w:rPr>
          <w:rFonts w:ascii="LMRoman10" w:hAnsi="LMRoman10"/>
        </w:rPr>
        <w:t>le dosage urinaire ne reflète pas le méthylmercure (élimination biliaire).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Cadmium : maladie Itaï-Itaï. Dosage le plus précis des métaux = spectrométrie d'absorption atomique.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méthémoglobinémie n'est pas un marqueur d'exposition au plomb (distracteur)</w:t>
      </w:r>
      <w:r w:rsidRPr="007D545D">
        <w:rPr>
          <w:rFonts w:ascii="LMRoman10" w:hAnsi="LMRoman10"/>
          <w:i/>
          <w:iCs/>
          <w:color w:val="B45309"/>
        </w:rPr>
        <w:t>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ToxS6-2025 Q31-38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6] LES ESSAIS CLINIQUES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—  •  ~2.67 Q/examen (40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finalité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Essais cliniques = études chez l'HOMME, après les études chez l'animal ; étudient l'effet thérapeutique, la tolérance et la pharmacocinétique chez l'homme.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Comportent des phases successives ; peuvent être faits en double aveugle.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essais cliniques n'évaluent pas les effets indésirables RARES (cela relève de la pharmacovigilance / phase IV).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Ils ne se font pas chez l'animal ni in vitro ; ils ne se font pas sur sujets « non volontaires ».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Q4, 2023R Q5, 2024N Q4, 20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24R Q4, 2025N Q4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Les phases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Phase I : 1re administration à l'homme (volontaires sains), tolérance + dose maximale tolérée + PK.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Phase II : efficacité sur une population limitée de malades + posologie efficace pour la phase III.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Phase III : efficacité à g</w:t>
      </w:r>
      <w:r w:rsidRPr="007D545D">
        <w:rPr>
          <w:rFonts w:ascii="LMRoman10" w:hAnsi="LMRoman10"/>
        </w:rPr>
        <w:t>rande échelle, multicentrique, déterminante pour la commercialisation.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Phase IV : après commercialisation, détection des effets indésirables + nouvelles indications.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phase I ne recherche pas l'efficacité ni la dose efficace (c'est la phase II) et ne c</w:t>
      </w:r>
      <w:r w:rsidRPr="007D545D">
        <w:rPr>
          <w:rFonts w:ascii="LMRoman10" w:hAnsi="LMRoman10"/>
          <w:i/>
          <w:iCs/>
          <w:color w:val="B45309"/>
        </w:rPr>
        <w:t>omporte pas d'études de cancérogenèse.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phase III n'est pas « après mise sur le marché » (c'est la phase IV).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Q5-6, 2019R Q6-7, 2020N Q6, 2021N Q6, 2022N Q5-7, 2024N Q5, 2025N Q5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Méthodologie : les 3 principes majeurs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Comparativité (gro</w:t>
      </w:r>
      <w:r w:rsidRPr="007D545D">
        <w:rPr>
          <w:rFonts w:ascii="LMRoman10" w:hAnsi="LMRoman10"/>
        </w:rPr>
        <w:t>upe témoin), aveugle (le malade ignore le traitement reçu), randomisation (répartition au hasard par tirage au sort).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Groupes parallèles : chaque groupe reçoit un traitement différent ; multicentrique : plusieurs centres.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Avant le démarrage : protocole de </w:t>
      </w:r>
      <w:r w:rsidRPr="007D545D">
        <w:rPr>
          <w:rFonts w:ascii="LMRoman10" w:hAnsi="LMRoman10"/>
        </w:rPr>
        <w:t>recherche + autorisation des autorités compétentes + avis du comité de protection des personnes + randomisation.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3 principes ne sont ni « grand nombre de patients » ni « longue durée » ni « in vitro »/« rétrospectif ».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L'AMM n'est pas demandée avant le démarrage d'un essai.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2020N Q5/Q7, 2021N Q7, 2021R Q7, 2023N Q7, 2024R Q5, 2025N Q6, 2026N Q7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Études animales requises avant un essai clinique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Obligatoires : pharmacodynamie, pharmacocinétique, fertilité, mutagen</w:t>
      </w:r>
      <w:r w:rsidRPr="007D545D">
        <w:rPr>
          <w:rFonts w:ascii="LMRoman10" w:hAnsi="LMRoman10"/>
        </w:rPr>
        <w:t>èse/génotoxicité ; permettent de calculer la dose et la durée d'administration prévues chez l'homme.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La cancérogenèse n'est PAS obligatoire avant tout essai.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études animales ne prédisent pas « dans tous les cas » le risque de toxicité chez l'homme.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Q6-7, 2019R Q2, 2021N Q5, 2021R Q5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7] EFFETS INDÉSIRABLES DES MÉDICAMENTS ET PHARMACOVIGILANCE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~2.4 Q/examen (36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Mécanismes des effets indésirables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Dose-dépendant (lié à l'effet pharmacologique principal recherché/non recherché ou à une propriété parallèle).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Immuno-allergique : non prévisible, nécessite une SENSIBILISATION préalable, survient à posologie normale, atteintes cutanée/bronchique/hépatique</w:t>
      </w:r>
      <w:r w:rsidRPr="007D545D">
        <w:rPr>
          <w:rFonts w:ascii="LMRoman10" w:hAnsi="LMRoman10"/>
        </w:rPr>
        <w:t>, peut être grave.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Idiosyncrasique : réaction qualitativement anormale, susceptibilité GÉNÉTIQUE, survient chez un nombre limité de patients.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>Un EI peut être bénin ou grave, cause d'arrêt du traitement, et peut survenir à posologie normale.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L'effet idios</w:t>
      </w:r>
      <w:r w:rsidRPr="007D545D">
        <w:rPr>
          <w:rFonts w:ascii="LMRoman10" w:hAnsi="LMRoman10"/>
          <w:i/>
          <w:iCs/>
          <w:color w:val="B45309"/>
        </w:rPr>
        <w:t>yncrasique n'est PAS une réaction immuno-allergique et n'exige pas de sensibilisation préalable ; il n'est pas « lié au mécanisme d'action ».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Un EI ne survient pas « toujours » à forte posologie ; ce n'est pas la 1re cause à évoquer devant tout symptôme </w:t>
      </w:r>
      <w:r w:rsidRPr="007D545D">
        <w:rPr>
          <w:rFonts w:ascii="LMRoman10" w:hAnsi="LMRoman10"/>
          <w:i/>
          <w:iCs/>
          <w:color w:val="B45309"/>
        </w:rPr>
        <w:t>(éliminer d'abord une cause non médicamenteuse).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Q15, 2019N Q15-16, 2020N Q15, 2021R Q16, 2023N Q15/Q17, 2025N Q12-13, 2026N Q15/Q17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Imputabilité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Repose sur des critères CHRONOLOGIQUES (délai de survenue, évolution à l'arrêt, à la réintrodu</w:t>
      </w:r>
      <w:r w:rsidRPr="007D545D">
        <w:rPr>
          <w:rFonts w:ascii="LMRoman10" w:hAnsi="LMRoman10"/>
        </w:rPr>
        <w:t>ction) et SÉMIOLOGIQUES (tableau clinique).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Un EI est évoqué après élimination d'une cause non médicamenteuse.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L'imputabilité ne repose pas sur les caractéristiques chimiques du médicament ni sur le nombre de prises par jour.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Q16, 2021N Q16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, 2022N Q15, 2024N Q14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Pharmacovigilance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Surveillance des risques après commercialisation ; met en évidence les effets indésirables RARES ; fait appel à des méthodes d'imputabilité ; organisation variable selon les pays ; contribue à la sécurité d'utilisation.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Prévention d'un EI : prise en compte</w:t>
      </w:r>
      <w:r w:rsidRPr="007D545D">
        <w:rPr>
          <w:rFonts w:ascii="LMRoman10" w:hAnsi="LMRoman10"/>
        </w:rPr>
        <w:t xml:space="preserve"> du terrain, du RCP, des contre-indications et des interactions ; pas toujours possible.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pharmacovigilance ne peut PAS être remplacée par l'étude des EI lors des essais cliniques (et inversement).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Elle n'évalue pas l'efficacité des médicaments et n'</w:t>
      </w:r>
      <w:r w:rsidRPr="007D545D">
        <w:rPr>
          <w:rFonts w:ascii="LMRoman10" w:hAnsi="LMRoman10"/>
          <w:i/>
          <w:iCs/>
          <w:color w:val="B45309"/>
        </w:rPr>
        <w:t>est pas destinée aux effets « fréquents ».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2024N Q13, 2024R Q13-14, 2025N Q14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Médicaments de contrefaçon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Reproduction frauduleuse ; peuvent contenir le bon PA mais sous-dosé, ou aucune trace de PA ; nuisibles, peuvent entraîner une insuffisance d</w:t>
      </w:r>
      <w:r w:rsidRPr="007D545D">
        <w:rPr>
          <w:rFonts w:ascii="LMRoman10" w:hAnsi="LMRoman10"/>
        </w:rPr>
        <w:t>e traitement voire le décès.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Ils ne respectent PAS les exigences de qualité/sécurité et ne sont pas vendus en pharmacie.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2020N Q16, 2023N Q16, 2026N Q16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8] LES INTERACTIONS MÉDICAMENTEUSES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~1.93 Q/examen (29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Interactions pharmacocinétiques vs pharmacodynamiques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Pharmacocinétiques : fixation protéique (↑ forme libre → ↑ effet), induction/inhibition enzymatique, modification du pH gastrique, transport actif ; surviennent en absorption, distribution, métabolism</w:t>
      </w:r>
      <w:r w:rsidRPr="007D545D">
        <w:rPr>
          <w:rFonts w:ascii="LMRoman10" w:hAnsi="LMRoman10"/>
        </w:rPr>
        <w:t>e et élimination.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Pharmacodynamiques : même récepteur, même fonction physiologique, modification de l'équilibre ionique.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Une interaction PD au niveau du récepteur n'est pas une interaction PK de fixation protéique (ne pas confondre les niveaux).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in</w:t>
      </w:r>
      <w:r w:rsidRPr="007D545D">
        <w:rPr>
          <w:rFonts w:ascii="LMRoman10" w:hAnsi="LMRoman10"/>
          <w:i/>
          <w:iCs/>
          <w:color w:val="B45309"/>
        </w:rPr>
        <w:t>teractions peuvent survenir en phase d'élimination et d'absorption (propositions inverses fausses).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2020N Q8, 2021N Q8, 2023R Q7, 2024N Q7, 2025N Q25, 2026N Q8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Synergie, potentialisation, antagonisme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Synergie : deux médicaments à activité qualita</w:t>
      </w:r>
      <w:r w:rsidRPr="007D545D">
        <w:rPr>
          <w:rFonts w:ascii="LMRoman10" w:hAnsi="LMRoman10"/>
        </w:rPr>
        <w:t>tivement SEMBLABLE.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Potentialisation : deux médicaments à activité qualitativement DIFFÉRENTE.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Antagonisme : compétitif ou non compétitif, ↓ effet des médicaments associés, peut avoir un intérêt thérapeutique.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>Les interactions peuvent être recherchées et UTILES (potentialisation/synergie en thérapeutique).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Ne pas inverser synergie (semblable) et potentialisation (différente) — piège classique.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L'antagonisme n'augmente pas l'effet et n'est pas une incompatibi</w:t>
      </w:r>
      <w:r w:rsidRPr="007D545D">
        <w:rPr>
          <w:rFonts w:ascii="LMRoman10" w:hAnsi="LMRoman10"/>
          <w:i/>
          <w:iCs/>
          <w:color w:val="B45309"/>
        </w:rPr>
        <w:t>lité physico-chimique entre injectables.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Q7-8, 2021N Q9, 2021R Q9, 2022N Q8, 2024R Q7, 2026N Q9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Inducteurs/inhibiteurs &amp; associations contre-indiquées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Inducteur enzymatique → accélère l'inactivation / le catabolisme → ↓ effet du médicament </w:t>
      </w:r>
      <w:r w:rsidRPr="007D545D">
        <w:rPr>
          <w:rFonts w:ascii="LMRoman10" w:hAnsi="LMRoman10"/>
        </w:rPr>
        <w:t>associé (et ↓ sa demi-vie).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Inhibiteurs : cimétidine, isoniazide. Inducteurs : phénytoïne, carbamazépine, rifampicine, phénobarbital.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Contre-indication absolue = association à conséquences cliniques GRAVES et FRÉQUENTES.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Exemple PD : digoxine + hypokaliémi</w:t>
      </w:r>
      <w:r w:rsidRPr="007D545D">
        <w:rPr>
          <w:rFonts w:ascii="LMRoman10" w:hAnsi="LMRoman10"/>
        </w:rPr>
        <w:t>ant (interaction par modification de l'équilibre ionique).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Dans une CI absolue, l'association n'est PAS possible « dans certains cas » ni « sous surveillance » (</w:t>
      </w:r>
      <w:r w:rsidRPr="007D545D">
        <w:rPr>
          <w:rFonts w:ascii="Courier New" w:hAnsi="Courier New" w:cs="Courier New"/>
          <w:i/>
          <w:iCs/>
          <w:color w:val="B45309"/>
        </w:rPr>
        <w:t>≠</w:t>
      </w:r>
      <w:r w:rsidRPr="007D545D">
        <w:rPr>
          <w:rFonts w:ascii="LMRoman10" w:hAnsi="LMRoman10"/>
          <w:i/>
          <w:iCs/>
          <w:color w:val="B45309"/>
        </w:rPr>
        <w:t xml:space="preserve"> association d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conseill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Q9, 2019R Q9, 2023N Q9, 2023R Q9-10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9] LES A</w:t>
      </w:r>
      <w:r w:rsidRPr="007D545D">
        <w:rPr>
          <w:rFonts w:ascii="LMRoman10" w:hAnsi="LMRoman10"/>
        </w:rPr>
        <w:t>NTI-INFLAMMATOIRES (AINS + CORTICOÏDES)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~1.73 Q/examen (26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AINS — classification, contre-indications, grossesse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Classification basée sur la sélectivité d'inhibition de la cyclo-oxygénase (COX) et la demi-vie.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Contre-indications : 1er et 3e trimestres de grossesse, allaitement, insuffisance hépatique sévère, ulcère gastrique évolutif, IC avancée, IR terminale, syndrome de Widal, infection évolutive.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Au 3e trimestre : fermeture prématurée du canal artériel, risqu</w:t>
      </w:r>
      <w:r w:rsidRPr="007D545D">
        <w:rPr>
          <w:rFonts w:ascii="LMRoman10" w:hAnsi="LMRoman10"/>
        </w:rPr>
        <w:t>e hémorragique fœtal, retard d'accouchement ; tératogène possible au 1er trimestre.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Risque d'IRA fonctionnelle SAUF en cas d'insuffisance hépatique (item « non justifié si insuffisance hépatique »).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risque d'ulcère est majoré par l'âge, la forte dos</w:t>
      </w:r>
      <w:r w:rsidRPr="007D545D">
        <w:rPr>
          <w:rFonts w:ascii="LMRoman10" w:hAnsi="LMRoman10"/>
          <w:i/>
          <w:iCs/>
          <w:color w:val="B45309"/>
        </w:rPr>
        <w:t>e, l'association aux corticoïdes et les antécédents — PAS par l'association à un IPP (qui est protecteur) ni au paracétamol.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Q47, 2021N Q47, 2022N Q47, 2023N Q47, 2024R Q47, 2025N Q43, 2026N Q46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Corticoïdes — effets, mécanisme, contre-indications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Mécanisme génomique : effets anti-inflammatoire, immunosuppresseur et anti-allergique (cellules de la lignée blanche, cellules endothéliales, cytokines).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Effets indésirables au long cours : ostéoporose,</w:t>
      </w:r>
      <w:r w:rsidRPr="007D545D">
        <w:rPr>
          <w:rFonts w:ascii="LMRoman10" w:hAnsi="LMRoman10"/>
        </w:rPr>
        <w:t xml:space="preserve"> ostéonécrose aseptique, diabète, HTA, rétention hydrosodée, hypokaliémie, retard staturo-pondéral, psychose/troubles de l'humeur, acné, syndrome cushingoïde.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Contre-indications : diabète décompensé, HTA sévère, infections non contrôlées.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Mesures associées</w:t>
      </w:r>
      <w:r w:rsidRPr="007D545D">
        <w:rPr>
          <w:rFonts w:ascii="LMRoman10" w:hAnsi="LMRoman10"/>
        </w:rPr>
        <w:t xml:space="preserve"> : régime sans sel, riche en protéines, supplémentation potassique et calcique.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Prednisone vs dexaméthasone : équivalence différente ; la dexaméthasone a une demi-vie plus longue et un effet freinateur plus important.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corticoïdes donnent une HYPOkali</w:t>
      </w:r>
      <w:r w:rsidRPr="007D545D">
        <w:rPr>
          <w:rFonts w:ascii="LMRoman10" w:hAnsi="LMRoman10"/>
          <w:i/>
          <w:iCs/>
          <w:color w:val="B45309"/>
        </w:rPr>
        <w:t>émie (pas d'hyperkaliémie) et une rétention hydrosodée.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Effet anticoagulant et anti-infectieux : FAUX (les corticoïdes ne sont ni anticoagulants ni anti-infectieux).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Q46, 2020N Q46, 2021R Q46, 2022N Q48, 2023N Q46, 2024N Q46-47, 2024R Q46, 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2026N Q47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Sevrage de la corticothérapie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Arrêt PROGRESSIF → évite l'insuffisance surrénale aiguë, la cortico-dépendance et le syndrome de sevrage.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>Sevrage sans substitution si cortisolémie correcte ; substitution par hydrocortisone si cortisolémie effondr</w:t>
      </w:r>
      <w:r w:rsidRPr="007D545D">
        <w:rPr>
          <w:rFonts w:ascii="LMRoman10" w:hAnsi="LMRoman10"/>
        </w:rPr>
        <w:t>ée (&lt; 5 ng/dL).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Un sevrage BRUTAL ne prévient rien — il provoque l'insuffisance surrénale aiguë iatrogène.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Q46, 2019R Q47, 2021N Q46, 2021R Q47, 2023R Q47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10] LA PRESCRIPTION MÉDICAMENTEUSE CHEZ L'ENFANT ET LE SUJET ÂGÉ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~1.6 Q/e</w:t>
      </w: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xamen (24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Prescription chez l'ENFANT — particularités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L'AMM pédiatrique conditionne l'usage : beaucoup de médicaments n'ont pas d'AMM chez l'enfant (prescription hors-AMM encadrée).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La forme galénique doit être adaptée à l'âge (sirop, </w:t>
      </w:r>
      <w:r w:rsidRPr="007D545D">
        <w:rPr>
          <w:rFonts w:ascii="LMRoman10" w:hAnsi="LMRoman10"/>
        </w:rPr>
        <w:t>suspension, gouttes) — pas de comprimés non sécables chez le nourrisson.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Pharmacocinétique particulière : immaturité hépatique et rénale (clairance réduite chez le nouveau-né), eau corporelle totale plus élevée, fixation protéique plus faible, barrière hémato-encéphalique immature.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Effets indésirables spécifiques : cyclines (co</w:t>
      </w:r>
      <w:r w:rsidRPr="007D545D">
        <w:rPr>
          <w:rFonts w:ascii="LMRoman10" w:hAnsi="LMRoman10"/>
        </w:rPr>
        <w:t>loration dentaire &lt;8 ans), fluoroquinolones (cartilage), aspirine (sd de Reye), chloramphénicol (sd gris du nouveau-né).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Ordonnance pédiatrique : doit mentionner le nom, l'âge ET le poids de l'enfant (posologie en mg/kg), plus l'adresse du prescripteur.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posologie pédiatrique ne se déduit pas en « fraction de dose adulte » au hasard : elle se calcule en mg/kg (ou mg/m²).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Q22, 2019N Q22-23, 2020N Q22-23, 2022N Q22-23, 2023N Q24, 2024N Q22-23, 2025N Q20-21, 2026N Q22-24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Prescription chez le </w:t>
      </w: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SUJET ÂGÉ — règles d'or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Règles : commencer à FAIBLE dose, schémas SIMPLES, RÉDUIRE le nombre de prises, adapter à la clairance de la créatinine (Cockcroft).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PK gériatrique : accumulation des médicaments LIPOPHILES (↑ masse grasse), augmentation de la dem</w:t>
      </w:r>
      <w:r w:rsidRPr="007D545D">
        <w:rPr>
          <w:rFonts w:ascii="LMRoman10" w:hAnsi="LMRoman10"/>
        </w:rPr>
        <w:t>i-vie, augmentation de la sensibilité du SNC (chutes, confusion).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Polymédication = iatrogénie : interactions et effets indésirables croissent avec le nombre de lignes.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Médicaments potentiellement inappropriés (listes Beers / Laroche) : benzodiazépines à lo</w:t>
      </w:r>
      <w:r w:rsidRPr="007D545D">
        <w:rPr>
          <w:rFonts w:ascii="LMRoman10" w:hAnsi="LMRoman10"/>
        </w:rPr>
        <w:t>ngue demi-vie, imipraminiques (tricycliques), anti-H1 anticholinergiques, laxatifs stimulants au long cours.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Piège récurrent : les </w:t>
      </w:r>
      <w:r w:rsidRPr="007D545D">
        <w:rPr>
          <w:rFonts w:ascii="Courier New" w:hAnsi="Courier New" w:cs="Courier New"/>
          <w:i/>
          <w:iCs/>
          <w:color w:val="B45309"/>
        </w:rPr>
        <w:t>β</w:t>
      </w:r>
      <w:r w:rsidRPr="007D545D">
        <w:rPr>
          <w:rFonts w:ascii="LMRoman10" w:hAnsi="LMRoman10"/>
          <w:i/>
          <w:iCs/>
          <w:color w:val="B45309"/>
        </w:rPr>
        <w:t>-lactamines NE figurent PAS sur les listes de m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dicaments inappropri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 xml:space="preserve">s du sujet </w:t>
      </w:r>
      <w:r w:rsidRPr="007D545D">
        <w:rPr>
          <w:rFonts w:ascii="LMRoman10" w:hAnsi="LMRoman10" w:cs="LMRoman10"/>
          <w:i/>
          <w:iCs/>
          <w:color w:val="B45309"/>
        </w:rPr>
        <w:t>â</w:t>
      </w:r>
      <w:r w:rsidRPr="007D545D">
        <w:rPr>
          <w:rFonts w:ascii="LMRoman10" w:hAnsi="LMRoman10"/>
          <w:i/>
          <w:iCs/>
          <w:color w:val="B45309"/>
        </w:rPr>
        <w:t>g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 xml:space="preserve"> (ce sont les BZD longues, anticholiner</w:t>
      </w:r>
      <w:r w:rsidRPr="007D545D">
        <w:rPr>
          <w:rFonts w:ascii="LMRoman10" w:hAnsi="LMRoman10"/>
          <w:i/>
          <w:iCs/>
          <w:color w:val="B45309"/>
        </w:rPr>
        <w:t>giques et tricycliques qui y sont).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Réduire la posologie n'est PAS systématique pour tout médicament : c'est l'adaptation à la fonction rénale et à la sensibilité qui prime.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2019R Q23, 2021N Q23, 2021R Q23, 2022N Q22, 2023R Q22-23, 2024Exc Q22-23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, 2024R Q22-23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11] LA PRESCRIPTION CHEZ LA FEMME ENCEINTE ET ALLAITANTE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~1.47 Q/examen (22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Passage placentaire &amp; risque tératogène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Le passage transplacentaire se fait essentiellement par DIFFUSION PASSIVE (favorisée si lipo</w:t>
      </w:r>
      <w:r w:rsidRPr="007D545D">
        <w:rPr>
          <w:rFonts w:ascii="LMRoman10" w:hAnsi="LMRoman10"/>
        </w:rPr>
        <w:t>solubilité élevée, faible PM, faible fixation protéique, non ionisation).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Tératogènes majeurs à connaître : valproate (acide valproïque), thalidomide, isotrétinoïne (rétinoïdes), carbamazépine, IEC/ARA2 (atteinte rénale fœtale au 2e-3e trimestre).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 xml:space="preserve">Période </w:t>
      </w:r>
      <w:r w:rsidRPr="007D545D">
        <w:rPr>
          <w:rFonts w:ascii="LMRoman10" w:hAnsi="LMRoman10"/>
        </w:rPr>
        <w:t>de la tératogénèse = 1er trimestre (organogénèse). Au 2e-3e trimestre : fœtotoxicité / toxicité néonatale (inadaptation à la vie extra-utérine, RCIU).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Piège ×plusieurs : les AINS ne sont PAS tératogènes — ils sont FŒTOTOXIQUES au 3e trimestre (fermeture </w:t>
      </w:r>
      <w:r w:rsidRPr="007D545D">
        <w:rPr>
          <w:rFonts w:ascii="LMRoman10" w:hAnsi="LMRoman10"/>
          <w:i/>
          <w:iCs/>
          <w:color w:val="B45309"/>
        </w:rPr>
        <w:t>prématurée du canal artériel, oligoamnios, toxicité rénale).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L'héparine (HNF/HBPM) n'est PAS tératogène : gros poids moléculaire → ne traverse pas le placenta. C'est l'anticoagulant de la grossesse (vs AVK tératogènes).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Q23-24, 2019N Q24, 2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020N Q24, 2021N Q22+24, 2022N Q24, 2023N Q22-23, 2024N Q20-21, 2025N Q22-23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Allaitement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Le passage dans le lait est augmenté si le médicament est LIPOSOLUBLE, peu lié aux protéines, de petit poids moléculaire, et à forte dose maternelle.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Évaluer le rappo</w:t>
      </w:r>
      <w:r w:rsidRPr="007D545D">
        <w:rPr>
          <w:rFonts w:ascii="LMRoman10" w:hAnsi="LMRoman10"/>
        </w:rPr>
        <w:t>rt lait/plasma et la demi-vie ; préférer les molécules à passage lacté faible et demi-vie courte.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Un médicament « sûr pendant la grossesse » n'est pas automatiquement « sûr pendant l'allaitement » — les déterminants du passage diffèrent.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2019R Q24, 2021R Q22+24, 2023R Q20-21, 2024Exc Q20-21, 2024R Q20-21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12] ANTI-BACILLAIRES (ANTITUBERCULEUX)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~1.33 Q/examen (20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Les 5 antituberculeux majeurs — profil complet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Isoniazide (INH) : bactéricide intracellul</w:t>
      </w:r>
      <w:r w:rsidRPr="007D545D">
        <w:rPr>
          <w:rFonts w:ascii="LMRoman10" w:hAnsi="LMRoman10"/>
        </w:rPr>
        <w:t>aire ; toxicité HÉPATIQUE et neuro/psychiatrique (neuropathie périphérique → prévention par vitamine B6).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Rifampicine (RIF) : inhibe l'ARN-polymérase bactérienne ; INDUCTEUR ENZYMATIQUE puissant (++) → diminue l'efficacité des contraceptifs oraux, AVK, cor</w:t>
      </w:r>
      <w:r w:rsidRPr="007D545D">
        <w:rPr>
          <w:rFonts w:ascii="LMRoman10" w:hAnsi="LMRoman10"/>
        </w:rPr>
        <w:t>ticoïdes, digoxine ; colore les urines/sécrétions en ORANGE ; syndrome grippal + anémie hémolytique (immuno-allergique, formes intermittentes).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Pyrazinamide (PZA) : bactéricide intracellulaire ; HYPERURICÉMIE (→ goutte) et hépatotoxicité.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Éthambutol (EMB) </w:t>
      </w:r>
      <w:r w:rsidRPr="007D545D">
        <w:rPr>
          <w:rFonts w:ascii="LMRoman10" w:hAnsi="LMRoman10"/>
        </w:rPr>
        <w:t>: BACTÉRIOSTATIQUE, extracellulaire ; névrite optique rétrobulbaire / dyschromatopsie (rouge-vert) ; contre-indiqué/adapté dans l'insuffisance rénale.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Streptomycine (SM, aminoside) : ototoxicité (cochléo-vestibulaire), forme INJECTABLE.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Contre-indiqués e</w:t>
      </w:r>
      <w:r w:rsidRPr="007D545D">
        <w:rPr>
          <w:rFonts w:ascii="LMRoman10" w:hAnsi="LMRoman10"/>
          <w:i/>
          <w:iCs/>
          <w:color w:val="B45309"/>
        </w:rPr>
        <w:t>n cas d'hépatite sévère : INH, PZA, RIF (les trois hépatotoxiques). Contre-indiqués en cas de porphyrie : PZA et RIF.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La multirésistance (MDR-TB) = résistance simultanée à INH + RIF (les deux piliers).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Intracellulaires (donc actifs sur le bacille quies</w:t>
      </w:r>
      <w:r w:rsidRPr="007D545D">
        <w:rPr>
          <w:rFonts w:ascii="LMRoman10" w:hAnsi="LMRoman10"/>
          <w:i/>
          <w:iCs/>
          <w:color w:val="B45309"/>
        </w:rPr>
        <w:t>cent) : INH, PZA, RIF. EMB est extracellulaire.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Q36, 2020N Q35, 2021N Q34, 2021R Q34-35, 2022N Q34-35, 2023N Q33-34, 2023R Q34, 2024N Q34-35, 2024R Q34-35, 2025N Q39-40, 2026N Q34-35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13] MÉDICAMENT ET PATHOLOGIE DU FOIE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~1.27 Q/ex</w:t>
      </w: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amen (19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Hépatotoxicité médicamenteuse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Mécanismes/types : cytolytique, cholestatique (ou mixte), immuno-allergique, idiosyncrasique (imprévisible, non dose-dépendant).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Le médicament est la 1re cause de RETRAIT du marché et un motif fré</w:t>
      </w:r>
      <w:r w:rsidRPr="007D545D">
        <w:rPr>
          <w:rFonts w:ascii="LMRoman10" w:hAnsi="LMRoman10"/>
        </w:rPr>
        <w:t>quent d'arrêt de développement.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Diagnostic = chronologique (délai d'apparition, régression à l'arrêt, récidive à la réintroduction) + élimination des autres causes.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Toxicité de surdosage (cytolytique, PRÉCOCE et PRÉVISIBLE) : paracétamol +++ (via le métabo</w:t>
      </w:r>
      <w:r w:rsidRPr="007D545D">
        <w:rPr>
          <w:rFonts w:ascii="LMRoman10" w:hAnsi="LMRoman10"/>
        </w:rPr>
        <w:t>lite réactif NAPQI), antidote N-acétylcystéine.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>Favorisée par : jeûne / dénutrition (déplétion en glutathion), interactions (inducteurs), terrain génétique.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Idiosyncrasique </w:t>
      </w:r>
      <w:r w:rsidRPr="007D545D">
        <w:rPr>
          <w:rFonts w:ascii="Courier New" w:hAnsi="Courier New" w:cs="Courier New"/>
          <w:i/>
          <w:iCs/>
          <w:color w:val="B45309"/>
        </w:rPr>
        <w:t>≠</w:t>
      </w:r>
      <w:r w:rsidRPr="007D545D">
        <w:rPr>
          <w:rFonts w:ascii="LMRoman10" w:hAnsi="LMRoman10"/>
          <w:i/>
          <w:iCs/>
          <w:color w:val="B45309"/>
        </w:rPr>
        <w:t xml:space="preserve"> immuno-allergique : l'idiosyncrasique est impr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visible et non immunologique au sens strict (pi</w:t>
      </w:r>
      <w:r w:rsidRPr="007D545D">
        <w:rPr>
          <w:rFonts w:ascii="LMRoman10" w:hAnsi="LMRoman10" w:cs="LMRoman10"/>
          <w:i/>
          <w:iCs/>
          <w:color w:val="B45309"/>
        </w:rPr>
        <w:t>è</w:t>
      </w:r>
      <w:r w:rsidRPr="007D545D">
        <w:rPr>
          <w:rFonts w:ascii="LMRoman10" w:hAnsi="LMRoman10"/>
          <w:i/>
          <w:iCs/>
          <w:color w:val="B45309"/>
        </w:rPr>
        <w:t>ge classique).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En cas d'insuffisance hépatique : préférer un médicament peu métabolisé par le foie / à élimination rénale sous forme inchangé</w:t>
      </w:r>
      <w:r w:rsidRPr="007D545D">
        <w:rPr>
          <w:rFonts w:ascii="LMRoman10" w:hAnsi="LMRoman10"/>
          <w:i/>
          <w:iCs/>
          <w:color w:val="B45309"/>
        </w:rPr>
        <w:t>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Q17, 2019N Q17, 2019R Q17, 2020N Q17, 2021N Q17, 2021R Q17, 2022N Q17, 2023N Q18-19, 2023R Q15-16, 2024N Q15-16, 2024R Q15-16, 2025N Q15-16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14] LE SUIVI THÉRAPEUTIQUE PHARMACOLOGIQUE (STP)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~1.2 Q/examen (18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&amp; modalités du suivi thérapeutique pharmacologique (STP / TDM)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Indications : marge thérapeutique ÉTROITE, variabilité INTERINDIVIDUELLE importante, bonne corrélation concentration-effet, absence d'autre marqueur d'efficacité, dosage validé et</w:t>
      </w:r>
      <w:r w:rsidRPr="007D545D">
        <w:rPr>
          <w:rFonts w:ascii="LMRoman10" w:hAnsi="LMRoman10"/>
        </w:rPr>
        <w:t xml:space="preserve"> disponible ; suspicion de sous-/sur-dosage ; contrôle de l'observance.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Modalités : prélever À L'ÉTAT D'ÉQUILIBRE, respecter le moment du prélèvement (concentration résiduelle avant la prise, ou pic selon le médicament), matrice = sang total ou plasma selo</w:t>
      </w:r>
      <w:r w:rsidRPr="007D545D">
        <w:rPr>
          <w:rFonts w:ascii="LMRoman10" w:hAnsi="LMRoman10"/>
        </w:rPr>
        <w:t>n la molécule, interpréter vs la zone thérapeutique.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Exemples : digoxine, lithium, aminosides, vancomycine, antiépileptiques, immunosuppresseurs.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STP ne concerne PAS tous les médicaments : inutile si marge LARGE ou si variabilité interindividuelle fai</w:t>
      </w:r>
      <w:r w:rsidRPr="007D545D">
        <w:rPr>
          <w:rFonts w:ascii="LMRoman10" w:hAnsi="LMRoman10"/>
          <w:i/>
          <w:iCs/>
          <w:color w:val="B45309"/>
        </w:rPr>
        <w:t>ble.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Q25, 2019R Q25, 2020N Q25, 2021N Q25, 2021R Q25, 2022N Q25, 2023N Q25, 2023R Q24-25, 2024N Q24-25, 2024R Q24-25, 2025N Q17+24, 2026N Q25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15] LES DIURÉTIQUES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~1.13 Q/examen (17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par site d'acti</w:t>
      </w: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on &amp; mécanisme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Proximaux : inhibiteurs de l'anhydrase carbonique (acétazolamide) et osmotiques (mannitol).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Anse de Henle : diurétiques de l'anse (furosémide, bumétanide) — les plus puissants/natriurétiques.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Tube contourné distal : thiazidiques (hydrochlo</w:t>
      </w:r>
      <w:r w:rsidRPr="007D545D">
        <w:rPr>
          <w:rFonts w:ascii="LMRoman10" w:hAnsi="LMRoman10"/>
        </w:rPr>
        <w:t>rothiazide, indapamide).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Distaux/collecteur, épargneurs de potassium : anti-aldostérone (spironolactone) et bloqueurs du canal Na (amiloride/modamide).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Mécanisme commun en amont : tous dépendent de la Na/K-ATPase basolatérale ; les natriurétiques les plus </w:t>
      </w:r>
      <w:r w:rsidRPr="007D545D">
        <w:rPr>
          <w:rFonts w:ascii="LMRoman10" w:hAnsi="LMRoman10"/>
        </w:rPr>
        <w:t>puissants sont ceux de l'anse (et proximaux).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Kaliémie : anse + thiazidiques + proximaux → HYPOkaliémie ; anti-aldostérone + canal Na → HYPERkaliémie (piège de polarité).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Indications de l'anse : surcharge hydrosodée, OAP, insuffisance cardiaque, œdème </w:t>
      </w:r>
      <w:r w:rsidRPr="007D545D">
        <w:rPr>
          <w:rFonts w:ascii="LMRoman10" w:hAnsi="LMRoman10"/>
          <w:i/>
          <w:iCs/>
          <w:color w:val="B45309"/>
        </w:rPr>
        <w:t>cérébral, hypercalcémie majeure. Proximaux (acétazolamide) : glaucome, œdème cérébral / HTIC.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Contre-indications communes : obstacle des voies urinaires, insuffisance hépatocellulaire sévère, hyperuricémie (sauf anti-aldostérone), allaitement.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Q27, 2019R Q26-27, 2021N Q27, 2021R Q26-27, 2022N Q27, 2023N Q26-27, 2023R Q26-27, et sessions 2024/2025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16] BÊTA-LACTAMINES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lastRenderedPageBreak/>
        <w:t>—  •  ~1.13 Q/examen (17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 &amp; pénicillines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Mécanisme : inhibition de la synthèse de</w:t>
      </w:r>
      <w:r w:rsidRPr="007D545D">
        <w:rPr>
          <w:rFonts w:ascii="LMRoman10" w:hAnsi="LMRoman10"/>
        </w:rPr>
        <w:t xml:space="preserve"> la paroi (peptidoglycane) par fixation aux PLP → bactéricidie TEMPS-dépendante.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Pénicilline G : voie IV uniquement, active sur le tréponème (syphilis), même spectre que la péni V (orale) ; Benzathine-pénicilline = forme retard IM.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Pénicilline M (oxacilline/cloxacilline) : staphylocoque méti-S ; bonne diffusion articulaire mais PAS dans les méninges.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Amoxicilline : orale, angine à streptocoque, ± acide clavulanique (inhibiteur de </w:t>
      </w:r>
      <w:r w:rsidRPr="007D545D">
        <w:rPr>
          <w:rFonts w:ascii="Courier New" w:hAnsi="Courier New" w:cs="Courier New"/>
        </w:rPr>
        <w:t>β</w:t>
      </w:r>
      <w:r w:rsidRPr="007D545D">
        <w:rPr>
          <w:rFonts w:ascii="LMRoman10" w:hAnsi="LMRoman10"/>
        </w:rPr>
        <w:t xml:space="preserve">-lactamase), diffuse dans la prostate, 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limination ur</w:t>
      </w:r>
      <w:r w:rsidRPr="007D545D">
        <w:rPr>
          <w:rFonts w:ascii="LMRoman10" w:hAnsi="LMRoman10"/>
        </w:rPr>
        <w:t>inaire ; effet indésirable = allergie (jusqu'à l'œdème de Quincke / anaphylaxie).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Céphalosporines : classées par générations ; INACTIVES sur l'entérocoque ; toutes ne passent pas la barrière hémato-méningée.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Piège majeur : la VANCOMYCINE n'est PAS une </w:t>
      </w:r>
      <w:r w:rsidRPr="007D545D">
        <w:rPr>
          <w:rFonts w:ascii="Courier New" w:hAnsi="Courier New" w:cs="Courier New"/>
          <w:i/>
          <w:iCs/>
          <w:color w:val="B45309"/>
        </w:rPr>
        <w:t>β</w:t>
      </w:r>
      <w:r w:rsidRPr="007D545D">
        <w:rPr>
          <w:rFonts w:ascii="LMRoman10" w:hAnsi="LMRoman10"/>
          <w:i/>
          <w:iCs/>
          <w:color w:val="B45309"/>
        </w:rPr>
        <w:t>-</w:t>
      </w:r>
      <w:r w:rsidRPr="007D545D">
        <w:rPr>
          <w:rFonts w:ascii="LMRoman10" w:hAnsi="LMRoman10"/>
          <w:i/>
          <w:iCs/>
          <w:color w:val="B45309"/>
        </w:rPr>
        <w:t>lactamine (c'est un glycopeptide) bien qu'elle agisse aussi sur le peptidoglycane.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Les </w:t>
      </w:r>
      <w:r w:rsidRPr="007D545D">
        <w:rPr>
          <w:rFonts w:ascii="Courier New" w:hAnsi="Courier New" w:cs="Courier New"/>
          <w:i/>
          <w:iCs/>
          <w:color w:val="B45309"/>
        </w:rPr>
        <w:t>β</w:t>
      </w:r>
      <w:r w:rsidRPr="007D545D">
        <w:rPr>
          <w:rFonts w:ascii="LMRoman10" w:hAnsi="LMRoman10"/>
          <w:i/>
          <w:iCs/>
          <w:color w:val="B45309"/>
        </w:rPr>
        <w:t>-lactamines sont INACTIVES sur le SARM (staph m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ti-R) et sur les germes intracellulaires.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Q32, 2019N Q28-29, 2019R Q29-30, 2020N Q30, 2021N Q29, 2021R Q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30-31, 2022N Q31, 2024Exc Q28, 2024N Q28-29, 2025N Q48, 2026N Q28-30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17] ANTIVIRAUX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~1.07 Q/examen (16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Antirétroviraux (VIH) &amp; antiherpétiques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Antirétroviraux : VIRUSTATIQUES (ne guérissent pas), prescrits en ASSOCIATION ob</w:t>
      </w:r>
      <w:r w:rsidRPr="007D545D">
        <w:rPr>
          <w:rFonts w:ascii="LMRoman10" w:hAnsi="LMRoman10"/>
        </w:rPr>
        <w:t>ligatoire (</w:t>
      </w:r>
      <w:r w:rsidRPr="007D545D">
        <w:rPr>
          <w:rFonts w:ascii="Courier New" w:hAnsi="Courier New" w:cs="Courier New"/>
        </w:rPr>
        <w:t>≥</w:t>
      </w:r>
      <w:r w:rsidRPr="007D545D">
        <w:rPr>
          <w:rFonts w:ascii="LMRoman10" w:hAnsi="LMRoman10"/>
        </w:rPr>
        <w:t>3 mol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 xml:space="preserve">cules sur des 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tapes diff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 xml:space="preserve">rentes du cycle), </w:t>
      </w:r>
      <w:r w:rsidRPr="007D545D">
        <w:rPr>
          <w:rFonts w:ascii="LMRoman10" w:hAnsi="LMRoman10" w:cs="LMRoman10"/>
        </w:rPr>
        <w:t>à</w:t>
      </w:r>
      <w:r w:rsidRPr="007D545D">
        <w:rPr>
          <w:rFonts w:ascii="LMRoman10" w:hAnsi="LMRoman10"/>
        </w:rPr>
        <w:t xml:space="preserve"> VIE, expos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 xml:space="preserve">s </w:t>
      </w:r>
      <w:r w:rsidRPr="007D545D">
        <w:rPr>
          <w:rFonts w:ascii="LMRoman10" w:hAnsi="LMRoman10" w:cs="LMRoman10"/>
        </w:rPr>
        <w:t>à</w:t>
      </w:r>
      <w:r w:rsidRPr="007D545D">
        <w:rPr>
          <w:rFonts w:ascii="LMRoman10" w:hAnsi="LMRoman10"/>
        </w:rPr>
        <w:t xml:space="preserve"> la r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sistance ; servent aussi en pr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vention (AES, transmission materno-f</w:t>
      </w:r>
      <w:r w:rsidRPr="007D545D">
        <w:rPr>
          <w:rFonts w:ascii="LMRoman10" w:hAnsi="LMRoman10" w:cs="LMRoman10"/>
        </w:rPr>
        <w:t>œ</w:t>
      </w:r>
      <w:r w:rsidRPr="007D545D">
        <w:rPr>
          <w:rFonts w:ascii="LMRoman10" w:hAnsi="LMRoman10"/>
        </w:rPr>
        <w:t>tale).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Aciclovir : inhibe l'ADN-polymérase virale (après phosphorylation par la thymidine-kinase virale)</w:t>
      </w:r>
      <w:r w:rsidRPr="007D545D">
        <w:rPr>
          <w:rFonts w:ascii="LMRoman10" w:hAnsi="LMRoman10"/>
        </w:rPr>
        <w:t xml:space="preserve"> ; actif sur HSV/VZV ; traitement de l'encéphalite herpétique et prévention des récidives ; adapter à la fonction rénale.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Ganciclovir : CMV (IV). Oseltamivir : grippe. Molnupiravir / antiviraux oraux : SARS-CoV-2.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Piège : les antirétroviraux ne sont PAS </w:t>
      </w:r>
      <w:r w:rsidRPr="007D545D">
        <w:rPr>
          <w:rFonts w:ascii="LMRoman10" w:hAnsi="LMRoman10"/>
          <w:i/>
          <w:iCs/>
          <w:color w:val="B45309"/>
        </w:rPr>
        <w:t>actifs sur le CMV ; l'aciclovir n'est PAS actif sur le VIH ni sur le SARS-CoV-2.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Les antirétroviraux ne « guérissent » pas l'infection VIH et ne sont jamais prescrits en monothérapie.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Q31, 2019N Q33, 2019R Q33, 2020N Q29+31, 2021R Q29, 2022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N Q30, 2023R Q31-32, 2024Exc Q33, 2024N Q32-33, 2024R Q28-29, 2025N Q50, 2026N Q32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18] TRAITEMENT DE LA MALADIE ULCÉREUSE GASTRODUODÉNALE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~0.87 Q/examen (13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Anti-sécrétoires &amp; anti-ulcéreux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IPP (oméprazole, ésoméprazole…) : inhibition IRRÉVERSIBLE de la pompe H+/K+-ATPase de la cellule pariétale ; prise unique (matin, avant repas) ; voie orale ET parentérale ; plus efficaces que les anti-H2.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Anti-H2 (ranitidine, famotidine) : suppriment PARTI</w:t>
      </w:r>
      <w:r w:rsidRPr="007D545D">
        <w:rPr>
          <w:rFonts w:ascii="LMRoman10" w:hAnsi="LMRoman10"/>
        </w:rPr>
        <w:t>ELLEMENT la sécrétion acide ; élimination rénale ; troubles de la conscience possibles chez le sujet âgé/insuffisant rénal.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Famille des anti-sécrétoires/anti-acides : IPP, anti-H2, analogues des prostaglandines (misoprostol), anti-acides et topiques/protec</w:t>
      </w:r>
      <w:r w:rsidRPr="007D545D">
        <w:rPr>
          <w:rFonts w:ascii="LMRoman10" w:hAnsi="LMRoman10"/>
        </w:rPr>
        <w:t>teurs.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 : l'inhibition de la pompe à protons est IRRÉVERSIBLE (la sécrétion ne reprend qu'après synthèse de nouvelles pompes), ce qui explique la prise unique malgré une demi-vie courte.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Une association de l'éradication d'H. pylori (IPP + 2 antibi</w:t>
      </w:r>
      <w:r w:rsidRPr="007D545D">
        <w:rPr>
          <w:rFonts w:ascii="LMRoman10" w:hAnsi="LMRoman10"/>
          <w:i/>
          <w:iCs/>
          <w:color w:val="B45309"/>
        </w:rPr>
        <w:t>otiques) est la règle pour l'ulcère à H. pylori.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Q44, 2019N Q43-44, 2019R Q45, 2020N Q45, 2021R Q43-44, 2022N Q44, 2023R Q44, 2024N Q44-45, 2024R Q44, 2026N Q43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19] LES ANTALGIQUES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~0.87 Q/examen (13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Paliers OMS &amp; molécules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Palier 1 (douleur faible) : paracétamol, néfopam, AINS. Palier 2 (modérée) : codéine, tramadol (opioïdes faibles). Palier 3 (intense) : morphine et opioïdes forts.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Néfopam : antalgique central NON morphinique ; dose max </w:t>
      </w:r>
      <w:r w:rsidRPr="007D545D">
        <w:rPr>
          <w:rFonts w:ascii="Courier New" w:hAnsi="Courier New" w:cs="Courier New"/>
        </w:rPr>
        <w:t>≈</w:t>
      </w:r>
      <w:r w:rsidRPr="007D545D">
        <w:rPr>
          <w:rFonts w:ascii="LMRoman10" w:hAnsi="LMRoman10"/>
        </w:rPr>
        <w:t xml:space="preserve">120 mg/j </w:t>
      </w:r>
      <w:r w:rsidRPr="007D545D">
        <w:rPr>
          <w:rFonts w:ascii="LMRoman10" w:hAnsi="LMRoman10"/>
        </w:rPr>
        <w:t>; contre-indiqué en cas de convulsions / glaucome / adénome prostatique (effet anticholinergique).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Codéine : PRODROGUE → transformée en morphine par déméthylation hépatique (CYP2D6) ; durée d'action </w:t>
      </w:r>
      <w:r w:rsidRPr="007D545D">
        <w:rPr>
          <w:rFonts w:ascii="Courier New" w:hAnsi="Courier New" w:cs="Courier New"/>
        </w:rPr>
        <w:t>≈</w:t>
      </w:r>
      <w:r w:rsidRPr="007D545D">
        <w:rPr>
          <w:rFonts w:ascii="LMRoman10" w:hAnsi="LMRoman10"/>
        </w:rPr>
        <w:t>4 h ; contre-indiqu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e chez l'asthmatique et l'enfant &lt;12</w:t>
      </w:r>
      <w:r w:rsidRPr="007D545D">
        <w:rPr>
          <w:rFonts w:ascii="LMRoman10" w:hAnsi="LMRoman10"/>
        </w:rPr>
        <w:t xml:space="preserve"> ans.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Paracétamol : palier 1, antipyrétique ; métabolite toxique NAPQI (N-acétyl-p-benzoquinone-imine) ; antidote = N-acétylcystéine ; n'est PAS contre-indiqué pendant l'allaitement.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Piège répété ×4 : les effets indésirables des morphiniques incluent la </w:t>
      </w:r>
      <w:r w:rsidRPr="007D545D">
        <w:rPr>
          <w:rFonts w:ascii="LMRoman10" w:hAnsi="LMRoman10"/>
          <w:i/>
          <w:iCs/>
          <w:color w:val="B45309"/>
        </w:rPr>
        <w:t>CONSTIPATION (pas la diarrhée), avec sédation, confusion, rétention urinaire, sécheresse buccale, dépression respiratoire.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Q43, 2019N Q36, 2019R Q36, 2020N Q36, 2021N Q36, 2023N Q45, 2023R Q43, 2024Exc Q43-44, 2024N Q43, 2024R Q43, 2026N Q44-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45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20] ANTIÉPILEPTIQUES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 Q/examen (12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Générations &amp; mécanismes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1re génération : phénobarbital, phénytoïne, carbamazépine, valproate (acide valproïque), éthosuximide.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Nouvelle génération : felbamate, lamotrigine, vigabatrin, gabapentine (et lévétiracétam, topiramate…).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Mécanismes : blocage des canaux sodiques et/ou calciques, potentialisation GABAergique.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Indications hors épilepsie : douleurs neuropathiques (gabapentine</w:t>
      </w:r>
      <w:r w:rsidRPr="007D545D">
        <w:rPr>
          <w:rFonts w:ascii="LMRoman10" w:hAnsi="LMRoman10"/>
        </w:rPr>
        <w:t>, carbamazépine), troubles psychiatriques/thymorégulation (valproate, carbamazépine).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 inducteurs : la carbamazépine et le phénobarbital sont des INDUCTEURS enzymatiques ; le valproate ne l'est PAS (c'est plutôt un inhibiteur).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Interactions/contre</w:t>
      </w:r>
      <w:r w:rsidRPr="007D545D">
        <w:rPr>
          <w:rFonts w:ascii="LMRoman10" w:hAnsi="LMRoman10"/>
          <w:i/>
          <w:iCs/>
          <w:color w:val="B45309"/>
        </w:rPr>
        <w:t>-indications fréquemment testées : associations avec antirétroviraux, antifongiques azolés, certains antibiotiques (inducteurs/inhibiteurs).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Q48, 2019N Q48, 2019R Q48, 2020N Q48, 2021N Q48, 2021R Q48, 2023N Q48, 2023R Q48, 2024Exc Q48, 2024N 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Q48, 2024R Q48, 2026N Q48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21] ANXIOLYTIQUES (BENZODIAZÉPINES)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 Q/examen (12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Benzodiazépines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Effets pharmacologiques : anxiolytique, sédatif/hypnotique, MYORELAXANT, amnésiant (antérograde), anticonvulsivant (via potenti</w:t>
      </w:r>
      <w:r w:rsidRPr="007D545D">
        <w:rPr>
          <w:rFonts w:ascii="LMRoman10" w:hAnsi="LMRoman10"/>
        </w:rPr>
        <w:t>alisation du GABA-A).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>Risque de dépendance → durée de prescription LIMITÉE et arrêt PROGRESSIF (jamais brutal : risque de rebond/convulsions).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Antidote en cas de surdosage : flumazénil.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 : les BZD n'ont PAS d'effet antipsychotique ni antidépresseur.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Contre-indications : hypersensibilité, insuffisance respiratoire sévère, syndrome d'apnées du sommeil, myasthénie, insuffisance hépatique sévère.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Q49, 2019N Q49, 2019R Q49, 2020N Q49, 2021N Q49, 2021R Q49, 2022N Q49, 2023N Q49, 2023R Q49, 2024Exc Q49, 2024N Q49, 2024R Q49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22] ANTIDÉPRESSEURS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 Q/examen (12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Classes &amp; mécanismes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ISRS (fluoxétine, sertr</w:t>
      </w:r>
      <w:r w:rsidRPr="007D545D">
        <w:rPr>
          <w:rFonts w:ascii="LMRoman10" w:hAnsi="LMRoman10"/>
        </w:rPr>
        <w:t>aline…) : blocage de la recapture de la SÉROTONINE. IRSNa (venlafaxine, duloxétine) : recapture sérotonine + noradrénaline.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Tricycliques (imipraminiques) : blocage de recapture + effets anticholinergiques. IMAO : INHIBENT la monoamine-oxydase.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Délai d'acti</w:t>
      </w:r>
      <w:r w:rsidRPr="007D545D">
        <w:rPr>
          <w:rFonts w:ascii="LMRoman10" w:hAnsi="LMRoman10"/>
        </w:rPr>
        <w:t>on de plusieurs semaines (effet thymique non immédiat).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Indications : épisode dépressif modéré à sévère, troubles anxieux / attaque de panique, algies rebelles (tricycliques).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Pièges : les antidépresseurs ne FAVORISENT pas la recapture (ils la bloquent), les IMAO INHIBENT la MAO (ne la stimulent pas), l'effet n'est PAS immédiat, et ils n'ont PAS d'effet myorelaxant.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Q50, 2019N Q50, 2019R Q50, 2020N Q50, 2021N Q50, 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2021R Q50, 2022N Q50, 2023N Q50, 2023R Q50, 2024Exc Q50, 2024N Q50, 2024R Q50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23] ANTITUSSIFS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~0.73 Q/examen (11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Centraux vs périphériques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Antitussifs centraux opioïdes : codéine, codéthyline, pholcodine (déprimés du centre</w:t>
      </w:r>
      <w:r w:rsidRPr="007D545D">
        <w:rPr>
          <w:rFonts w:ascii="LMRoman10" w:hAnsi="LMRoman10"/>
        </w:rPr>
        <w:t xml:space="preserve"> de la toux) — toxicomanogènes et dépresseurs respiratoires.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Central NON opioïde : dextrométhorphane (et noscapine) — non dépresseur respiratoire, non toxicomanogène.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Antitussifs périphériques : anti-histaminiques H1 (chlorphénamine, prométhazine).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Indicat</w:t>
      </w:r>
      <w:r w:rsidRPr="007D545D">
        <w:rPr>
          <w:rFonts w:ascii="LMRoman10" w:hAnsi="LMRoman10"/>
        </w:rPr>
        <w:t>ion : toux SÈCHE, non productive et gênante.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 : les antitussifs opioïdes sont CONTRE-INDIQUÉS dans l'asthme (dépression respiratoire / bronchoconstriction) ; la pholcodine a aussi une activité analgésique.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Ne jamais inhiber une toux PRODUCTIVE (gr</w:t>
      </w:r>
      <w:r w:rsidRPr="007D545D">
        <w:rPr>
          <w:rFonts w:ascii="LMRoman10" w:hAnsi="LMRoman10"/>
          <w:i/>
          <w:iCs/>
          <w:color w:val="B45309"/>
        </w:rPr>
        <w:t>asse) — elle est utile au drainage.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Q34, 2019R Q34, 2020N Q34, 2021N Q35, 2022N Q36, 2023N Q35, 2023R Q35, 2024Exc Q36, 2024N Q36, 2025N Q41, 2026N Q36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24] REIN ET MÉDICAMENTS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~0.73 Q/examen (11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Insuffisance rén</w:t>
      </w: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ale &amp; médicaments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>Conséquences de l'IR : ACCUMULATION (↓ élimination), ↑ fraction libre si hypoalbuminémie, ↑ volume de distribution des hydrosolubles en cas d'œdèmes, modification du métabolisme.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Conséquence principale = augmentation du risque d'atteindre des concentrations TOXIQUES → adaptation posologique.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« Méthode de la dose » (réduction de la dose unitaire en gardant l'intervalle) : adaptée aux médicaments à demi-vie courte / temps-dépendants </w:t>
      </w:r>
      <w:r w:rsidRPr="007D545D">
        <w:rPr>
          <w:rFonts w:ascii="LMRoman10" w:hAnsi="LMRoman10"/>
        </w:rPr>
        <w:t>; « méthode de l'intervalle » : on espace les prises.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Néphrotoxicité favorisée par : forte activité tubulaire de la molécule, hypovolémie / bas débit, cirrhose, associations néphrotoxiques.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Dose de CHARGE de la digoxine RÉDUITE en cas d'IR.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Piège : l'IR </w:t>
      </w:r>
      <w:r w:rsidRPr="007D545D">
        <w:rPr>
          <w:rFonts w:ascii="LMRoman10" w:hAnsi="LMRoman10"/>
          <w:i/>
          <w:iCs/>
          <w:color w:val="B45309"/>
        </w:rPr>
        <w:t>ne modifie PAS la biodisponibilité d'une voie IV (100% par définition) et ne change pas le mécanisme d'action de la molécule.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Q26-27, 2019N Q26, 2020N Q26-27, 2021N Q26, 2022N Q26, 2024Exc Q27, 2024N Q27, 2024R Q27, 2025N Q35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25] PRISE EN CHARGE MÉDICAMENTEUSE DE LA CONSTIPATION (LAXATIFS)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~0.73 Q/examen (11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Classes de laxatifs (constipation)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Laxatifs de LEST / mucilages : augmentent la masse fécale et retiennent l'eau ; effets indésirables = ba</w:t>
      </w:r>
      <w:r w:rsidRPr="007D545D">
        <w:rPr>
          <w:rFonts w:ascii="LMRoman10" w:hAnsi="LMRoman10"/>
        </w:rPr>
        <w:t>llonnements, bouchons ; CI sténose digestive / maladie de Crohn occlusive.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Laxatifs OSMOTIQUES : sucres non absorbables (lactulose) et macrogols (PEG) → attirent l'eau dans le côlon ; flatulences.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Laxatifs STIMULANTS / purgatifs : action motrice + sécrétoi</w:t>
      </w:r>
      <w:r w:rsidRPr="007D545D">
        <w:rPr>
          <w:rFonts w:ascii="LMRoman10" w:hAnsi="LMRoman10"/>
        </w:rPr>
        <w:t>re ; risque de dépendance, troubles hydro-électrolytiques (hypokaliémie), rectite/colite (mélanose) au long cours.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Laxatifs ÉMOLLIENTS / lubrifiants (paraffine) : suintement anal, risque de pneumopathie d'inhalation, malabsorption des vitamines liposoluble</w:t>
      </w:r>
      <w:r w:rsidRPr="007D545D">
        <w:rPr>
          <w:rFonts w:ascii="LMRoman10" w:hAnsi="LMRoman10"/>
        </w:rPr>
        <w:t>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 : ce sont les laxatifs STIMULANTS qui exposent à la dépendance et aux désordres ioniques (pas les osmotiques ni le lest en première intention).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Q45, 2019N Q45, 2019R Q43-44, 2020N Q44, 2021N Q43-44, 2022N Q43, 2023N Q43-44, 2024Exc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Q45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26] ENDOCRINOLOGIE — INSULINES &amp; ANTIDIABÉTIQUES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~0.67 Q/examen (10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Insulines &amp; antidiabétiques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Insulines RAPIDES / analogues rapides : lispro, aspart, glulisine (durée </w:t>
      </w:r>
      <w:r w:rsidRPr="007D545D">
        <w:rPr>
          <w:rFonts w:ascii="Courier New" w:hAnsi="Courier New" w:cs="Courier New"/>
        </w:rPr>
        <w:t>≈</w:t>
      </w:r>
      <w:r w:rsidRPr="007D545D">
        <w:rPr>
          <w:rFonts w:ascii="LMRoman10" w:hAnsi="LMRoman10"/>
        </w:rPr>
        <w:t>4 h, en prandial). LENTES : glargine, d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t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mir, N</w:t>
      </w:r>
      <w:r w:rsidRPr="007D545D">
        <w:rPr>
          <w:rFonts w:ascii="LMRoman10" w:hAnsi="LMRoman10"/>
        </w:rPr>
        <w:t>PH (basales).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Metformine (biguanide) : diminue l'insulino-RÉSISTANCE et la production hépatique de glucose ; dose max </w:t>
      </w:r>
      <w:r w:rsidRPr="007D545D">
        <w:rPr>
          <w:rFonts w:ascii="Courier New" w:hAnsi="Courier New" w:cs="Courier New"/>
        </w:rPr>
        <w:t>≈</w:t>
      </w:r>
      <w:r w:rsidRPr="007D545D">
        <w:rPr>
          <w:rFonts w:ascii="LMRoman10" w:hAnsi="LMRoman10"/>
        </w:rPr>
        <w:t>2000-3000 mg/j ; risque rare d'acidose lactique (CI si IR s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v</w:t>
      </w:r>
      <w:r w:rsidRPr="007D545D">
        <w:rPr>
          <w:rFonts w:ascii="LMRoman10" w:hAnsi="LMRoman10" w:cs="LMRoman10"/>
        </w:rPr>
        <w:t>è</w:t>
      </w:r>
      <w:r w:rsidRPr="007D545D">
        <w:rPr>
          <w:rFonts w:ascii="LMRoman10" w:hAnsi="LMRoman10"/>
        </w:rPr>
        <w:t>re).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Sulfamides hypoglycémiants : insulino-sécréteurs → risque d'HYPOGLYCÉM</w:t>
      </w:r>
      <w:r w:rsidRPr="007D545D">
        <w:rPr>
          <w:rFonts w:ascii="LMRoman10" w:hAnsi="LMRoman10"/>
        </w:rPr>
        <w:t>IE (majoré avec l'insuline).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Gliptines (iDPP-4) : diminuent la dégradation du GLP-1. Gliflozines (iSGLT2) : inhibition de la réabsorption rénale du glucose.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Association sulfamide + insuline = risque hypoglycémique majeur (à connaître). La metformine seul</w:t>
      </w:r>
      <w:r w:rsidRPr="007D545D">
        <w:rPr>
          <w:rFonts w:ascii="LMRoman10" w:hAnsi="LMRoman10"/>
          <w:i/>
          <w:iCs/>
          <w:color w:val="B45309"/>
        </w:rPr>
        <w:t>e ne donne PAS d'hypoglycémie.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Q33, 2021N Q45, 2021R Q45, 2022N Q45-46, 2025N Q36-38, 2026N Q49-50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>[RANG 27] BRONCHODILATATEURS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~0.6 Q/examen (9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β</w:t>
      </w: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2-mim</w:t>
      </w:r>
      <w:r w:rsidRPr="007D545D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é</w:t>
      </w: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tiques, anticholinergiques, th</w:t>
      </w:r>
      <w:r w:rsidRPr="007D545D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é</w:t>
      </w: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ophylline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Courier New" w:hAnsi="Courier New" w:cs="Courier New"/>
        </w:rPr>
        <w:t>β</w:t>
      </w:r>
      <w:r w:rsidRPr="007D545D">
        <w:rPr>
          <w:rFonts w:ascii="LMRoman10" w:hAnsi="LMRoman10"/>
        </w:rPr>
        <w:t>2-mim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tiques de COURTE dur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 xml:space="preserve">e (salbutamol, terbutaline) = traitement de la CRISE/urgence. </w:t>
      </w:r>
      <w:r w:rsidRPr="007D545D">
        <w:rPr>
          <w:rFonts w:ascii="Courier New" w:hAnsi="Courier New" w:cs="Courier New"/>
        </w:rPr>
        <w:t>β</w:t>
      </w:r>
      <w:r w:rsidRPr="007D545D">
        <w:rPr>
          <w:rFonts w:ascii="LMRoman10" w:hAnsi="LMRoman10"/>
        </w:rPr>
        <w:t>2 de LONGUE dur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e (salm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t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rol, formot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rol, indacat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rol) = traitement de FOND, toujours associ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 xml:space="preserve">s </w:t>
      </w:r>
      <w:r w:rsidRPr="007D545D">
        <w:rPr>
          <w:rFonts w:ascii="LMRoman10" w:hAnsi="LMRoman10" w:cs="LMRoman10"/>
        </w:rPr>
        <w:t>à</w:t>
      </w:r>
      <w:r w:rsidRPr="007D545D">
        <w:rPr>
          <w:rFonts w:ascii="LMRoman10" w:hAnsi="LMRoman10"/>
        </w:rPr>
        <w:t xml:space="preserve"> un cortico</w:t>
      </w:r>
      <w:r w:rsidRPr="007D545D">
        <w:rPr>
          <w:rFonts w:ascii="LMRoman10" w:hAnsi="LMRoman10" w:cs="LMRoman10"/>
        </w:rPr>
        <w:t>ï</w:t>
      </w:r>
      <w:r w:rsidRPr="007D545D">
        <w:rPr>
          <w:rFonts w:ascii="LMRoman10" w:hAnsi="LMRoman10"/>
        </w:rPr>
        <w:t>de inhal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 xml:space="preserve"> dans l'asthme.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Anticholinergiques (ipratropium, tiotropium) : antagonistes muscariniques ; ES = sécheresse buccale, irritation pharyngée, paradoxalement bronchospasme.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Théophylline (base xanthique) : marge étroite, ES cardiaques (tachycardie) et neurologiques (tremblemen</w:t>
      </w:r>
      <w:r w:rsidRPr="007D545D">
        <w:rPr>
          <w:rFonts w:ascii="LMRoman10" w:hAnsi="LMRoman10"/>
        </w:rPr>
        <w:t>ts, convulsions).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Crise d'asthme : </w:t>
      </w:r>
      <w:r w:rsidRPr="007D545D">
        <w:rPr>
          <w:rFonts w:ascii="Courier New" w:hAnsi="Courier New" w:cs="Courier New"/>
          <w:i/>
          <w:iCs/>
          <w:color w:val="B45309"/>
        </w:rPr>
        <w:t>β</w:t>
      </w:r>
      <w:r w:rsidRPr="007D545D">
        <w:rPr>
          <w:rFonts w:ascii="LMRoman10" w:hAnsi="LMRoman10"/>
          <w:i/>
          <w:iCs/>
          <w:color w:val="B45309"/>
        </w:rPr>
        <w:t>2 courte dur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e + ipratropium + cortico</w:t>
      </w:r>
      <w:r w:rsidRPr="007D545D">
        <w:rPr>
          <w:rFonts w:ascii="LMRoman10" w:hAnsi="LMRoman10" w:cs="LMRoman10"/>
          <w:i/>
          <w:iCs/>
          <w:color w:val="B45309"/>
        </w:rPr>
        <w:t>ï</w:t>
      </w:r>
      <w:r w:rsidRPr="007D545D">
        <w:rPr>
          <w:rFonts w:ascii="LMRoman10" w:hAnsi="LMRoman10"/>
          <w:i/>
          <w:iCs/>
          <w:color w:val="B45309"/>
        </w:rPr>
        <w:t>des syst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miques. Pi</w:t>
      </w:r>
      <w:r w:rsidRPr="007D545D">
        <w:rPr>
          <w:rFonts w:ascii="LMRoman10" w:hAnsi="LMRoman10" w:cs="LMRoman10"/>
          <w:i/>
          <w:iCs/>
          <w:color w:val="B45309"/>
        </w:rPr>
        <w:t>è</w:t>
      </w:r>
      <w:r w:rsidRPr="007D545D">
        <w:rPr>
          <w:rFonts w:ascii="LMRoman10" w:hAnsi="LMRoman10"/>
          <w:i/>
          <w:iCs/>
          <w:color w:val="B45309"/>
        </w:rPr>
        <w:t>ge : les antitussifs opio</w:t>
      </w:r>
      <w:r w:rsidRPr="007D545D">
        <w:rPr>
          <w:rFonts w:ascii="LMRoman10" w:hAnsi="LMRoman10" w:cs="LMRoman10"/>
          <w:i/>
          <w:iCs/>
          <w:color w:val="B45309"/>
        </w:rPr>
        <w:t>ï</w:t>
      </w:r>
      <w:r w:rsidRPr="007D545D">
        <w:rPr>
          <w:rFonts w:ascii="LMRoman10" w:hAnsi="LMRoman10"/>
          <w:i/>
          <w:iCs/>
          <w:color w:val="B45309"/>
        </w:rPr>
        <w:t>des (cod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ine) y sont CONTRE-INDIQU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S.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Q34-35, 2019N Q35, 2019R Q35, 2021R Q36, 2023N Q36, 2023R Q36, 2024R Q36, 2025N Q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42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28] ANTI-INFECTIEUX — DIVERS (DIFFUSION BHM, TEMPS/CONC-DÉPENDANCE, VOIE DIGESTIVE)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~0.53 Q/examen (8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Diffusion, temps/concentration-dépendance, voie digestive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Bonne diffusion hémato-méningée (LCR) : amoxicilline ± clavu</w:t>
      </w:r>
      <w:r w:rsidRPr="007D545D">
        <w:rPr>
          <w:rFonts w:ascii="LMRoman10" w:hAnsi="LMRoman10"/>
        </w:rPr>
        <w:t>lanique, C3G (céfotaxime, ceftriaxone), aciclovir, cotrimoxazole, métronidazole.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Mauvaise diffusion méningée : aminosides, pénicilline G, vancomycine.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Bonne absorption digestive (biodisponibilité orale) : amoxicilline, pénicilline V, cotrimoxazole, fluoroq</w:t>
      </w:r>
      <w:r w:rsidRPr="007D545D">
        <w:rPr>
          <w:rFonts w:ascii="LMRoman10" w:hAnsi="LMRoman10"/>
        </w:rPr>
        <w:t>uinolones, métronidazole.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Temps-dépendants : </w:t>
      </w:r>
      <w:r w:rsidRPr="007D545D">
        <w:rPr>
          <w:rFonts w:ascii="Courier New" w:hAnsi="Courier New" w:cs="Courier New"/>
        </w:rPr>
        <w:t>β</w:t>
      </w:r>
      <w:r w:rsidRPr="007D545D">
        <w:rPr>
          <w:rFonts w:ascii="LMRoman10" w:hAnsi="LMRoman10"/>
        </w:rPr>
        <w:t>-lactamines, chloramph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nicol. Concentration-d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pendants : aminosides, fluoroquinolones.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Clé discutable signalée : 2 questions (2024R Q31, 2023N Q30) classent l'AMPHOTÉRICINE B parmi les molécules traversant la</w:t>
      </w:r>
      <w:r w:rsidRPr="007D545D">
        <w:rPr>
          <w:rFonts w:ascii="LMRoman10" w:hAnsi="LMRoman10"/>
          <w:i/>
          <w:iCs/>
          <w:color w:val="B45309"/>
        </w:rPr>
        <w:t xml:space="preserve"> BHM. En pratique, l'amphotéricine B diffuse MAL dans le LCR — réponse retenue selon la clé officielle, médecine correcte indiquée ici.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Q47, 2020N Q28, 2022N Q28-29, 2023N Q28-30, 2024R Q31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29] ANTIBIOTHÉRAPIE — GÉNÉRALITÉS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—  •  ~0.47 </w:t>
      </w: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Q/examen (7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Définitions &amp; résistance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Antibiotiques d'origine naturelle, semi-synthétique ou synthétique ; classés par familles ; tous ne sont PAS bactéricides (certains bactériostatiques).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Résistance NATURELLE (intrinsèque) = inhérente</w:t>
      </w:r>
      <w:r w:rsidRPr="007D545D">
        <w:rPr>
          <w:rFonts w:ascii="LMRoman10" w:hAnsi="LMRoman10"/>
        </w:rPr>
        <w:t xml:space="preserve"> à l'espèce (pas d'acquisition de gène). Résistance ACQUISE = par mutation ou transfert horizontal de gènes (plasmides).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Mécanismes de résistance : efflux actif, modification de la cible, inactivation enzymatique (</w:t>
      </w:r>
      <w:r w:rsidRPr="007D545D">
        <w:rPr>
          <w:rFonts w:ascii="Courier New" w:hAnsi="Courier New" w:cs="Courier New"/>
        </w:rPr>
        <w:t>β</w:t>
      </w:r>
      <w:r w:rsidRPr="007D545D">
        <w:rPr>
          <w:rFonts w:ascii="LMRoman10" w:hAnsi="LMRoman10"/>
        </w:rPr>
        <w:t>-lactamases), imperm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>abilit</w:t>
      </w:r>
      <w:r w:rsidRPr="007D545D">
        <w:rPr>
          <w:rFonts w:ascii="LMRoman10" w:hAnsi="LMRoman10" w:cs="LMRoman10"/>
        </w:rPr>
        <w:t>é</w:t>
      </w:r>
      <w:r w:rsidRPr="007D545D">
        <w:rPr>
          <w:rFonts w:ascii="LMRoman10" w:hAnsi="LMRoman10"/>
        </w:rPr>
        <w:t xml:space="preserve"> de la paroi.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Paramètres : CMI, CMB, antibiogramme, effet post-antibiotique.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 : la résistance NATURELLE ne résulte PAS de l'acquisition d'un gène (c'est la résistance acquise qui le fait).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Néphrotoxiques : vancomycine + aminosides. Bonne diffusion prostatique </w:t>
      </w:r>
      <w:r w:rsidRPr="007D545D">
        <w:rPr>
          <w:rFonts w:ascii="LMRoman10" w:hAnsi="LMRoman10"/>
          <w:i/>
          <w:iCs/>
          <w:color w:val="B45309"/>
        </w:rPr>
        <w:t>: fluoroquinolones, cotrimoxazole, C3G.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2019R Q28, 2021N Q28, 2021R Q28, 2023R Q28-29, 2025N Q45, 2026N Q31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30] AMINOSIDES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~0.4 Q/examen (6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Aminosides (gentamicine, amikacine…)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Bactéricides CONCENTRATION-dépendants ; inhibition de la synthèse protéique sur la sous-unité 30S ; effet post-antibiotique prolongé → dose unique journalière.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Toxicité : NÉPHROtoxicité (tubulaire) et COCHLÉO-VESTIBULAIRE (ototoxicité) — majorées par la du</w:t>
      </w:r>
      <w:r w:rsidRPr="007D545D">
        <w:rPr>
          <w:rFonts w:ascii="LMRoman10" w:hAnsi="LMRoman10"/>
        </w:rPr>
        <w:t>rée et les associations.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Contre-indiqués dans la myasthénie (effet curarisant).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Pièges : pas d'absorption digestive (administration parentérale), inactifs sur les anaérobies et sur les germes intracellulaires.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Q30, 2020N Q32, 2023N Q32, 202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4Exc Q30, 2024N Q31, 2025N Q46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31] IMIDAZOLÉS / NITRO-IMIDAZOLÉS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~0.33 Q/examen (5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Nitro-imidazolés (métronidazole)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Bactéricide ; inhibe la synthèse des acides nucléiques (après réduction du groupe nitro) ; actif sur les AN</w:t>
      </w:r>
      <w:r w:rsidRPr="007D545D">
        <w:rPr>
          <w:rFonts w:ascii="LMRoman10" w:hAnsi="LMRoman10"/>
        </w:rPr>
        <w:t>AÉROBIES et les protozoaires (amibiase, abcès hépatique amibien, giardiase, trichomonase).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Bonne diffusion, y compris dans le LCR. Effet antabuse avec l'alcool.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Piège : le métronidazole n'agit PAS sur le peptidoglycane (ce n'est pas une </w:t>
      </w:r>
      <w:r w:rsidRPr="007D545D">
        <w:rPr>
          <w:rFonts w:ascii="Courier New" w:hAnsi="Courier New" w:cs="Courier New"/>
          <w:i/>
          <w:iCs/>
          <w:color w:val="B45309"/>
        </w:rPr>
        <w:t>β</w:t>
      </w:r>
      <w:r w:rsidRPr="007D545D">
        <w:rPr>
          <w:rFonts w:ascii="LMRoman10" w:hAnsi="LMRoman10"/>
          <w:i/>
          <w:iCs/>
          <w:color w:val="B45309"/>
        </w:rPr>
        <w:t>-lactamine).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Vu : 2019N Q32, 2020N Q33, 2021N Q32, 2022N Q33, 2026N Q33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32] MACROLIDES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~0.33 Q/examen (5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Macrolides (érythromycine, clarithromycine, azithromycine)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Inhibition de la synthèse protéique sur la sous-unité 50S ; bonne concen</w:t>
      </w:r>
      <w:r w:rsidRPr="007D545D">
        <w:rPr>
          <w:rFonts w:ascii="LMRoman10" w:hAnsi="LMRoman10"/>
        </w:rPr>
        <w:t>tration INTRACELLULAIRE.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Indications : angine à streptocoque (alternative à l'allergie aux pénicillines), infections respiratoires/atypiques ; clarithromycine dans l'éradication d'H. pylori ; azithromycine dans les IST urogénitales.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 : tous les macr</w:t>
      </w:r>
      <w:r w:rsidRPr="007D545D">
        <w:rPr>
          <w:rFonts w:ascii="LMRoman10" w:hAnsi="LMRoman10"/>
          <w:i/>
          <w:iCs/>
          <w:color w:val="B45309"/>
        </w:rPr>
        <w:t>olides ne sont PAS à 14 atomes (azithromycine = azalide à 15 atomes). Contre-indication classique : association aux dérivés de l'ergot de seigle (ergotisme) ; inhibiteurs enzymatiques (CYP3A4) sauf azithromycine.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2021N Q33, 2023N Q31, 2024Exc Q31, 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2024R Q33, 2025N Q47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33] GLYCOPEPTIDES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~0.33 Q/examen (5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Glycopeptides (vancomycine, teicoplanine)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 xml:space="preserve">Bactéricides ; inhibent la synthèse du peptidoglycane (à une étape différente des </w:t>
      </w:r>
      <w:r w:rsidRPr="007D545D">
        <w:rPr>
          <w:rFonts w:ascii="Courier New" w:hAnsi="Courier New" w:cs="Courier New"/>
        </w:rPr>
        <w:t>β</w:t>
      </w:r>
      <w:r w:rsidRPr="007D545D">
        <w:rPr>
          <w:rFonts w:ascii="LMRoman10" w:hAnsi="LMRoman10"/>
        </w:rPr>
        <w:t>-lactamines) ; spectre Gram POSITIF uniquement, dont le SARM (++).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Administration IV (la voie orale n'est utilisée que pour la colite à C. difficile, action locale digestive</w:t>
      </w:r>
      <w:r w:rsidRPr="007D545D">
        <w:rPr>
          <w:rFonts w:ascii="LMRoman10" w:hAnsi="LMRoman10"/>
        </w:rPr>
        <w:t>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Pièges : INACTIFS sur les bacilles à Gram négatif ; pas d'absorption digestive ; néphrotoxiques (surveillance des taux = STP).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2021N Q30-31, 2024Exc Q29, 2024N Q30, 2024R Q30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34] QUESTIONS INCLASSIFIABLES (RECOUPE CARDIO + CORTICOÏDES)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</w:t>
      </w: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  •  ~0.27 Q/examen (4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Items isolés (recoupent cardio + corticoïdes)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AVK : INR à 2,8 (dans la cible 2-3) → maintenir la même dose. Thiénopyridines (clopidogrel) : AOMI, après angioplastie/stent.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Apixaban (AOD) : contre-indiqué en cas d</w:t>
      </w:r>
      <w:r w:rsidRPr="007D545D">
        <w:rPr>
          <w:rFonts w:ascii="LMRoman10" w:hAnsi="LMRoman10"/>
        </w:rPr>
        <w:t>'insuffisance rénale sévère.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Corticoïdes : l'effet minéralocorticoïde augmente l'excrétion rénale du POTASSIUM (→ hypokaliémie) et la rétention sodée.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Ces questions renvoient aux fiches cardio (antithrombotiques) et anti-inflammatoires (corticoïdes) — à </w:t>
      </w:r>
      <w:r w:rsidRPr="007D545D">
        <w:rPr>
          <w:rFonts w:ascii="LMRoman10" w:hAnsi="LMRoman10"/>
          <w:i/>
          <w:iCs/>
          <w:color w:val="B45309"/>
        </w:rPr>
        <w:t>réviser conjointement.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2025N Q26-28, 2025N Q44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35] ANTIFONGIQUES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~0.27 Q/examen (4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Antifongiques systémiques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Fluconazole (azolé) : agit sur la membrane fongique (inhibition de la synthèse de l'ergostérol) ; voie ora</w:t>
      </w:r>
      <w:r w:rsidRPr="007D545D">
        <w:rPr>
          <w:rFonts w:ascii="LMRoman10" w:hAnsi="LMRoman10"/>
        </w:rPr>
        <w:t>le + IV ; actif sur Candida albicans et la cryptococcose neuroméningée (BONNE diffusion dans le LCR) ; élimination URINAIRE.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Amphotéricine B (forme liposomale) : IV ; mauvaise absorption digestive ; large spectre mais néphrotoxique.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Pièges : le fluconazo</w:t>
      </w:r>
      <w:r w:rsidRPr="007D545D">
        <w:rPr>
          <w:rFonts w:ascii="LMRoman10" w:hAnsi="LMRoman10"/>
          <w:i/>
          <w:iCs/>
          <w:color w:val="B45309"/>
        </w:rPr>
        <w:t>le n'est PAS actif sur l'aspergillus ; son élimination est urinaire (pas biliaire). À distinguer de l'amphotéricine B (diffusion LCR médiocre — voir « clé discutable » en divers infectieuse).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Q28, 2024Exc Q32, 2024R Q32, 2025N Q49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36] SULFAMIDES (COTRIMOXAZOLE)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~0.27 Q/examen (4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Cotrimoxazole (sulfaméthoxazole + triméthoprime)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Association SYNERGIQUE (blocage séquentiel de la synthèse des folates) ; bonne diffusion prostatique et dans le LCR.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Indicati</w:t>
      </w:r>
      <w:r w:rsidRPr="007D545D">
        <w:rPr>
          <w:rFonts w:ascii="LMRoman10" w:hAnsi="LMRoman10"/>
        </w:rPr>
        <w:t>ons : Pneumocystis jirovecii (référence), listériose, fièvre typhoïde, infections urinaires.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Toxicité : hématologique (cytopénies), cutanée (Lyell/Stevens-Johnson).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Contre-indications : déficit en G6PD (hémolyse), nouveau-né (ictère nucléaire), grossesse (3e trimestre).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Q30, 2019R Q32, 2022N Q32, 2023R Q30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lastRenderedPageBreak/>
        <w:t>[RANG 37] CYCLINES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~0.2 Q/examen (3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Cyclines (doxycycline)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Bactériostati</w:t>
      </w:r>
      <w:r w:rsidRPr="007D545D">
        <w:rPr>
          <w:rFonts w:ascii="LMRoman10" w:hAnsi="LMRoman10"/>
        </w:rPr>
        <w:t>ques ; inhibition de la synthèse protéique sur la sous-unité 30S ; actifs en intra- ET extracellulaire ; spectre large incluant les germes atypiques et les rickettsies (fièvre boutonneuse méditerranéenne).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Effet indésirable caractéristique : photosensibili</w:t>
      </w:r>
      <w:r w:rsidRPr="007D545D">
        <w:rPr>
          <w:rFonts w:ascii="LMRoman10" w:hAnsi="LMRoman10"/>
        </w:rPr>
        <w:t>té ; absorption diminuée par les anti-acides/cations (chélation).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Contre-indiqués chez l'enfant &lt;8 ans (coloration dentaire), pendant la grossesse et l'allaitement.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2019N Q31, 2021R Q33, 2023R Q33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38] QUINOLONES / FLUOROQUINOLONES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</w:t>
      </w: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2 Q/examen (3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Fluoroquinolones (ciprofloxacine, lévofloxacine)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Bactéricides CONCENTRATION-dépendants ; inhibent l'ADN-gyrase (topoisomérase II) ; excellente absorption orale et diffusion prostatique.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Lévofloxacine (3e génération) = ant</w:t>
      </w:r>
      <w:r w:rsidRPr="007D545D">
        <w:rPr>
          <w:rFonts w:ascii="LMRoman10" w:hAnsi="LMRoman10"/>
        </w:rPr>
        <w:t>ipneumococcique ; la ciprofloxacine (2e génération) ne l'est PAS (active surtout sur les BGN, dont Pseudomonas).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Effets indésirables classiques : tendinopathie / rupture tendineuse (tendon d'Achille), photosensibilité, allongement du QT.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2018N Q2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>9, 2019R Q31, 2021R Q32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39] ANTISPASMODIQUES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~0.13 Q/examen (2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Antispasmodiques musculotropes (phloroglucinol, mébévérine)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Action directe sur la fibre musculaire LISSE (digestive et génito-urinaire), indépendante du récepteur muscarinique.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Indications : spasmes digestifs, coliques. Bien tolérés ; alternative quand les anticholinergiques sont contre-indiqués (glaucome, adénome </w:t>
      </w:r>
      <w:r w:rsidRPr="007D545D">
        <w:rPr>
          <w:rFonts w:ascii="LMRoman10" w:hAnsi="LMRoman10"/>
        </w:rPr>
        <w:t>prostatique).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À distinguer des antispasmodiques ANTICHOLINERGIQUES (atropiniques), qui partagent les contre-indications de l'atropine.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2023R Q45, 2024R Q45</w:t>
      </w:r>
    </w:p>
    <w:p w:rsidR="004A07B0" w:rsidRPr="007D545D" w:rsidRDefault="007D545D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7D545D">
        <w:rPr>
          <w:rFonts w:ascii="LMRoman10" w:hAnsi="LMRoman10"/>
        </w:rPr>
        <w:t>[RANG 40] LES INHIBITEURS CALCIQUES (ITEM ISOLÉ)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~0.07 Q/examen (1 Q sur 15 sessions)</w:t>
      </w:r>
    </w:p>
    <w:p w:rsidR="004A07B0" w:rsidRPr="007D545D" w:rsidRDefault="007D545D">
      <w:pPr>
        <w:spacing w:before="16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8B0000"/>
          <w:sz w:val="22"/>
          <w:szCs w:val="22"/>
          <w:u w:val="single"/>
        </w:rPr>
        <w:t>Inhibiteurs calciques (item isolé — voir aussi bloc cardio)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Dihydropyridines (amlodipine, nicardipine) : vasodilatateurs artériels périphériques → effet indésirable = ŒDÈMES des membres inférieurs, céphalées, fl</w:t>
      </w:r>
      <w:r w:rsidRPr="007D545D">
        <w:rPr>
          <w:rFonts w:ascii="LMRoman10" w:hAnsi="LMRoman10"/>
        </w:rPr>
        <w:t>ush ; pas d'effet bradycardisant.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Non-dihydropyridines (vérapamil, diltiazem) : effet cardiaque (bradycardisant, inotrope négatif) → non privilégiés dans l'insuffisance cardiaque systolique.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Piège : les dihydropyridines ne sont PAS bradycardisantes (réfl</w:t>
      </w:r>
      <w:r w:rsidRPr="007D545D">
        <w:rPr>
          <w:rFonts w:ascii="LMRoman10" w:hAnsi="LMRoman10"/>
          <w:i/>
          <w:iCs/>
          <w:color w:val="B45309"/>
        </w:rPr>
        <w:t xml:space="preserve">exe : tachycardie possible) ; ne pas associer vérapamil/diltiazem aux </w:t>
      </w:r>
      <w:r w:rsidRPr="007D545D">
        <w:rPr>
          <w:rFonts w:ascii="Courier New" w:hAnsi="Courier New" w:cs="Courier New"/>
          <w:i/>
          <w:iCs/>
          <w:color w:val="B45309"/>
        </w:rPr>
        <w:t>β</w:t>
      </w:r>
      <w:r w:rsidRPr="007D545D">
        <w:rPr>
          <w:rFonts w:ascii="LMRoman10" w:hAnsi="LMRoman10"/>
          <w:i/>
          <w:iCs/>
          <w:color w:val="B45309"/>
        </w:rPr>
        <w:t>-bloquants (risque de BAV).</w:t>
      </w:r>
    </w:p>
    <w:p w:rsidR="004A07B0" w:rsidRPr="007D545D" w:rsidRDefault="007D545D">
      <w:pPr>
        <w:spacing w:before="2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7D545D">
        <w:rPr>
          <w:rFonts w:ascii="LMRoman10" w:hAnsi="LMRoman10"/>
          <w:i/>
          <w:iCs/>
          <w:color w:val="404040"/>
          <w:sz w:val="18"/>
          <w:szCs w:val="18"/>
        </w:rPr>
        <w:t xml:space="preserve"> Vu : 2026N Q41</w:t>
      </w:r>
    </w:p>
    <w:p w:rsidR="004A07B0" w:rsidRPr="007D545D" w:rsidRDefault="007D545D">
      <w:pPr>
        <w:rPr>
          <w:rFonts w:ascii="LMRoman10" w:hAnsi="LMRoman10"/>
        </w:rPr>
      </w:pPr>
      <w:r w:rsidRPr="007D545D">
        <w:rPr>
          <w:rFonts w:ascii="LMRoman10" w:hAnsi="LMRoman10"/>
        </w:rPr>
        <w:br w:type="page"/>
      </w:r>
    </w:p>
    <w:p w:rsidR="004A07B0" w:rsidRPr="007D545D" w:rsidRDefault="007D545D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4A07B0" w:rsidRPr="007D545D" w:rsidRDefault="007D545D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7D545D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D'UTILISER CETTE SECTION </w:t>
      </w:r>
      <w:r w:rsidRPr="007D545D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4A07B0" w:rsidRPr="007D545D" w:rsidRDefault="007D545D">
      <w:pPr>
        <w:spacing w:before="80" w:after="12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4A07B0" w:rsidRPr="007D545D" w:rsidRDefault="007D545D">
      <w:pPr>
        <w:spacing w:before="120" w:after="60"/>
        <w:rPr>
          <w:rFonts w:ascii="LMRoman10" w:hAnsi="LMRoman10"/>
        </w:rPr>
      </w:pPr>
      <w:r w:rsidRPr="007D545D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</w:t>
      </w:r>
      <w:r w:rsidRPr="007D545D">
        <w:rPr>
          <w:rFonts w:ascii="LMRoman10" w:hAnsi="LMRoman10"/>
          <w:i/>
          <w:iCs/>
          <w:color w:val="000000"/>
        </w:rPr>
        <w:t xml:space="preserve"> peuvent malgré tout :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Apparaître en question résiduelle ou rattrapage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Être recyclés à la dernière minute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Servir de "culture générale" médicale</w:t>
      </w:r>
    </w:p>
    <w:p w:rsidR="004A07B0" w:rsidRPr="007D545D" w:rsidRDefault="007D545D">
      <w:pPr>
        <w:spacing w:before="20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4A07B0" w:rsidRPr="007D545D" w:rsidRDefault="007D545D">
      <w:pPr>
        <w:rPr>
          <w:rFonts w:ascii="LMRoman10" w:hAnsi="LMRoman10"/>
        </w:rPr>
      </w:pPr>
      <w:r w:rsidRPr="007D545D">
        <w:rPr>
          <w:rFonts w:ascii="LMRoman10" w:hAnsi="LMRoman10"/>
        </w:rPr>
        <w:br w:type="page"/>
      </w:r>
    </w:p>
    <w:p w:rsidR="004A07B0" w:rsidRPr="007D545D" w:rsidRDefault="007D545D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PHARMACOLOGIE &amp; TOXICOLOGIE</w:t>
      </w:r>
    </w:p>
    <w:p w:rsidR="004A07B0" w:rsidRPr="007D545D" w:rsidRDefault="007D545D">
      <w:pPr>
        <w:pStyle w:val="Heading2"/>
        <w:rPr>
          <w:rFonts w:ascii="LMRoman10" w:hAnsi="LMRoman10"/>
        </w:rPr>
      </w:pPr>
      <w:r w:rsidRPr="007D545D">
        <w:rPr>
          <w:rFonts w:ascii="LMRoman10" w:hAnsi="LMRoman10"/>
        </w:rPr>
        <w:t>** CLASSIFICATIONS &amp; PALIERS À RETENIR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Paliers OMS des antalgiques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 = paracétamol / néfopam / AINS ; 2 = codéine / tramadol ; 3 = morphine et opioïdes forts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Antiépileptiques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1re génération = phénobarbital, phénytoïne, carbamazépine, valproate, éthosuximide ; nouvelle = lamotrigine, gabapentine, vigabatrin, lévétiracétam…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Diurétiques (par site)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Proximaux (acétazolamide, mannitol) → anse (furosémide) → thiazidiques → distaux épargneurs de K (spironolactone, amiloride)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Listes de prescription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Liste I (cadre rouge), Liste II (cadre vert), Stupéfiants (ordonnance sécurisée, durée limitée)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Phases des essais cliniques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I = tolérance (volontaires sains) ; II = efficacité/dose ; III = comparatif vs référence (grande échelle) ; IV = post-AMM / pharmacovigilance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Insulines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Rapides/analogues (lispro, aspart, glulisine) vs lentes (glargine, détémir,</w:t>
            </w:r>
            <w:r w:rsidRPr="007D545D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NPH)</w:t>
            </w:r>
          </w:p>
        </w:tc>
      </w:tr>
    </w:tbl>
    <w:p w:rsidR="004A07B0" w:rsidRPr="007D545D" w:rsidRDefault="007D545D">
      <w:pPr>
        <w:pStyle w:val="Heading2"/>
        <w:rPr>
          <w:rFonts w:ascii="LMRoman10" w:hAnsi="LMRoman10"/>
        </w:rPr>
      </w:pPr>
      <w:r w:rsidRPr="007D545D">
        <w:rPr>
          <w:rFonts w:ascii="LMRoman10" w:hAnsi="LMRoman10"/>
        </w:rPr>
        <w:t>** MÉCANISMES D'ACTION CLÉS (par classe)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4A07B0" w:rsidRPr="007D545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β</w:t>
            </w: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-lactamines / glycopeptides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Inhibition de la synthèse de la paroi (peptidoglycane / PLP) — temps-dépendant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Aminosides / cyclines / macrolides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Inhibition de la synthèse protéique : 30S (aminosides, cyclines) ; 50S (macrolides)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Fluoroquinolones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Inhibition de l'ADN-gyrase — concentration-dépendant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Métronidazole / sulfamides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Métronidazole → acides nucléiques (anaérobies) ; cotrimoxazole → blocage séquentiel des folates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IPP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Inhibition IRRÉVERSIBLE de la pompe H+/K+-ATPase pariétale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AVK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Inhibition des facteurs vitamine K-dépendants (II, VII, IX, X) — effet retardé, surveillance INR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Rifampicine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Inhibe l'ARN-polymérase + inducteur enzymatique puissant</w:t>
            </w:r>
          </w:p>
        </w:tc>
      </w:tr>
      <w:tr w:rsidR="004A07B0" w:rsidRPr="007D545D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Antifongiques azolés / amphotéricine B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A07B0" w:rsidRPr="007D545D" w:rsidRDefault="007D545D">
            <w:pPr>
              <w:rPr>
                <w:rFonts w:ascii="LMRoman10" w:hAnsi="LMRoman10"/>
              </w:rPr>
            </w:pPr>
            <w:r w:rsidRPr="007D545D">
              <w:rPr>
                <w:rFonts w:ascii="LMRoman10" w:hAnsi="LMRoman10"/>
                <w:color w:val="000000"/>
                <w:sz w:val="18"/>
                <w:szCs w:val="18"/>
              </w:rPr>
              <w:t>Cible l'ergostérol de la membrane fongique</w:t>
            </w:r>
          </w:p>
        </w:tc>
      </w:tr>
    </w:tbl>
    <w:p w:rsidR="004A07B0" w:rsidRPr="007D545D" w:rsidRDefault="007D545D">
      <w:pPr>
        <w:pStyle w:val="Heading2"/>
        <w:rPr>
          <w:rFonts w:ascii="LMRoman10" w:hAnsi="LMRoman10"/>
        </w:rPr>
      </w:pPr>
      <w:r w:rsidRPr="007D545D">
        <w:rPr>
          <w:rFonts w:ascii="LMRoman10" w:hAnsi="LMRoman10"/>
        </w:rPr>
        <w:t>** PIÈGES CLASSIQUES DU CONCOURS **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Morphiniques → CONSTIPATION (jamais « diarrhée ») : piège répété au moins 4 fois.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Synergie = effet de molécules de même sens potentialisé ; potentialisation/addition à distinguer — ne pas confondre avec antagonisme.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Idiosyncrasique </w:t>
      </w:r>
      <w:r w:rsidRPr="007D545D">
        <w:rPr>
          <w:rFonts w:ascii="Courier New" w:hAnsi="Courier New" w:cs="Courier New"/>
          <w:i/>
          <w:iCs/>
          <w:color w:val="B45309"/>
        </w:rPr>
        <w:t>≠</w:t>
      </w:r>
      <w:r w:rsidRPr="007D545D">
        <w:rPr>
          <w:rFonts w:ascii="LMRoman10" w:hAnsi="LMRoman10"/>
          <w:i/>
          <w:iCs/>
          <w:color w:val="B45309"/>
        </w:rPr>
        <w:t xml:space="preserve"> immuno-allergique (l'idiosyncrasique est impr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visible et non immunologique).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La vancomycine n'est PAS une </w:t>
      </w:r>
      <w:r w:rsidRPr="007D545D">
        <w:rPr>
          <w:rFonts w:ascii="Courier New" w:hAnsi="Courier New" w:cs="Courier New"/>
          <w:i/>
          <w:iCs/>
          <w:color w:val="B45309"/>
        </w:rPr>
        <w:t>β</w:t>
      </w:r>
      <w:r w:rsidRPr="007D545D">
        <w:rPr>
          <w:rFonts w:ascii="LMRoman10" w:hAnsi="LMRoman10"/>
          <w:i/>
          <w:iCs/>
          <w:color w:val="B45309"/>
        </w:rPr>
        <w:t>-lactamine (c'est un glycopeptide).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AINS : fœtotoxiques au 3e trimestre, PAS tératogènes. Héparine : NON tératogène (gros PM)</w:t>
      </w:r>
      <w:r w:rsidRPr="007D545D">
        <w:rPr>
          <w:rFonts w:ascii="LMRoman10" w:hAnsi="LMRoman10"/>
          <w:i/>
          <w:iCs/>
          <w:color w:val="B45309"/>
        </w:rPr>
        <w:t>. AVK &amp; valproate &amp; IEC : tératogènes.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Carbamazépine, phénobarbital, rifampicine = INDUCTEURS ; le valproate n'est PAS inducteur.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Dihydropyridines = NON bradycardisantes ; ne pas associer vérapamil/diltiazem + </w:t>
      </w:r>
      <w:r w:rsidRPr="007D545D">
        <w:rPr>
          <w:rFonts w:ascii="Courier New" w:hAnsi="Courier New" w:cs="Courier New"/>
          <w:i/>
          <w:iCs/>
          <w:color w:val="B45309"/>
        </w:rPr>
        <w:t>β</w:t>
      </w:r>
      <w:r w:rsidRPr="007D545D">
        <w:rPr>
          <w:rFonts w:ascii="LMRoman10" w:hAnsi="LMRoman10"/>
          <w:i/>
          <w:iCs/>
          <w:color w:val="B45309"/>
        </w:rPr>
        <w:t>-bloquant.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Surveiller la KALIÉMIE : hyp</w:t>
      </w:r>
      <w:r w:rsidRPr="007D545D">
        <w:rPr>
          <w:rFonts w:ascii="LMRoman10" w:hAnsi="LMRoman10"/>
          <w:i/>
          <w:iCs/>
          <w:color w:val="B45309"/>
        </w:rPr>
        <w:t>erkaliémie sous IEC/ARA2 et épargneurs de K ; hypokaliémie sous anse/thiazidiques, corticoïdes, laxatifs stimulants.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 xml:space="preserve">Résistance NATURELLE </w:t>
      </w:r>
      <w:r w:rsidRPr="007D545D">
        <w:rPr>
          <w:rFonts w:ascii="Courier New" w:hAnsi="Courier New" w:cs="Courier New"/>
          <w:i/>
          <w:iCs/>
          <w:color w:val="B45309"/>
        </w:rPr>
        <w:t>≠</w:t>
      </w:r>
      <w:r w:rsidRPr="007D545D">
        <w:rPr>
          <w:rFonts w:ascii="LMRoman10" w:hAnsi="LMRoman10"/>
          <w:i/>
          <w:iCs/>
          <w:color w:val="B45309"/>
        </w:rPr>
        <w:t xml:space="preserve"> acquisition d'un g</w:t>
      </w:r>
      <w:r w:rsidRPr="007D545D">
        <w:rPr>
          <w:rFonts w:ascii="LMRoman10" w:hAnsi="LMRoman10" w:cs="LMRoman10"/>
          <w:i/>
          <w:iCs/>
          <w:color w:val="B45309"/>
        </w:rPr>
        <w:t>è</w:t>
      </w:r>
      <w:r w:rsidRPr="007D545D">
        <w:rPr>
          <w:rFonts w:ascii="LMRoman10" w:hAnsi="LMRoman10"/>
          <w:i/>
          <w:iCs/>
          <w:color w:val="B45309"/>
        </w:rPr>
        <w:t>ne (c'est la r</w:t>
      </w:r>
      <w:r w:rsidRPr="007D545D">
        <w:rPr>
          <w:rFonts w:ascii="LMRoman10" w:hAnsi="LMRoman10" w:cs="LMRoman10"/>
          <w:i/>
          <w:iCs/>
          <w:color w:val="B45309"/>
        </w:rPr>
        <w:t>é</w:t>
      </w:r>
      <w:r w:rsidRPr="007D545D">
        <w:rPr>
          <w:rFonts w:ascii="LMRoman10" w:hAnsi="LMRoman10"/>
          <w:i/>
          <w:iCs/>
          <w:color w:val="B45309"/>
        </w:rPr>
        <w:t>sistance ACQUISE).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L'inhibition de la pompe à protons est IRRÉVERSIBLE → expli</w:t>
      </w:r>
      <w:r w:rsidRPr="007D545D">
        <w:rPr>
          <w:rFonts w:ascii="LMRoman10" w:hAnsi="LMRoman10"/>
          <w:i/>
          <w:iCs/>
          <w:color w:val="B45309"/>
        </w:rPr>
        <w:t>que la prise unique malgré une demi-vie courte.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STP : ne concerne PAS tous les médicaments (seulement marge étroite + variabilité interindividuelle + corrélation conc-effet).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7D545D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7D545D">
        <w:rPr>
          <w:rFonts w:ascii="LMRoman10" w:hAnsi="LMRoman10"/>
          <w:i/>
          <w:iCs/>
          <w:color w:val="B45309"/>
        </w:rPr>
        <w:t>Le STP/adaptation rénale ne modifie pas la biodisponibilité d'une voie IV (10</w:t>
      </w:r>
      <w:r w:rsidRPr="007D545D">
        <w:rPr>
          <w:rFonts w:ascii="LMRoman10" w:hAnsi="LMRoman10"/>
          <w:i/>
          <w:iCs/>
          <w:color w:val="B45309"/>
        </w:rPr>
        <w:t>0%).</w:t>
      </w:r>
    </w:p>
    <w:p w:rsidR="004A07B0" w:rsidRPr="007D545D" w:rsidRDefault="007D545D">
      <w:pPr>
        <w:pStyle w:val="Heading2"/>
        <w:rPr>
          <w:rFonts w:ascii="LMRoman10" w:hAnsi="LMRoman10"/>
        </w:rPr>
      </w:pPr>
      <w:r w:rsidRPr="007D545D">
        <w:rPr>
          <w:rFonts w:ascii="LMRoman10" w:hAnsi="LMRoman10"/>
        </w:rPr>
        <w:t>** EFFETS INDÉSIRABLES ICONIQUES &amp; ANTIDOTES (TOXICOLOGIE) **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Paracétamol → métabolite NAPQI → antidote N-acétylcystéine (déplétion en glutathion).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Organophosphorés (insecticides) → syndrome cholinergique → atropine + PRALIDOXIME.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 xml:space="preserve">Méthanol → toxicité </w:t>
      </w:r>
      <w:r w:rsidRPr="007D545D">
        <w:rPr>
          <w:rFonts w:ascii="LMRoman10" w:hAnsi="LMRoman10"/>
        </w:rPr>
        <w:t>oculaire/acidose → antidote fomépizole (ou éthanol).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Éthylène glycol → cristaux d'oxalate de calcium / IR → fomépizole.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Benzodiazépines → dépression respiratoire → flumazénil. Opioïdes → naloxone.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Rifampicine → urines/sécrétions ORANGE + inducteur enzymati</w:t>
      </w:r>
      <w:r w:rsidRPr="007D545D">
        <w:rPr>
          <w:rFonts w:ascii="LMRoman10" w:hAnsi="LMRoman10"/>
        </w:rPr>
        <w:t>que.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Éthambutol → névrite optique / dyschromatopsie (surveillance ophtalmo).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Aminosides → ototoxicité + néphrotoxicité (surveillance audiométrie + créatinine).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Statines → myalgies / rhabdomyolyse (surveillance CPK) + cytolyse hépatique (bilan hépatique).</w:t>
      </w:r>
    </w:p>
    <w:p w:rsidR="004A07B0" w:rsidRPr="007D545D" w:rsidRDefault="007D545D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7D545D">
        <w:rPr>
          <w:rFonts w:ascii="LMRoman10" w:hAnsi="LMRoman10"/>
        </w:rPr>
        <w:t>M</w:t>
      </w:r>
      <w:r w:rsidRPr="007D545D">
        <w:rPr>
          <w:rFonts w:ascii="LMRoman10" w:hAnsi="LMRoman10"/>
        </w:rPr>
        <w:t>onoxyde de carbone → carboxyhémoglobine → oxygène (normo-/hyperbare).</w:t>
      </w:r>
    </w:p>
    <w:p w:rsidR="004A07B0" w:rsidRPr="007D545D" w:rsidRDefault="007D545D">
      <w:pPr>
        <w:spacing w:before="240" w:after="60"/>
        <w:rPr>
          <w:rFonts w:ascii="LMRoman10" w:hAnsi="LMRoman10"/>
        </w:rPr>
      </w:pPr>
      <w:r w:rsidRPr="007D545D">
        <w:rPr>
          <w:rFonts w:ascii="LMRoman10" w:hAnsi="LMRoman10"/>
          <w:color w:val="000000"/>
        </w:rPr>
        <w:t xml:space="preserve"> </w:t>
      </w:r>
    </w:p>
    <w:p w:rsidR="004A07B0" w:rsidRPr="007D545D" w:rsidRDefault="004A07B0">
      <w:pPr>
        <w:pBdr>
          <w:top w:val="double" w:sz="8" w:space="4" w:color="1F3A5F"/>
        </w:pBdr>
        <w:rPr>
          <w:rFonts w:ascii="LMRoman10" w:hAnsi="LMRoman10"/>
        </w:rPr>
      </w:pP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i/>
          <w:iCs/>
          <w:color w:val="000000"/>
          <w:sz w:val="18"/>
          <w:szCs w:val="18"/>
        </w:rPr>
        <w:t>Généré par Claude.ai (claude-opus-4-8) — Version 1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i/>
          <w:iCs/>
          <w:color w:val="000000"/>
          <w:sz w:val="18"/>
          <w:szCs w:val="18"/>
        </w:rPr>
        <w:t>Cross-match 740 QEs officielles × Cours AIO pharmaco générale (882 p.) + pharmaco spécifique (954 p.) + registre AMMPS (DCI Maroc)</w:t>
      </w:r>
    </w:p>
    <w:p w:rsidR="004A07B0" w:rsidRPr="007D545D" w:rsidRDefault="007D545D">
      <w:pPr>
        <w:spacing w:before="60" w:after="60"/>
        <w:jc w:val="center"/>
        <w:rPr>
          <w:rFonts w:ascii="LMRoman10" w:hAnsi="LMRoman10"/>
        </w:rPr>
      </w:pPr>
      <w:r w:rsidRPr="007D545D">
        <w:rPr>
          <w:rFonts w:ascii="LMRoman10" w:hAnsi="LMRoman10"/>
          <w:b/>
          <w:bCs/>
          <w:i/>
          <w:iCs/>
          <w:color w:val="000000"/>
          <w:sz w:val="18"/>
          <w:szCs w:val="18"/>
        </w:rPr>
        <w:t>FMPM — concours 2026 (module Pharmacologie &amp; Toxicologie, S6)</w:t>
      </w:r>
    </w:p>
    <w:p w:rsidR="004A07B0" w:rsidRPr="007D545D" w:rsidRDefault="007D545D">
      <w:pPr>
        <w:spacing w:before="200" w:after="60"/>
        <w:rPr>
          <w:rFonts w:ascii="LMRoman10" w:hAnsi="LMRoman10"/>
        </w:rPr>
      </w:pPr>
      <w:r w:rsidRPr="007D545D">
        <w:rPr>
          <w:rFonts w:ascii="LMRoman10" w:hAnsi="LMRoman10"/>
          <w:b/>
          <w:bCs/>
          <w:color w:val="065F46"/>
        </w:rPr>
        <w:t>Améliorations Version 1 :</w:t>
      </w:r>
    </w:p>
    <w:p w:rsidR="004A07B0" w:rsidRPr="007D545D" w:rsidRDefault="007D545D">
      <w:pPr>
        <w:spacing w:before="6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D545D">
        <w:rPr>
          <w:rFonts w:ascii="LMRoman10" w:hAnsi="LMRoman10"/>
          <w:color w:val="065F46"/>
          <w:sz w:val="18"/>
          <w:szCs w:val="18"/>
        </w:rPr>
        <w:t xml:space="preserve"> Banque de 740 QE analysée sur 15 sessions (2018→2026), 40 thèmes ; aucune question écartée (parseur tolérant).</w:t>
      </w:r>
    </w:p>
    <w:p w:rsidR="004A07B0" w:rsidRPr="007D545D" w:rsidRDefault="007D545D">
      <w:pPr>
        <w:spacing w:before="6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D545D">
        <w:rPr>
          <w:rFonts w:ascii="LMRoman10" w:hAnsi="LMRoman10"/>
          <w:color w:val="065F46"/>
          <w:sz w:val="18"/>
          <w:szCs w:val="18"/>
        </w:rPr>
        <w:t xml:space="preserve"> Les citations renvoient uniquement à des sessions/num</w:t>
      </w:r>
      <w:r w:rsidRPr="007D545D">
        <w:rPr>
          <w:rFonts w:ascii="LMRoman10" w:hAnsi="LMRoman10"/>
          <w:color w:val="065F46"/>
          <w:sz w:val="18"/>
          <w:szCs w:val="18"/>
        </w:rPr>
        <w:t>éros réels du corpus fourni.</w:t>
      </w:r>
    </w:p>
    <w:p w:rsidR="004A07B0" w:rsidRPr="007D545D" w:rsidRDefault="007D545D">
      <w:pPr>
        <w:spacing w:before="6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D545D">
        <w:rPr>
          <w:rFonts w:ascii="LMRoman10" w:hAnsi="LMRoman10"/>
          <w:color w:val="065F46"/>
          <w:sz w:val="18"/>
          <w:szCs w:val="18"/>
        </w:rPr>
        <w:t xml:space="preserve"> Contenu synthétisé à partir des corrections officielles ; les rares erreurs probables des clés sont signalées « clé discutable » avec la médecine correcte (ex. amphotéricine B / BHM en « divers infectieuse »).</w:t>
      </w:r>
    </w:p>
    <w:p w:rsidR="004A07B0" w:rsidRPr="007D545D" w:rsidRDefault="007D545D">
      <w:pPr>
        <w:spacing w:before="6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D545D">
        <w:rPr>
          <w:rFonts w:ascii="LMRoman10" w:hAnsi="LMRoman10"/>
          <w:color w:val="065F46"/>
          <w:sz w:val="18"/>
          <w:szCs w:val="18"/>
        </w:rPr>
        <w:t xml:space="preserve"> Session « 202</w:t>
      </w:r>
      <w:r w:rsidRPr="007D545D">
        <w:rPr>
          <w:rFonts w:ascii="LMRoman10" w:hAnsi="LMRoman10"/>
          <w:color w:val="065F46"/>
          <w:sz w:val="18"/>
          <w:szCs w:val="18"/>
        </w:rPr>
        <w:t>4 Exceptionnel » sans corrections officielles dans la source : réponses reconstituées d'après la médecine non ambiguë.</w:t>
      </w:r>
    </w:p>
    <w:p w:rsidR="004A07B0" w:rsidRPr="007D545D" w:rsidRDefault="007D545D">
      <w:pPr>
        <w:spacing w:before="6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D545D">
        <w:rPr>
          <w:rFonts w:ascii="LMRoman10" w:hAnsi="LMRoman10"/>
          <w:color w:val="065F46"/>
          <w:sz w:val="18"/>
          <w:szCs w:val="18"/>
        </w:rPr>
        <w:t xml:space="preserve"> DCI/spécialités ancrées sur le registre AMMPS Maroc fourni ; cours AIO pharmaco générale + spécifique utilisés pour la synthèse.</w:t>
      </w:r>
    </w:p>
    <w:p w:rsidR="004A07B0" w:rsidRPr="007D545D" w:rsidRDefault="007D545D">
      <w:pPr>
        <w:spacing w:before="6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D545D">
        <w:rPr>
          <w:rFonts w:ascii="LMRoman10" w:hAnsi="LMRoman10"/>
          <w:color w:val="065F46"/>
          <w:sz w:val="18"/>
          <w:szCs w:val="18"/>
        </w:rPr>
        <w:t xml:space="preserve"> PART</w:t>
      </w:r>
      <w:r w:rsidRPr="007D545D">
        <w:rPr>
          <w:rFonts w:ascii="LMRoman10" w:hAnsi="LMRoman10"/>
          <w:color w:val="065F46"/>
          <w:sz w:val="18"/>
          <w:szCs w:val="18"/>
        </w:rPr>
        <w:t>IE 4 (hors-programme) laissée vide faute de liste officielle des leçons annulées 2026 — voir l'avertissement obligatoire ; aucune annulation n'est déduite de la fréquence.</w:t>
      </w:r>
    </w:p>
    <w:p w:rsidR="004A07B0" w:rsidRPr="007D545D" w:rsidRDefault="007D545D">
      <w:pPr>
        <w:spacing w:before="6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7D545D">
        <w:rPr>
          <w:rFonts w:ascii="LMRoman10" w:hAnsi="LMRoman10"/>
          <w:color w:val="065F46"/>
          <w:sz w:val="18"/>
          <w:szCs w:val="18"/>
        </w:rPr>
        <w:t xml:space="preserve"> Liens cliquables par leçon en attente de la liste officielle des URL de cours FMPM</w:t>
      </w:r>
      <w:r w:rsidRPr="007D545D">
        <w:rPr>
          <w:rFonts w:ascii="LMRoman10" w:hAnsi="LMRoman10"/>
          <w:color w:val="065F46"/>
          <w:sz w:val="18"/>
          <w:szCs w:val="18"/>
        </w:rPr>
        <w:t xml:space="preserve"> (non fournie) — d'où l'absence de liens dans cette version.</w:t>
      </w:r>
    </w:p>
    <w:p w:rsidR="004A07B0" w:rsidRPr="007D545D" w:rsidRDefault="007D545D">
      <w:pPr>
        <w:spacing w:before="60" w:after="60"/>
        <w:rPr>
          <w:rFonts w:ascii="LMRoman10" w:hAnsi="LMRoman10"/>
        </w:rPr>
      </w:pPr>
      <w:r w:rsidRPr="007D545D">
        <w:rPr>
          <w:rFonts w:ascii="Segoe UI Symbol" w:hAnsi="Segoe UI Symbol" w:cs="Segoe UI Symbol"/>
          <w:color w:val="065F46"/>
          <w:sz w:val="18"/>
          <w:szCs w:val="18"/>
        </w:rPr>
        <w:lastRenderedPageBreak/>
        <w:t>✓</w:t>
      </w:r>
      <w:r w:rsidRPr="007D545D">
        <w:rPr>
          <w:rFonts w:ascii="LMRoman10" w:hAnsi="LMRoman10"/>
          <w:color w:val="065F46"/>
          <w:sz w:val="18"/>
          <w:szCs w:val="18"/>
        </w:rPr>
        <w:t xml:space="preserve"> Correctif persistant requis dans le skill : élargir le groupe de capture « session » du parseur (analyze_questions.py) pour accepter les noms de session multi-mots (ex. « toxico pharma s6 2025 </w:t>
      </w:r>
      <w:r w:rsidRPr="007D545D">
        <w:rPr>
          <w:rFonts w:ascii="LMRoman10" w:hAnsi="LMRoman10"/>
          <w:color w:val="065F46"/>
          <w:sz w:val="18"/>
          <w:szCs w:val="18"/>
        </w:rPr>
        <w:t>»), sinon ces sessions sont muettement perdues.</w:t>
      </w:r>
      <w:bookmarkEnd w:id="0"/>
    </w:p>
    <w:sectPr w:rsidR="004A07B0" w:rsidRPr="007D545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630A12"/>
    <w:multiLevelType w:val="hybridMultilevel"/>
    <w:tmpl w:val="0DF490B8"/>
    <w:lvl w:ilvl="0" w:tplc="74C40C80">
      <w:start w:val="1"/>
      <w:numFmt w:val="bullet"/>
      <w:lvlText w:val="•"/>
      <w:lvlJc w:val="left"/>
      <w:pPr>
        <w:ind w:left="720" w:hanging="360"/>
      </w:pPr>
    </w:lvl>
    <w:lvl w:ilvl="1" w:tplc="DCDA51E0">
      <w:numFmt w:val="decimal"/>
      <w:lvlText w:val=""/>
      <w:lvlJc w:val="left"/>
    </w:lvl>
    <w:lvl w:ilvl="2" w:tplc="55921342">
      <w:numFmt w:val="decimal"/>
      <w:lvlText w:val=""/>
      <w:lvlJc w:val="left"/>
    </w:lvl>
    <w:lvl w:ilvl="3" w:tplc="0F661770">
      <w:numFmt w:val="decimal"/>
      <w:lvlText w:val=""/>
      <w:lvlJc w:val="left"/>
    </w:lvl>
    <w:lvl w:ilvl="4" w:tplc="6EDE9C04">
      <w:numFmt w:val="decimal"/>
      <w:lvlText w:val=""/>
      <w:lvlJc w:val="left"/>
    </w:lvl>
    <w:lvl w:ilvl="5" w:tplc="C0EA5CAE">
      <w:numFmt w:val="decimal"/>
      <w:lvlText w:val=""/>
      <w:lvlJc w:val="left"/>
    </w:lvl>
    <w:lvl w:ilvl="6" w:tplc="05FA9882">
      <w:numFmt w:val="decimal"/>
      <w:lvlText w:val=""/>
      <w:lvlJc w:val="left"/>
    </w:lvl>
    <w:lvl w:ilvl="7" w:tplc="185E0D46">
      <w:numFmt w:val="decimal"/>
      <w:lvlText w:val=""/>
      <w:lvlJc w:val="left"/>
    </w:lvl>
    <w:lvl w:ilvl="8" w:tplc="95566DC4">
      <w:numFmt w:val="decimal"/>
      <w:lvlText w:val=""/>
      <w:lvlJc w:val="left"/>
    </w:lvl>
  </w:abstractNum>
  <w:abstractNum w:abstractNumId="1" w15:restartNumberingAfterBreak="0">
    <w:nsid w:val="79A1596D"/>
    <w:multiLevelType w:val="hybridMultilevel"/>
    <w:tmpl w:val="FA10D7A6"/>
    <w:lvl w:ilvl="0" w:tplc="BD3AEDE6">
      <w:start w:val="1"/>
      <w:numFmt w:val="bullet"/>
      <w:lvlText w:val="●"/>
      <w:lvlJc w:val="left"/>
      <w:pPr>
        <w:ind w:left="720" w:hanging="360"/>
      </w:pPr>
    </w:lvl>
    <w:lvl w:ilvl="1" w:tplc="55D8A596">
      <w:start w:val="1"/>
      <w:numFmt w:val="bullet"/>
      <w:lvlText w:val="○"/>
      <w:lvlJc w:val="left"/>
      <w:pPr>
        <w:ind w:left="1440" w:hanging="360"/>
      </w:pPr>
    </w:lvl>
    <w:lvl w:ilvl="2" w:tplc="F7366648">
      <w:start w:val="1"/>
      <w:numFmt w:val="bullet"/>
      <w:lvlText w:val="■"/>
      <w:lvlJc w:val="left"/>
      <w:pPr>
        <w:ind w:left="2160" w:hanging="360"/>
      </w:pPr>
    </w:lvl>
    <w:lvl w:ilvl="3" w:tplc="30D0FD12">
      <w:start w:val="1"/>
      <w:numFmt w:val="bullet"/>
      <w:lvlText w:val="●"/>
      <w:lvlJc w:val="left"/>
      <w:pPr>
        <w:ind w:left="2880" w:hanging="360"/>
      </w:pPr>
    </w:lvl>
    <w:lvl w:ilvl="4" w:tplc="36108E34">
      <w:start w:val="1"/>
      <w:numFmt w:val="bullet"/>
      <w:lvlText w:val="○"/>
      <w:lvlJc w:val="left"/>
      <w:pPr>
        <w:ind w:left="3600" w:hanging="360"/>
      </w:pPr>
    </w:lvl>
    <w:lvl w:ilvl="5" w:tplc="F8A8F9E2">
      <w:start w:val="1"/>
      <w:numFmt w:val="bullet"/>
      <w:lvlText w:val="■"/>
      <w:lvlJc w:val="left"/>
      <w:pPr>
        <w:ind w:left="4320" w:hanging="360"/>
      </w:pPr>
    </w:lvl>
    <w:lvl w:ilvl="6" w:tplc="0D142F76">
      <w:start w:val="1"/>
      <w:numFmt w:val="bullet"/>
      <w:lvlText w:val="●"/>
      <w:lvlJc w:val="left"/>
      <w:pPr>
        <w:ind w:left="5040" w:hanging="360"/>
      </w:pPr>
    </w:lvl>
    <w:lvl w:ilvl="7" w:tplc="25D6D2C6">
      <w:start w:val="1"/>
      <w:numFmt w:val="bullet"/>
      <w:lvlText w:val="●"/>
      <w:lvlJc w:val="left"/>
      <w:pPr>
        <w:ind w:left="5760" w:hanging="360"/>
      </w:pPr>
    </w:lvl>
    <w:lvl w:ilvl="8" w:tplc="7F58BBB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7B0"/>
    <w:rsid w:val="004A07B0"/>
    <w:rsid w:val="007D5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E3D24E2A-3613-42FE-96AB-618531EB3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10426</Words>
  <Characters>59432</Characters>
  <Application>Microsoft Office Word</Application>
  <DocSecurity>0</DocSecurity>
  <Lines>495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PHARMACOLOGIE &amp; TOXICOLOGIE - QE Haute Fréquence</vt:lpstr>
    </vt:vector>
  </TitlesOfParts>
  <Company/>
  <LinksUpToDate>false</LinksUpToDate>
  <CharactersWithSpaces>69719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PHARMACOLOGIE &amp; TOXICOLOGIE - QE Haute Fréquence</dc:title>
  <dc:creator>Claude.ai</dc:creator>
  <dc:description>Generated by qe-analysis skill</dc:description>
  <cp:lastModifiedBy>tool</cp:lastModifiedBy>
  <cp:revision>3</cp:revision>
  <cp:lastPrinted>2026-06-13T22:47:00Z</cp:lastPrinted>
  <dcterms:created xsi:type="dcterms:W3CDTF">2026-06-13T18:56:00Z</dcterms:created>
  <dcterms:modified xsi:type="dcterms:W3CDTF">2026-06-13T22:47:00Z</dcterms:modified>
</cp:coreProperties>
</file>