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3FB" w:rsidRPr="00E25DA2" w:rsidRDefault="00E25DA2">
      <w:pPr>
        <w:spacing w:after="100"/>
        <w:jc w:val="center"/>
        <w:rPr>
          <w:rFonts w:ascii="LMRoman10" w:hAnsi="LMRoman10"/>
        </w:rPr>
      </w:pPr>
      <w:bookmarkStart w:id="0" w:name="_GoBack"/>
      <w:r w:rsidRPr="00E25DA2">
        <w:rPr>
          <w:rFonts w:ascii="LMRoman10" w:hAnsi="LMRoman10"/>
          <w:b/>
          <w:bCs/>
          <w:color w:val="1F3A5F"/>
          <w:sz w:val="44"/>
          <w:szCs w:val="44"/>
        </w:rPr>
        <w:t>GASTRO-ENTÉROLOGIE &amp; CHIRURGIE VISCÉRALE</w:t>
      </w:r>
    </w:p>
    <w:p w:rsidR="000063FB" w:rsidRPr="00E25DA2" w:rsidRDefault="00E25DA2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30"/>
          <w:szCs w:val="30"/>
        </w:rPr>
        <w:t>Fiches QE Haute Fréquence — Pathologie digestive (S6) — Version 1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i/>
          <w:iCs/>
          <w:color w:val="000000"/>
        </w:rPr>
        <w:t>Cross-match : 748 QEs officielles (Mai 2018 → Ratt 2025) × Cours AIO digestif + corrections officielles e-qe.online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000000"/>
          <w:sz w:val="18"/>
          <w:szCs w:val="18"/>
        </w:rPr>
        <w:t>FMPM — Concours 2026 • généré par Claude.ai</w:t>
      </w:r>
    </w:p>
    <w:p w:rsidR="000063FB" w:rsidRPr="00E25DA2" w:rsidRDefault="00E25DA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0063FB" w:rsidRPr="00E25DA2" w:rsidRDefault="00E25DA2">
      <w:pPr>
        <w:spacing w:before="60" w:after="60"/>
        <w:rPr>
          <w:rFonts w:ascii="LMRoman10" w:hAnsi="LMRoman10"/>
        </w:rPr>
      </w:pPr>
      <w:r w:rsidRPr="00E25DA2">
        <w:rPr>
          <w:rFonts w:ascii="LMRoman10" w:hAnsi="LMRoman10"/>
          <w:i/>
          <w:iCs/>
          <w:color w:val="000000"/>
        </w:rPr>
        <w:t>Classement basé sur la fréquence réelle dans 748 QEs (15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0063FB" w:rsidRPr="00E25DA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APPENDICITE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HÉPATITES VIRALES AIGUËS &amp; CHRONIQUES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TROUBLES FONCTIONNELS INTESTINAUX (SII)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OCCLUSION INTESTINALE AIGUË (OIA)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MALADIES INFLAMMATOIRES CHRONIQUES DE L'INTESTIN (MICI)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SYNDROMES DE MALABSORPTION &amp; MALADIE CŒLIAQUE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CIRRHOSE &amp; HYPERTENSION PORTALE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REFLUX GASTRO-ŒSOPHAGIEN (RGO)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TRAUMATISMES DE L'ABDOMEN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MALADIE ULCÉREUSE GASTRO-DUODÉNALE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DYSPEPSIE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LITHIASE VÉSICULAIRE &amp; COMPLICATIONS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GASTRITES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TUMEURS DU FOIE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HELICOBACTER PYLORI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DU PANCRÉAS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PANCRÉATITES AIGUËS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DE L'ESTOMAC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KYSTE HYDATIQUE DU FOIE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DE L'ŒSOPHAGE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PATHOLOGIE HERNIAIRE DE LA PAROI ABDOMINALE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ISCHÉMIE INTESTINALE AIGUË (INFARCTUS MÉSENTÉRIQUE)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DU CÔLON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DU RECTUM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PÉRITONITES AIGUËS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TUBERCULOSE ABDOMINALE (PÉRITONÉALE &amp; INTESTINALE)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FISTULES ANALES &amp; SUPPURATIONS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INGESTION DE CAUSTIQUES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DIVERTICULOSE COLIQUE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ABCÈS HÉPATIQUE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PARASITOSES DIGESTIVES (AMIBIASE)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CANCERS BILIAIRES (CHOLANGIOCARCINOME)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TROUBLES MOTEURS ŒSOPHAGIENS (ACHALASIE)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PANCRÉATITE CHRONIQUE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PATHOLOGIES PROCTOLOGIQUES FRÉQUENTES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HÉMOCHROMATOSE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MALADIE DE WILSON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QUESTIONS TRANSVERSALES / INCLASSIFIABLES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Transversal</w:t>
            </w:r>
          </w:p>
        </w:tc>
      </w:tr>
    </w:tbl>
    <w:p w:rsidR="000063FB" w:rsidRPr="00E25DA2" w:rsidRDefault="00E25DA2">
      <w:pPr>
        <w:rPr>
          <w:rFonts w:ascii="LMRoman10" w:hAnsi="LMRoman10"/>
        </w:rPr>
      </w:pPr>
      <w:r w:rsidRPr="00E25DA2">
        <w:rPr>
          <w:rFonts w:ascii="LMRoman10" w:hAnsi="LMRoman10"/>
        </w:rPr>
        <w:br w:type="page"/>
      </w:r>
    </w:p>
    <w:p w:rsidR="000063FB" w:rsidRPr="00E25DA2" w:rsidRDefault="00E25DA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0063FB" w:rsidRPr="00E25DA2" w:rsidRDefault="00E25DA2">
      <w:pPr>
        <w:spacing w:before="60" w:after="60"/>
        <w:rPr>
          <w:rFonts w:ascii="LMRoman10" w:hAnsi="LMRoman10"/>
        </w:rPr>
      </w:pPr>
      <w:r w:rsidRPr="00E25DA2">
        <w:rPr>
          <w:rFonts w:ascii="LMRoman10" w:hAnsi="LMRoman10"/>
          <w:i/>
          <w:iCs/>
          <w:color w:val="000000"/>
        </w:rPr>
        <w:t>Statistiques calculées sur 15 sessions, chaque examen ~49.9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0063FB" w:rsidRPr="00E25DA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APPENDICITE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HÉPATITES VIRALES AIGUËS &amp; CHRONIQUES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5.6%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TROUBLES FONCTIONNELS INTESTINAUX (SII)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4.7%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OCCLUSION INTESTINALE AIGUË (OIA)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4.0%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MALADIES INFLAMMATOIRES CHRONIQUES DE L'INTESTIN (MICI)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SYNDROMES DE MALABSORPTION &amp; MALADIE CŒLIAQUE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CIRRHOSE &amp; HYPERTENSION PORTALE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REFLUX GASTRO-ŒSOPHAGIEN (RGO)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TRAUMATISMES DE L'ABDOMEN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MALADIE ULCÉREUSE GASTRO-DUODÉNALE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3.6%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DYSPEPSIE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3.5%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LITHIASE VÉSICULAIRE &amp; COMPLICATIONS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3.5%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GASTRITES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3.3%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TUMEURS DU FOIE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HELICOBACTER PYLORI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DU PANCRÉAS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3.1%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PANCRÉATITES AIGUËS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DE L'ESTOMAC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KYSTE HYDATIQUE DU FOIE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DE L'ŒSOPHAGE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PATHOLOGIE HERNIAIRE DE LA PAROI ABDOMINALE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2.5%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ISCHÉMIE INTESTINALE AIGUË (INFARCTUS MÉSENTÉRIQUE)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DU CÔLON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 DU RECTUM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PÉRITONITES AIGUËS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1.7%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TUBERCULOSE ABDOMINALE (PÉRITONÉALE &amp; INTESTINALE)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FISTULES ANALES &amp; SUPPURATIONS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INGESTION DE CAUSTIQUES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lastRenderedPageBreak/>
              <w:t>DIVERTICULOSE COLIQUE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ABCÈS HÉPATIQUE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1.3%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PARASITOSES DIGESTIVES (AMIBIASE)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1.2%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CANCERS BILIAIRES (CHOLANGIOCARCINOME)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TROUBLES MOTEURS ŒSOPHAGIENS (ACHALASIE)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0.40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0.8%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PANCRÉATITE CHRONIQUE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0.7%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PATHOLOGIES PROCTOLOGIQUES FRÉQUENTES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0.1%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HÉMOCHROMATOSE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0.1%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MALADIE DE WILSON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0.1%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QUESTIONS TRANSVERSALES / INCLASSIFIABLES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(leçons + transversal)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748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49.9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jc w:val="center"/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100.0%</w:t>
            </w:r>
          </w:p>
        </w:tc>
      </w:tr>
    </w:tbl>
    <w:p w:rsidR="000063FB" w:rsidRPr="00E25DA2" w:rsidRDefault="00E25DA2">
      <w:pPr>
        <w:rPr>
          <w:rFonts w:ascii="LMRoman10" w:hAnsi="LMRoman10"/>
        </w:rPr>
      </w:pPr>
      <w:r w:rsidRPr="00E25DA2">
        <w:rPr>
          <w:rFonts w:ascii="LMRoman10" w:hAnsi="LMRoman10"/>
        </w:rPr>
        <w:br w:type="page"/>
      </w:r>
    </w:p>
    <w:p w:rsidR="000063FB" w:rsidRPr="00E25DA2" w:rsidRDefault="00E25DA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i/>
          <w:iCs/>
          <w:color w:val="000000"/>
        </w:rPr>
        <w:t>Format : faits (-) / pièges (</w:t>
      </w:r>
      <w:r w:rsidRPr="00E25DA2">
        <w:rPr>
          <w:rFonts w:ascii="Segoe UI Symbol" w:hAnsi="Segoe UI Symbol" w:cs="Segoe UI Symbol"/>
          <w:i/>
          <w:iCs/>
          <w:color w:val="000000"/>
        </w:rPr>
        <w:t>⚠</w:t>
      </w:r>
      <w:r w:rsidRPr="00E25DA2">
        <w:rPr>
          <w:rFonts w:ascii="LMRoman10" w:hAnsi="LMRoman10"/>
          <w:i/>
          <w:iCs/>
          <w:color w:val="000000"/>
        </w:rPr>
        <w:t>) / source (</w:t>
      </w:r>
      <w:r w:rsidRPr="00E25DA2">
        <w:rPr>
          <w:rFonts w:ascii="Segoe UI Symbol" w:hAnsi="Segoe UI Symbol" w:cs="Segoe UI Symbol"/>
          <w:i/>
          <w:iCs/>
          <w:color w:val="000000"/>
        </w:rPr>
        <w:t>📖</w:t>
      </w:r>
      <w:r w:rsidRPr="00E25DA2">
        <w:rPr>
          <w:rFonts w:ascii="LMRoman10" w:hAnsi="LMRoman10"/>
          <w:i/>
          <w:iCs/>
          <w:color w:val="000000"/>
        </w:rPr>
        <w:t>) / lien cours (</w:t>
      </w:r>
      <w:r w:rsidRPr="00E25DA2">
        <w:rPr>
          <w:rFonts w:ascii="Segoe UI Symbol" w:hAnsi="Segoe UI Symbol" w:cs="Segoe UI Symbol"/>
          <w:i/>
          <w:iCs/>
          <w:color w:val="000000"/>
        </w:rPr>
        <w:t>📎</w:t>
      </w:r>
      <w:r w:rsidRPr="00E25DA2">
        <w:rPr>
          <w:rFonts w:ascii="LMRoman10" w:hAnsi="LMRoman10"/>
          <w:i/>
          <w:iCs/>
          <w:color w:val="000000"/>
        </w:rPr>
        <w:t>) / citations (</w:t>
      </w:r>
      <w:r w:rsidRPr="00E25DA2">
        <w:rPr>
          <w:rFonts w:ascii="Segoe UI Symbol" w:hAnsi="Segoe UI Symbol" w:cs="Segoe UI Symbol"/>
          <w:i/>
          <w:iCs/>
          <w:color w:val="000000"/>
        </w:rPr>
        <w:t>📋</w:t>
      </w:r>
      <w:r w:rsidRPr="00E25DA2">
        <w:rPr>
          <w:rFonts w:ascii="LMRoman10" w:hAnsi="LMRoman10"/>
          <w:i/>
          <w:iCs/>
          <w:color w:val="000000"/>
        </w:rPr>
        <w:t>)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1] APPENDICITE AIGUË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~2.93 Q/examen  (44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5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Plastron appendiculaire (forme la PLUS interrogée)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 xml:space="preserve">Masse de la FID INDOLORE + fébricule, évoluant depuis </w:t>
      </w:r>
      <w:r w:rsidRPr="00E25DA2">
        <w:rPr>
          <w:rFonts w:ascii="Courier New" w:hAnsi="Courier New" w:cs="Courier New"/>
        </w:rPr>
        <w:t>≥</w:t>
      </w:r>
      <w:r w:rsidRPr="00E25DA2">
        <w:rPr>
          <w:rFonts w:ascii="LMRoman10" w:hAnsi="LMRoman10"/>
        </w:rPr>
        <w:t xml:space="preserve"> 5</w:t>
      </w:r>
      <w:r w:rsidRPr="00E25DA2">
        <w:rPr>
          <w:rFonts w:ascii="LMRoman10" w:hAnsi="LMRoman10" w:cs="LMRoman10"/>
        </w:rPr>
        <w:t>–</w:t>
      </w:r>
      <w:r w:rsidRPr="00E25DA2">
        <w:rPr>
          <w:rFonts w:ascii="LMRoman10" w:hAnsi="LMRoman10"/>
        </w:rPr>
        <w:t>15 jours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Diagnostics à évoquer devant cette masse : plastron appendiculaire ET tumeur cæcale (le couple gagnant)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TRAITEMENT = antibiothérapie + a</w:t>
      </w:r>
      <w:r w:rsidRPr="00E25DA2">
        <w:rPr>
          <w:rFonts w:ascii="LMRoman10" w:hAnsi="LMRoman10"/>
        </w:rPr>
        <w:t>ppendicectomie DIFFÉRÉE (à froid, 6–8 sem). Jamais de chirurgie en urgence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intervention chirurgicale en urgence » — c'est le piège n°1, le plastron est une contre-indication opératoire immédiate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abstention thérapeutique / coelioscopie d</w:t>
      </w:r>
      <w:r w:rsidRPr="00E25DA2">
        <w:rPr>
          <w:rFonts w:ascii="LMRoman10" w:hAnsi="LMRoman10"/>
          <w:i/>
          <w:iCs/>
          <w:color w:val="B45309"/>
        </w:rPr>
        <w:t>iagnostique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15/15 sessions — ex. Mai/Juin/Sept/Déc 2024, Juin 2023 — plastron répété </w:t>
      </w:r>
      <w:r w:rsidRPr="00E25DA2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E25DA2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 topographiques atypiques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RÉTRO-CÆCALE → psoïtis (psoïtisme) + douleur lombaire ; signes urinaires possibles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 xml:space="preserve">PELVIENNE → signes rectaux (ténesme) + </w:t>
      </w:r>
      <w:r w:rsidRPr="00E25DA2">
        <w:rPr>
          <w:rFonts w:ascii="LMRoman10" w:hAnsi="LMRoman10"/>
        </w:rPr>
        <w:t>signes urinaires (pollakiurie)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MÉSO-CŒLIAQUE → occlusion fébrile (tableau pseudo-occlusif fébrile)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rétro-cæcale : « défense manifeste de la FID » (elle est justement pauvre/trompeuse)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Ne pas confondre pelvienne (signes rectaux/urinaires) et rétro-cæcale (psoïtis)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positif &amp; paraclinique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Tableau jeune femme/homme : douleur FID + fébricule + défense FID → AA + (chez la femme) salpingite, GEU, abcès appendiculaire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Examens utile</w:t>
      </w:r>
      <w:r w:rsidRPr="00E25DA2">
        <w:rPr>
          <w:rFonts w:ascii="LMRoman10" w:hAnsi="LMRoman10"/>
        </w:rPr>
        <w:t>s : échographie abdominale, TDM abdominale, NFS, CRP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AA confirmée → hospitalisation en chirurgie + appendicectomie (chirurgie)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coloscopie / lipasémie dans le bilan d'une AA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traitement ambulatoire par ordonnance ATB + antalgique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2] H</w:t>
      </w:r>
      <w:r w:rsidRPr="00E25DA2">
        <w:rPr>
          <w:rFonts w:ascii="LMRoman10" w:hAnsi="LMRoman10"/>
        </w:rPr>
        <w:t>ÉPATITES VIRALES AIGUËS &amp; CHRONIQUES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~2.80 Q/examen  (42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6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Note taxonomique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Le tag QE « Hépatites » fusionne 3 leçons officielles (</w:t>
      </w:r>
      <w:r w:rsidRPr="00E25DA2">
        <w:rPr>
          <w:rFonts w:ascii="LMRoman10" w:hAnsi="LMRoman10"/>
        </w:rPr>
        <w:t>hépatites aiguës/chroniques, hépatites virales, hépatites chroniques B et C).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Hépatite aiguë — critères de GRAVITÉ (insuffisance hépatocellulaire)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TP / facteur V abaissé (&lt; 50 %) = LE marqueur de gravité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Encéphalopathie hépatique (astérixis, troubles de conscience)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Ictère intense + syndrome hémorragique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une cytolyse élevée (transaminases très hautes) N'EST PAS un critère de gravité — c'est le TP/V qui compte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La gravité = défaillance de synthèse,</w:t>
      </w:r>
      <w:r w:rsidRPr="00E25DA2">
        <w:rPr>
          <w:rFonts w:ascii="LMRoman10" w:hAnsi="LMRoman10"/>
          <w:i/>
          <w:iCs/>
          <w:color w:val="B45309"/>
        </w:rPr>
        <w:t xml:space="preserve"> pas l'intensité de la cytolyse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14/15 sessions — ex. Juin 2024, Sept 2024, Mai 2021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Chronicité selon le virus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VHA et VHE : JAMAIS de passage à la chronicité (hépatites aiguës pures ; VHE chronique seulement si immunodéprimé)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Virus de l'hépatit</w:t>
      </w:r>
      <w:r w:rsidRPr="00E25DA2">
        <w:rPr>
          <w:rFonts w:ascii="LMRoman10" w:hAnsi="LMRoman10"/>
        </w:rPr>
        <w:t>e chronique chez l'immunocompétent : VHB, VHC, VHD (delta)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VHA : transmission FÉCO-ORALE ; incubation courte ; guérison spontanée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le VHA évolue vers la cirrhose » — non, jamais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Le VHD ne survient qu'en coïnfection/surinfection avec le VHB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Séro</w:t>
      </w: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logie VHB — savoir LIRE le profil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Ag HBs négatif + Ac anti-HBs positif + Ac anti-HBc NÉGATIF = sujet VACCINÉ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Ag HBs négatif + anti-HBc positif + anti-HBs positif = infection ANCIENNE GUÉRIE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Ag HBs positif &gt; 6 mois = infection CHRONIQUE ; Ag HBe / ADN VHB</w:t>
      </w:r>
      <w:r w:rsidRPr="00E25DA2">
        <w:rPr>
          <w:rFonts w:ascii="LMRoman10" w:hAnsi="LMRoman10"/>
        </w:rPr>
        <w:t xml:space="preserve"> = réplication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Hépatite chronique = persistance &gt; 6 mois (Ag HBs ou ARN VHC) + lésions histologiques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 xml:space="preserve">Anti-HBc isolé </w:t>
      </w:r>
      <w:r w:rsidRPr="00E25DA2">
        <w:rPr>
          <w:rFonts w:ascii="Courier New" w:hAnsi="Courier New" w:cs="Courier New"/>
          <w:i/>
          <w:iCs/>
          <w:color w:val="B45309"/>
        </w:rPr>
        <w:t>≠</w:t>
      </w:r>
      <w:r w:rsidRPr="00E25DA2">
        <w:rPr>
          <w:rFonts w:ascii="LMRoman10" w:hAnsi="LMRoman10"/>
          <w:i/>
          <w:iCs/>
          <w:color w:val="B45309"/>
        </w:rPr>
        <w:t xml:space="preserve"> vaccination (le vaccin</w:t>
      </w:r>
      <w:r w:rsidRPr="00E25DA2">
        <w:rPr>
          <w:rFonts w:ascii="LMRoman10" w:hAnsi="LMRoman10" w:cs="LMRoman10"/>
          <w:i/>
          <w:iCs/>
          <w:color w:val="B45309"/>
        </w:rPr>
        <w:t>é</w:t>
      </w:r>
      <w:r w:rsidRPr="00E25DA2">
        <w:rPr>
          <w:rFonts w:ascii="LMRoman10" w:hAnsi="LMRoman10"/>
          <w:i/>
          <w:iCs/>
          <w:color w:val="B45309"/>
        </w:rPr>
        <w:t xml:space="preserve"> n'a PAS d'anti-HBc)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Avant chimiothérapie : dépister le VHB (risque de réactivation)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3] TROUBLES FONCTION</w:t>
      </w:r>
      <w:r w:rsidRPr="00E25DA2">
        <w:rPr>
          <w:rFonts w:ascii="LMRoman10" w:hAnsi="LMRoman10"/>
        </w:rPr>
        <w:t>NELS INTESTINAUX (SII)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~2.33 Q/examen  (35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7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de l'intestin irritable (SII) — définition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Douleur abdominale chronique liée à la défécation + modification de la fréquence/consistance des selles (critères de Rome IV)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Diagnostic POSITIF clinique, sans lésion organique ; examen physique normal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Pas de signes d'alarme (pas d'amaigrissement, pas de r</w:t>
      </w:r>
      <w:r w:rsidRPr="00E25DA2">
        <w:rPr>
          <w:rFonts w:ascii="LMRoman10" w:hAnsi="LMRoman10"/>
        </w:rPr>
        <w:t>ectorragie, pas de fièvre)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le SII s'accompagne de rectorragies / amaigrissement » — ce sont des signes d'alarme qui FONT SORTIR du SII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diagnostic d'élimination par coloscopie systématique » — c'est un diagnostic positif clinique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dans 14/15 sessions — ex. Mai/Juin/Sept/Déc 2024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Physiopathologie (multifactorielle)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Hypersensibilité viscérale + troubles de la motricité intestinale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Axe cerveau-intestin / dysbiose du microbiote + facteurs psychologiques (stress)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Micro-inflammation de</w:t>
      </w:r>
      <w:r w:rsidRPr="00E25DA2">
        <w:rPr>
          <w:rFonts w:ascii="LMRoman10" w:hAnsi="LMRoman10"/>
        </w:rPr>
        <w:t xml:space="preserve"> bas grade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cause unique infectieuse » ou « lésion inflammatoire macroscopique »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4] OCCLUSION INTESTINALE AIGUË (OIA)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~2.00 Q/examen  (30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8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Cas clinique emblématique (répété ~10×) — OIA sur BRIDE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lastRenderedPageBreak/>
        <w:t>Femme, ATCD de césarienne/chirurgie, douleurs + vomissements + arrêt des matières et gaz, orifices herniaires LIBRES → OIA sur BRIDE (adhérences)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Confirmation = TDM abdomi</w:t>
      </w:r>
      <w:r w:rsidRPr="00E25DA2">
        <w:rPr>
          <w:rFonts w:ascii="LMRoman10" w:hAnsi="LMRoman10"/>
        </w:rPr>
        <w:t>nale (scanner) — examen de référence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Cause la plus fréquente d'OIA du GRÊLE = brides/adhérences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transit œso-gastro-duodénal », « coloscopie », « FOGD » pour confirmer une OIA aiguë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Orifices herniaires libres → écarte l'étranglement herniaire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14/15 sessions — ex. Mai/Juin/Sept/Déc 2024, 2018→2021 — cas bride ~10×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par siège &amp; urgence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OIA du GRÊLE → brides/adhérences (1</w:t>
      </w:r>
      <w:r w:rsidRPr="00E25DA2">
        <w:rPr>
          <w:rFonts w:ascii="Courier New" w:hAnsi="Courier New" w:cs="Courier New"/>
        </w:rPr>
        <w:t>ʳ</w:t>
      </w:r>
      <w:r w:rsidRPr="00E25DA2">
        <w:rPr>
          <w:rFonts w:ascii="Courier New" w:hAnsi="Courier New" w:cs="Courier New"/>
        </w:rPr>
        <w:t>ᵉ</w:t>
      </w:r>
      <w:r w:rsidRPr="00E25DA2">
        <w:rPr>
          <w:rFonts w:ascii="LMRoman10" w:hAnsi="LMRoman10"/>
        </w:rPr>
        <w:t xml:space="preserve"> cause), hernie étranglée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OIA du CÔLON → cancer colorectal (1</w:t>
      </w:r>
      <w:r w:rsidRPr="00E25DA2">
        <w:rPr>
          <w:rFonts w:ascii="Courier New" w:hAnsi="Courier New" w:cs="Courier New"/>
        </w:rPr>
        <w:t>ʳ</w:t>
      </w:r>
      <w:r w:rsidRPr="00E25DA2">
        <w:rPr>
          <w:rFonts w:ascii="Courier New" w:hAnsi="Courier New" w:cs="Courier New"/>
        </w:rPr>
        <w:t>ᵉ</w:t>
      </w:r>
      <w:r w:rsidRPr="00E25DA2">
        <w:rPr>
          <w:rFonts w:ascii="LMRoman10" w:hAnsi="LMRoman10"/>
        </w:rPr>
        <w:t xml:space="preserve"> cause), volvulus du sigmoïde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Urgence (Hassan/Mr R admis la nuit) → RÉANIMATION hydro-électrolytique + sonde naso-gastrique (aspiration) AVANT tout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opérer d'emblée sans réanimer ni poser la SNG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Complications du retard : déshydratation, nécrose/perforation, péritonite, choc s</w:t>
      </w:r>
      <w:r w:rsidRPr="00E25DA2">
        <w:rPr>
          <w:rFonts w:ascii="LMRoman10" w:hAnsi="LMRoman10"/>
          <w:i/>
          <w:iCs/>
          <w:color w:val="B45309"/>
        </w:rPr>
        <w:t>eptique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5] MALADIES INFLAMMATOIRES CHRONIQUES DE L'INTESTIN (MICI)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~1.93 Q/examen  (29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9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Crohn vs RCH — différenciation (cœur d</w:t>
      </w: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u sujet)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CROHN : atteinte segmentaire de la bouche à l'anus, transmurale, intervalles de muqueuse saine, granulome épithélioïde, LAP/fistules anales fréquentes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RCH : atteinte continue rectum→côlon, muqueuse/sous-muqueuse, pas de granulome, pas d'atteinte</w:t>
      </w:r>
      <w:r w:rsidRPr="00E25DA2">
        <w:rPr>
          <w:rFonts w:ascii="LMRoman10" w:hAnsi="LMRoman10"/>
        </w:rPr>
        <w:t xml:space="preserve"> du grêle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Diarrhée GLAIRO-SANGLANTE + manifestations extra-digestives (érythème noueux, épisclérite/uvéite, polyarthralgies)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Fistule anale + érythème noueux → oriente vers CROHN (pas RCH)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la RCH atteint tout le tube digestif » ; « le Crohn épa</w:t>
      </w:r>
      <w:r w:rsidRPr="00E25DA2">
        <w:rPr>
          <w:rFonts w:ascii="LMRoman10" w:hAnsi="LMRoman10"/>
          <w:i/>
          <w:iCs/>
          <w:color w:val="B45309"/>
        </w:rPr>
        <w:t>rgne toujours l'anus »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11/15 sessions — ex. Mai/Juin/Sept/Déc 2024, Mai 2021/2022/2023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&amp; bilan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Diagnostic de confirmation = ILÉO-COLOSCOPIE avec biopsies étagées (histologie)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Anémie de Crohn : carence martiale (saignement) + carence B12/folates (atteinte iléale) + inflammation chronique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Diagnostics différentiels d'une diarrhée chronique au Maroc : tuberculose intestinale ++ , MICI, parasitoses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Toujours évoquer la TBC intestin</w:t>
      </w:r>
      <w:r w:rsidRPr="00E25DA2">
        <w:rPr>
          <w:rFonts w:ascii="LMRoman10" w:hAnsi="LMRoman10"/>
          <w:i/>
          <w:iCs/>
          <w:color w:val="B45309"/>
        </w:rPr>
        <w:t>ale avant de conclure à un Crohn iléo-cæcal (contexte marocain)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6] SYNDROMES DE MALABSORPTION &amp; MALADIE CŒLIAQUE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~1.93 Q/examen  (29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0" w:history="1">
        <w:r w:rsidRPr="00E25DA2">
          <w:rPr>
            <w:rStyle w:val="Hyperlink"/>
            <w:rFonts w:ascii="LMRoman10" w:hAnsi="LMRoman10"/>
          </w:rPr>
          <w:t>Ouvrir le cours off</w:t>
        </w:r>
        <w:r w:rsidRPr="00E25DA2">
          <w:rPr>
            <w:rStyle w:val="Hyperlink"/>
            <w:rFonts w:ascii="LMRoman10" w:hAnsi="LMRoman10"/>
          </w:rPr>
          <w:t xml:space="preserve">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Note taxonomique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lastRenderedPageBreak/>
        <w:t>Tag QE fusionnant « syndromes de malabsorption » et « maladie cœliaque ».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cœliaque — mécanisme &amp; diagnostic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Entéropathie auto-immune au GLUTEN → atrophie villositaire du grêle proximal (duodénum) → malabsorption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Sérologie : IgA anti-transglutaminase tissulaire (+ dosage IgA totales) ; confirmation = biopsies duodénales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Associations : dermatite herpétiforme, diabète type 1, thyroïdite, déficit en IgA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Mécanisme = atrophie villositaire (réduction surface d'absorpti</w:t>
      </w:r>
      <w:r w:rsidRPr="00E25DA2">
        <w:rPr>
          <w:rFonts w:ascii="LMRoman10" w:hAnsi="LMRoman10"/>
          <w:i/>
          <w:iCs/>
          <w:color w:val="B45309"/>
        </w:rPr>
        <w:t>on), pas une « hypersécrétion »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Le régime sans gluten À VIE est le seul traitement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14/15 sessions — ex. Mai/Juin/Sept/Déc 2024, Mai 2023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de la maladie cœliaque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Carences : fer (anémie), folates/B12, calcium/vit D (ostéomalacie),</w:t>
      </w:r>
      <w:r w:rsidRPr="00E25DA2">
        <w:rPr>
          <w:rFonts w:ascii="LMRoman10" w:hAnsi="LMRoman10"/>
        </w:rPr>
        <w:t xml:space="preserve"> vit K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Lymphome T du grêle et adénocarcinome du grêle (risque accru)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Cœliaque réfractaire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Une anémie ferriprive isolée inexpliquée doit faire chercher une cœliaque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7] CIRRHOSE &amp; HYPERTENSION PORTALE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~1.93 Q/examen  (29 Q au total)</w:t>
      </w:r>
    </w:p>
    <w:p w:rsidR="000063FB" w:rsidRPr="00E25DA2" w:rsidRDefault="00E25DA2">
      <w:pPr>
        <w:spacing w:before="40" w:after="4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</w:rPr>
        <w:t>📖</w:t>
      </w:r>
      <w:r w:rsidRPr="00E25DA2">
        <w:rPr>
          <w:rFonts w:ascii="LMRoman10" w:hAnsi="LMRoman10"/>
          <w:i/>
          <w:iCs/>
          <w:color w:val="404040"/>
        </w:rPr>
        <w:t xml:space="preserve"> S</w:t>
      </w:r>
      <w:r w:rsidRPr="00E25DA2">
        <w:rPr>
          <w:rFonts w:ascii="LMRoman10" w:hAnsi="LMRoman10"/>
          <w:i/>
          <w:iCs/>
          <w:color w:val="404040"/>
        </w:rPr>
        <w:t>core de Child-Pugh (A/B/C)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1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Note taxonomique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Inclut l'hypertension portale (leçon officielle sans tag QE distinct).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Score de Child-Pugh — les 5 paramètres (tombe ~6×)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5 items : Bilirubine, Albumine, TP/INR, Ascite, Encéphalopathie (mnémo « ABATE »)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Classe A/B/C selon le score → valeur PRONOSTIQUE (survie, opérabilité)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y inclure les transaminases, la créatinin</w:t>
      </w:r>
      <w:r w:rsidRPr="00E25DA2">
        <w:rPr>
          <w:rFonts w:ascii="LMRoman10" w:hAnsi="LMRoman10"/>
          <w:i/>
          <w:iCs/>
          <w:color w:val="B45309"/>
        </w:rPr>
        <w:t>e, ou les plaquettes (ce sont MELD/autres, pas Child-Pugh)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 xml:space="preserve">Child-Pugh </w:t>
      </w:r>
      <w:r w:rsidRPr="00E25DA2">
        <w:rPr>
          <w:rFonts w:ascii="Courier New" w:hAnsi="Courier New" w:cs="Courier New"/>
          <w:i/>
          <w:iCs/>
          <w:color w:val="B45309"/>
        </w:rPr>
        <w:t>≠</w:t>
      </w:r>
      <w:r w:rsidRPr="00E25DA2">
        <w:rPr>
          <w:rFonts w:ascii="LMRoman10" w:hAnsi="LMRoman10"/>
          <w:i/>
          <w:iCs/>
          <w:color w:val="B45309"/>
        </w:rPr>
        <w:t xml:space="preserve"> score de gravit</w:t>
      </w:r>
      <w:r w:rsidRPr="00E25DA2">
        <w:rPr>
          <w:rFonts w:ascii="LMRoman10" w:hAnsi="LMRoman10" w:cs="LMRoman10"/>
          <w:i/>
          <w:iCs/>
          <w:color w:val="B45309"/>
        </w:rPr>
        <w:t>é</w:t>
      </w:r>
      <w:r w:rsidRPr="00E25DA2">
        <w:rPr>
          <w:rFonts w:ascii="LMRoman10" w:hAnsi="LMRoman10"/>
          <w:i/>
          <w:iCs/>
          <w:color w:val="B45309"/>
        </w:rPr>
        <w:t xml:space="preserve"> d'une h</w:t>
      </w:r>
      <w:r w:rsidRPr="00E25DA2">
        <w:rPr>
          <w:rFonts w:ascii="LMRoman10" w:hAnsi="LMRoman10" w:cs="LMRoman10"/>
          <w:i/>
          <w:iCs/>
          <w:color w:val="B45309"/>
        </w:rPr>
        <w:t>é</w:t>
      </w:r>
      <w:r w:rsidRPr="00E25DA2">
        <w:rPr>
          <w:rFonts w:ascii="LMRoman10" w:hAnsi="LMRoman10"/>
          <w:i/>
          <w:iCs/>
          <w:color w:val="B45309"/>
        </w:rPr>
        <w:t>patite aigu</w:t>
      </w:r>
      <w:r w:rsidRPr="00E25DA2">
        <w:rPr>
          <w:rFonts w:ascii="LMRoman10" w:hAnsi="LMRoman10" w:cs="LMRoman10"/>
          <w:i/>
          <w:iCs/>
          <w:color w:val="B45309"/>
        </w:rPr>
        <w:t>ë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13/15 sessions — ex. 2018→2024, Juin 2021 — Child-Pugh répété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(au Maroc)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Virales B et C (++), alcool, NASH/stéatohépatite métabolique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Auto-immunes, cholestatiques (CBP), génétiques (hémochromatose, Wilson)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Penser systématiquement aux virus B/C en première intention au Maroc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 xml:space="preserve">Hémorragie digestive par rupture de </w:t>
      </w:r>
      <w:r w:rsidRPr="00E25DA2">
        <w:rPr>
          <w:rFonts w:ascii="LMRoman10" w:hAnsi="LMRoman10"/>
        </w:rPr>
        <w:t>varices œsophagiennes (HTP)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Ascite + infection du liquide d'ascite (ILA)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Encéphalopathie hépatique, syndrome hépato-rénal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CARCINOME HÉPATOCELLULAIRE (dépistage écho/6 mois)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Toute cirrhose impose le dépistage du CHC ; le CHC complique surtout la cirrhose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positif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Clinique : foie dur à bord tranchant, signes d'IHC + d'HTP (splénomégalie, circulation collatérale, ascite)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Confirmation : élastométrie (FibroScan), biologie, ± PBH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Foie d'aspect nodulaire/dysmorphique en imagerie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Une échographie nor</w:t>
      </w:r>
      <w:r w:rsidRPr="00E25DA2">
        <w:rPr>
          <w:rFonts w:ascii="LMRoman10" w:hAnsi="LMRoman10"/>
          <w:i/>
          <w:iCs/>
          <w:color w:val="B45309"/>
        </w:rPr>
        <w:t>male n'élimine PAS une cirrhose débutante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8] REFLUX GASTRO-ŒSOPHAGIEN (RGO)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~1.93 Q/examen  (29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2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Physiopathologie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Défaillance de la barrière anti-reflux : hypotonie du SIO + relaxations transitoires inappropriées du SIO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Facteurs : hernie hiatale, hyperpression abdominale (obésité, grossesse), retard de vidange gastrique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Le RGO physiopathologique n'est PAS une simple</w:t>
      </w:r>
      <w:r w:rsidRPr="00E25DA2">
        <w:rPr>
          <w:rFonts w:ascii="LMRoman10" w:hAnsi="LMRoman10"/>
          <w:i/>
          <w:iCs/>
          <w:color w:val="B45309"/>
        </w:rPr>
        <w:t xml:space="preserve"> « hypersécrétion acide » isolée — c'est un trouble de la barrière/motricité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15/15 sessions — ex. Juin 2025, Mai/Juin/Sept/Déc 2024 — 15/15 sessions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Clinique, complications &amp; CAT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Pyrosis + régurgitations acides, syndrome postural ; manifestations extra-digestives (toux, laryngite)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FOGD si signes d'alarme ou &gt; 50 ans : recherche d'œsophagite, d'endobrachyœsophage (EBO/Barrett)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Séquence : RGO chronique → EBO (métaplasie de Barrett) →</w:t>
      </w:r>
      <w:r w:rsidRPr="00E25DA2">
        <w:rPr>
          <w:rFonts w:ascii="LMRoman10" w:hAnsi="LMRoman10"/>
        </w:rPr>
        <w:t xml:space="preserve"> dysplasie → ADÉNOCARCINOME du bas œsophage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RGO typique du sujet jeune sans alarme : traitement d'épreuve par IPP SANS endoscopie d'emblée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L'EBO est une complication, à surveiller (dégénérescence)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9] TRAUMATISMES DE L'ABDOMEN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~1.87 Q/examen  (28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3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non opératoire (TNO) — critères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TNO réservé au patient HÉMODYNAMIQUEMENT STABLE (ou stabilisé), a</w:t>
      </w:r>
      <w:r w:rsidRPr="00E25DA2">
        <w:rPr>
          <w:rFonts w:ascii="LMRoman10" w:hAnsi="LMRoman10"/>
        </w:rPr>
        <w:t>vec TDM disponible et surveillance rapprochée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Organes pleins (rate, foie) : TNO possible si stabilité ; embolisation artérielle en option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Instabilité hémodynamique persistante = laparotomie en urgence, PAS de TNO ni de TDM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Une plaie pénétrante avec évi</w:t>
      </w:r>
      <w:r w:rsidRPr="00E25DA2">
        <w:rPr>
          <w:rFonts w:ascii="LMRoman10" w:hAnsi="LMRoman10"/>
          <w:i/>
          <w:iCs/>
          <w:color w:val="B45309"/>
        </w:rPr>
        <w:t>scération/péritonite → chirurgie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15/15 sessions — ex. Juin 2025, Mai/Juin/Sept 2024 — 15/15 sessions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Contusion vs plaie &amp; indications opératoires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Contusion (trauma fermé) : foie et rate = organes les plus touchés ; FAST/TDM pour le bilan lésionnel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Plaie pénétrante : la pénétration péritonéale s'étudie par exploration ; indication chirurgicale si instabilité, péritonite, éviscération, hémorragie acti</w:t>
      </w:r>
      <w:r w:rsidRPr="00E25DA2">
        <w:rPr>
          <w:rFonts w:ascii="LMRoman10" w:hAnsi="LMRoman10"/>
        </w:rPr>
        <w:t>ve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Une plaie peut être pénétrante sans atteinte viscérale ; l'inverse aussi — la clinique guide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10] MALADIE ULCÉREUSE GASTRO-DUODÉNALE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~1.80 Q/examen  (27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4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&amp; étiologies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lastRenderedPageBreak/>
        <w:t>Helicobacter pylori (cause majeure) + AINS/aspirine (les 2 piliers)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Tabac, stress, Zollinger-Ellison (gastrinome) pour les formes atypiques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Tout ulcère gastrique → biopsies multiples + contrôle endoscopique de cicatrisation (risque de cancer) ; l'ulcère duodénal ne dégénère pas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15/15 sessions — ex. Juin 2025, Mai/Déc 2024, Mai 2023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HÉMORRAGIE digestive (hématémèse/méléna) — la plus fréquente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Perforation (péritonite), sténose pyloro-bulbaire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Cancérisation : ulcère GASTRIQUE uniquement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Ulcère duodénal hémorragique : réanimation + FOGD hémostatique (clip/adrénaline) + IPP IV ; chirurg</w:t>
      </w:r>
      <w:r w:rsidRPr="00E25DA2">
        <w:rPr>
          <w:rFonts w:ascii="LMRoman10" w:hAnsi="LMRoman10"/>
          <w:i/>
          <w:iCs/>
          <w:color w:val="B45309"/>
        </w:rPr>
        <w:t>ie si échec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l'ulcère duodénal peut dégénérer en cancer »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Douleur ulcéreuse typique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Épigastralgie à type de crampe/faim douloureuse, rythmée par les repas, périodique (poussées)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Calmée par l'alimentation ou les anti-acides (ulcère duodénal)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U</w:t>
      </w:r>
      <w:r w:rsidRPr="00E25DA2">
        <w:rPr>
          <w:rFonts w:ascii="LMRoman10" w:hAnsi="LMRoman10"/>
          <w:i/>
          <w:iCs/>
          <w:color w:val="B45309"/>
        </w:rPr>
        <w:t>ne douleur atypique/permanente avec AEG doit faire chercher un cancer gastrique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11] DYSPEPSIE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~1.73 Q/examen  (26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5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Clinique de</w:t>
      </w: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la dyspepsie fonctionnelle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Inconfort/douleur épigastrique, satiété précoce, ballonnement post-prandial, sans lésion organique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Sujet jeune &lt; 50 ans, sans signe d'alarme : test &amp; treat H. pylori ou IPP, PAS d'endoscopie d'emblée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Ne pas confondre dyspepsie (épigastrique) et SII (douleur liée à la défécation, étage sous-ombilical)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14/15 sessions — ex. Mai/Juin/Sept/Déc 2024, Mai 2023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d'ALARME imposant la FOGD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Âge &gt; 50 ans (nouvelle dyspepsie), amaigrissement, dys</w:t>
      </w:r>
      <w:r w:rsidRPr="00E25DA2">
        <w:rPr>
          <w:rFonts w:ascii="LMRoman10" w:hAnsi="LMRoman10"/>
        </w:rPr>
        <w:t>phagie, anémie/hémorragie, vomissements persistants, masse, ATCD familial de cancer gastrique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Tout signe d'alarme → endoscopie SANS délai (recherche de cancer)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12] LITHIASE VÉSICULAIRE &amp; COMPLICATIONS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~1.73 Q/examen  (26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6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Colique hépatique / cholécystite — tableau type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Femme, obèse, contraception orale (« 4 F »), douleur de l'HYPOCHONDRE DROIT post-prandiale, irradiant à l'</w:t>
      </w:r>
      <w:r w:rsidRPr="00E25DA2">
        <w:rPr>
          <w:rFonts w:ascii="LMRoman10" w:hAnsi="LMRoman10"/>
        </w:rPr>
        <w:t>épaule droite / inter-scapulaire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Cholécystite aiguë = douleur HCD + fièvre + Murphy + : écho = paroi épaissie &gt; 4 mm, lithiase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Colique hépatique simple = pas de fièvre, pas d'ictère, examen souple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13/15 sessions — ex. Mai/Juin/Sept/Déc 2024, 2022/2023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Cholécystectomie cœlioscopique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lastRenderedPageBreak/>
        <w:t>Voie cœlioscopique = GOLD STANDARD de la lithiase vésiculaire symptomatique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Avantages : moins de douleur, hospitalisation/convalescence courtes, meilleur rés</w:t>
      </w:r>
      <w:r w:rsidRPr="00E25DA2">
        <w:rPr>
          <w:rFonts w:ascii="LMRoman10" w:hAnsi="LMRoman10"/>
        </w:rPr>
        <w:t>ultat esthétique, reprise rapide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CONTRE-INDICATION : suspicion de DÉGÉNÉRESCENCE MALIGNE de la vésicule (cancer) → pas de cœlioscopie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« Diminution du coût » n'est PAS un avantage reconnu (piège classique)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13] GASTRITES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~1.67 Q/examen</w:t>
      </w: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  (25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7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Gastrite auto-immune (Biermer)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Atrophie FUNDIQUE auto-immune, Ac anti-cellules pariétales / anti-facteur intrinsèque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Carence en B12 → anémie de Biermer (macrocytaire) ; achlorhydrie + hypergastrinémie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Risque : tumeurs neuroendocrines + adénocarcinome gastrique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Atteinte FUNDIQUE (corps), épargne l'antre — l'inverse de la gastrite à HP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Carence B12 et non martiale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dans 13/15 sessions — ex. Mai/Juin/Sept/Déc 2024 — Biermer répété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Gastrite chronique à H. pylori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Prédomine sur l'ANTRE ; évolue vers atrophie → métaplasie intestinale → dysplasie → adénocarcinome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Associée à l'ulcère et au lymphome du MALT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Gastrite atrophiante = état précancéreux ; l'éradication d'HP réduit le risque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14] TUMEURS DU FOIE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~1.60 Q/examen  (24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8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Carcinome hépatocellulaire (CHC)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Tumeur maligne PRIMITIVE la plus fréquente du foie ; survient sur cirrhose (B/C, alcool)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Traitements CURATIFS : résection chirurgicale, transplantation hépatique, destruction percutanée (radiofréquence/ablation)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AFP : mar</w:t>
      </w:r>
      <w:r w:rsidRPr="00E25DA2">
        <w:rPr>
          <w:rFonts w:ascii="LMRoman10" w:hAnsi="LMRoman10"/>
        </w:rPr>
        <w:t>queur d'orientation ; diagnostic souvent non invasif si nodule typique sur cirrhose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curatif : chimiothérapie systémique, transfusion — non curatives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La tumeur maligne LA PLUS FRÉQUENTE du foie (toutes causes) = MÉTASTASES ; le primitif le plus fré</w:t>
      </w:r>
      <w:r w:rsidRPr="00E25DA2">
        <w:rPr>
          <w:rFonts w:ascii="LMRoman10" w:hAnsi="LMRoman10"/>
          <w:i/>
          <w:iCs/>
          <w:color w:val="B45309"/>
        </w:rPr>
        <w:t>quent = CHC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10/15 sessions — ex. Ratt/Juin 2025, Mai/Juin/Sept 2024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Tumeurs bénignes &amp; métastases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Adénome hépatique : femme, contraception orale ; risque d'hémorragie et de dégénérescence → surveillance/exérèse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Kyste biliaire simple : bénin, l</w:t>
      </w:r>
      <w:r w:rsidRPr="00E25DA2">
        <w:rPr>
          <w:rFonts w:ascii="LMRoman10" w:hAnsi="LMRoman10"/>
        </w:rPr>
        <w:t>iquidien, asymptomatique, pas de traitement si non compliqué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Métastases : surtout d'origine colorectale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 xml:space="preserve">Adénome </w:t>
      </w:r>
      <w:r w:rsidRPr="00E25DA2">
        <w:rPr>
          <w:rFonts w:ascii="Courier New" w:hAnsi="Courier New" w:cs="Courier New"/>
          <w:i/>
          <w:iCs/>
          <w:color w:val="B45309"/>
        </w:rPr>
        <w:t>≠</w:t>
      </w:r>
      <w:r w:rsidRPr="00E25DA2">
        <w:rPr>
          <w:rFonts w:ascii="LMRoman10" w:hAnsi="LMRoman10"/>
          <w:i/>
          <w:iCs/>
          <w:color w:val="B45309"/>
        </w:rPr>
        <w:t xml:space="preserve"> HNF : l'HNF (hyperplasie nodulaire focale) ne d</w:t>
      </w:r>
      <w:r w:rsidRPr="00E25DA2">
        <w:rPr>
          <w:rFonts w:ascii="LMRoman10" w:hAnsi="LMRoman10" w:cs="LMRoman10"/>
          <w:i/>
          <w:iCs/>
          <w:color w:val="B45309"/>
        </w:rPr>
        <w:t>é</w:t>
      </w:r>
      <w:r w:rsidRPr="00E25DA2">
        <w:rPr>
          <w:rFonts w:ascii="LMRoman10" w:hAnsi="LMRoman10"/>
          <w:i/>
          <w:iCs/>
          <w:color w:val="B45309"/>
        </w:rPr>
        <w:t>g</w:t>
      </w:r>
      <w:r w:rsidRPr="00E25DA2">
        <w:rPr>
          <w:rFonts w:ascii="LMRoman10" w:hAnsi="LMRoman10" w:cs="LMRoman10"/>
          <w:i/>
          <w:iCs/>
          <w:color w:val="B45309"/>
        </w:rPr>
        <w:t>é</w:t>
      </w:r>
      <w:r w:rsidRPr="00E25DA2">
        <w:rPr>
          <w:rFonts w:ascii="LMRoman10" w:hAnsi="LMRoman10"/>
          <w:i/>
          <w:iCs/>
          <w:color w:val="B45309"/>
        </w:rPr>
        <w:t>n</w:t>
      </w:r>
      <w:r w:rsidRPr="00E25DA2">
        <w:rPr>
          <w:rFonts w:ascii="LMRoman10" w:hAnsi="LMRoman10" w:cs="LMRoman10"/>
          <w:i/>
          <w:iCs/>
          <w:color w:val="B45309"/>
        </w:rPr>
        <w:t>è</w:t>
      </w:r>
      <w:r w:rsidRPr="00E25DA2">
        <w:rPr>
          <w:rFonts w:ascii="LMRoman10" w:hAnsi="LMRoman10"/>
          <w:i/>
          <w:iCs/>
          <w:color w:val="B45309"/>
        </w:rPr>
        <w:t>re pas et ne saigne quasi jamais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15] HELICOBACTER PYLORI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Médecine  •  ~1.60 Q/exam</w:t>
      </w: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en  (24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19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Méthodes diagnostiques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INVASIVES (FOGD) : test rapide à l'uréase, histologie, culture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NON INVASIVES : test respiratoire à l'urée marquée, Ag dans les selles, sérologie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Contrôle d'ÉRADICATION : test respiratoire ou Ag selles (à distance, après arrêt IPP/ATB)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La SÉROLOGIE ne sert PAS au contrôle d'éradication (reste positive longtemps)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IPP et ATB faussent (négativent) les tests directs → fenêtre d'arrêt avant contrôle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14/15 sessions — ex. Mai/Juin/Sept/Déc 2024, Mai/Juin 2023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&amp; pathologies associées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Trithérapie/quadrithérapie : IPP + association d'antibiotiques (s</w:t>
      </w:r>
      <w:r w:rsidRPr="00E25DA2">
        <w:rPr>
          <w:rFonts w:ascii="LMRoman10" w:hAnsi="LMRoman10"/>
        </w:rPr>
        <w:t>elon résistance)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Associé : ulcère GD, gastrite chronique antrale, adénocarcinome gastrique, lymphome du MALT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Bactérie à transmission oro-orale/féco-orale ; pas de vaccin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16] CANCER DU PANCRÉAS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~1.53 Q/examen  (23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0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TABAC (facteur majeur), pancréatite CHRONIQUE, diabète, alcool, obésité, ATCD familiaux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cystadénome SÉREUX » comme FdR (le s</w:t>
      </w:r>
      <w:r w:rsidRPr="00E25DA2">
        <w:rPr>
          <w:rFonts w:ascii="LMRoman10" w:hAnsi="LMRoman10"/>
          <w:i/>
          <w:iCs/>
          <w:color w:val="B45309"/>
        </w:rPr>
        <w:t>éreux est bénin) ; « pancréatite aiguë » n'est pas un FdR de cancer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C'est la pancréatite CHRONIQUE (pas l'aiguë) qui est à risque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12/15 sessions — ex. Ratt/Juin 2025, Mai 2024, 2019→2022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Présentation selon le siège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TÊTE : ictère cholestatiqu</w:t>
      </w:r>
      <w:r w:rsidRPr="00E25DA2">
        <w:rPr>
          <w:rFonts w:ascii="LMRoman10" w:hAnsi="LMRoman10"/>
        </w:rPr>
        <w:t>e nu, progressif + grosse vésicule (loi de Courvoisier-Terrier) + AEG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CORPS/QUEUE : douleur épigastrique/dorsale transfixiante, AEG, diagnostic tardif (pauci-symptomatique)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L'ictère est typique de la tête ; la queue donne surtout douleur + AEG (révélatio</w:t>
      </w:r>
      <w:r w:rsidRPr="00E25DA2">
        <w:rPr>
          <w:rFonts w:ascii="LMRoman10" w:hAnsi="LMRoman10"/>
          <w:i/>
          <w:iCs/>
          <w:color w:val="B45309"/>
        </w:rPr>
        <w:t>n tardive)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17] PANCRÉATITES AIGUËS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~1.47 Q/examen  (22 Q au total)</w:t>
      </w:r>
    </w:p>
    <w:p w:rsidR="000063FB" w:rsidRPr="00E25DA2" w:rsidRDefault="00E25DA2">
      <w:pPr>
        <w:spacing w:before="40" w:after="4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</w:rPr>
        <w:t>📖</w:t>
      </w:r>
      <w:r w:rsidRPr="00E25DA2">
        <w:rPr>
          <w:rFonts w:ascii="LMRoman10" w:hAnsi="LMRoman10"/>
          <w:i/>
          <w:iCs/>
          <w:color w:val="404040"/>
        </w:rPr>
        <w:t xml:space="preserve"> Score de gravité (Balthazar TDM / SIRS-CRP)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1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positif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Épigastralgie transfixiante + LIPASÉMIE &gt; 3 N (examen de confirmation de référence)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TDM abdominale à 48–72 h pour la gravité (score de Balthazar/CTSI)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confirmer par troponines, ECBU, ponction hépatique, FOGD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L'amylasémie est moins spécifique que</w:t>
      </w:r>
      <w:r w:rsidRPr="00E25DA2">
        <w:rPr>
          <w:rFonts w:ascii="LMRoman10" w:hAnsi="LMRoman10"/>
          <w:i/>
          <w:iCs/>
          <w:color w:val="B45309"/>
        </w:rPr>
        <w:t xml:space="preserve"> la lipasémie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14/15 sessions — ex. Juin 2025, Mai/Juin/Sept/Déc 2024, 2023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 &amp; mortalité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Au MAROC : 1</w:t>
      </w:r>
      <w:r w:rsidRPr="00E25DA2">
        <w:rPr>
          <w:rFonts w:ascii="Courier New" w:hAnsi="Courier New" w:cs="Courier New"/>
        </w:rPr>
        <w:t>ʳ</w:t>
      </w:r>
      <w:r w:rsidRPr="00E25DA2">
        <w:rPr>
          <w:rFonts w:ascii="Courier New" w:hAnsi="Courier New" w:cs="Courier New"/>
        </w:rPr>
        <w:t>ᵉ</w:t>
      </w:r>
      <w:r w:rsidRPr="00E25DA2">
        <w:rPr>
          <w:rFonts w:ascii="LMRoman10" w:hAnsi="LMRoman10"/>
        </w:rPr>
        <w:t xml:space="preserve"> cause = LITHIASE BILIAIRE (biliaire &gt; alcoolique)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lastRenderedPageBreak/>
        <w:t>Gravité évaluée par SIRS, CRP &gt; 150 à 48 h, Balthazar/CTSI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1</w:t>
      </w:r>
      <w:r w:rsidRPr="00E25DA2">
        <w:rPr>
          <w:rFonts w:ascii="Courier New" w:hAnsi="Courier New" w:cs="Courier New"/>
        </w:rPr>
        <w:t>ʳ</w:t>
      </w:r>
      <w:r w:rsidRPr="00E25DA2">
        <w:rPr>
          <w:rFonts w:ascii="Courier New" w:hAnsi="Courier New" w:cs="Courier New"/>
        </w:rPr>
        <w:t>ᵉ</w:t>
      </w:r>
      <w:r w:rsidRPr="00E25DA2">
        <w:rPr>
          <w:rFonts w:ascii="LMRoman10" w:hAnsi="LMRoman10"/>
        </w:rPr>
        <w:t xml:space="preserve"> cause de MORTALITÉ de la PA grave = défaillance multiviscérale / complications infectieuses (nécrose infectée)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Ne pas répondre « alcool » comme 1</w:t>
      </w:r>
      <w:r w:rsidRPr="00E25DA2">
        <w:rPr>
          <w:rFonts w:ascii="Courier New" w:hAnsi="Courier New" w:cs="Courier New"/>
          <w:i/>
          <w:iCs/>
          <w:color w:val="B45309"/>
        </w:rPr>
        <w:t>ʳ</w:t>
      </w:r>
      <w:r w:rsidRPr="00E25DA2">
        <w:rPr>
          <w:rFonts w:ascii="Courier New" w:hAnsi="Courier New" w:cs="Courier New"/>
          <w:i/>
          <w:iCs/>
          <w:color w:val="B45309"/>
        </w:rPr>
        <w:t>ᵉ</w:t>
      </w:r>
      <w:r w:rsidRPr="00E25DA2">
        <w:rPr>
          <w:rFonts w:ascii="LMRoman10" w:hAnsi="LMRoman10"/>
          <w:i/>
          <w:iCs/>
          <w:color w:val="B45309"/>
        </w:rPr>
        <w:t xml:space="preserve"> cause au Maroc — c'est la lithiase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La mortalité précoce = défaillance d'organes ; tardive = sepsis s</w:t>
      </w:r>
      <w:r w:rsidRPr="00E25DA2">
        <w:rPr>
          <w:rFonts w:ascii="LMRoman10" w:hAnsi="LMRoman10"/>
          <w:i/>
          <w:iCs/>
          <w:color w:val="B45309"/>
        </w:rPr>
        <w:t>ur nécrose infectée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18] CANCER DE L'ESTOMAC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~1.47 Q/examen  (22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2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États précancéreux (TRÈS interrogé)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Gastrite chronique atr</w:t>
      </w:r>
      <w:r w:rsidRPr="00E25DA2">
        <w:rPr>
          <w:rFonts w:ascii="LMRoman10" w:hAnsi="LMRoman10"/>
        </w:rPr>
        <w:t>ophiante, métaplasie intestinale, polype ADÉNOMATEUX, maladie de Biermer (gastrite atrophique fundique), maladie de Ménétrier, moignon de gastrectomie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 xml:space="preserve">FAUX : infection à PAPILLOMAVIRUS (HPV) comme état précancéreux gastrique — c'est H. pylori l'agent en </w:t>
      </w:r>
      <w:r w:rsidRPr="00E25DA2">
        <w:rPr>
          <w:rFonts w:ascii="LMRoman10" w:hAnsi="LMRoman10"/>
          <w:i/>
          <w:iCs/>
          <w:color w:val="B45309"/>
        </w:rPr>
        <w:t>cause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Le polype HYPERPLASIQUE n'est pas (ou peu) précancéreux ; c'est l'ADÉNOMATEUX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13/15 sessions — ex. Ratt/Juin 2025, Mai/Déc 2024, 2023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d'extension &amp; complications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Bilan TOUJOURS : FOGD + biopsies, écho-endoscopie (T/N), TDM TAP (extension/métastases)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Complications : hémorragie, sténose, perforation, dénutrition ; métastase de Krukenberg (ovaire), ganglion de Troisier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ADK de type diffus (linite) : pronostic plus so</w:t>
      </w:r>
      <w:r w:rsidRPr="00E25DA2">
        <w:rPr>
          <w:rFonts w:ascii="LMRoman10" w:hAnsi="LMRoman10"/>
          <w:i/>
          <w:iCs/>
          <w:color w:val="B45309"/>
        </w:rPr>
        <w:t>mbre, infiltrant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19] KYSTE HYDATIQUE DU FOIE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~1.33 Q/examen  (20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3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Kyste hydatique du DÔME hépatique (question quasi identique</w:t>
      </w: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répétée)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FRÉQUENT au Maroc (zone d'endémie, Echinococcus granulosus)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Intéresse surtout les SEGMENTS 7 et 8 (dôme)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Peut se compliquer d'une fistule/rupture biliaire ou thoracique (pleuro-pulmonaire)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très rare au Maroc » ; « toujours unique » ;</w:t>
      </w:r>
      <w:r w:rsidRPr="00E25DA2">
        <w:rPr>
          <w:rFonts w:ascii="LMRoman10" w:hAnsi="LMRoman10"/>
          <w:i/>
          <w:iCs/>
          <w:color w:val="B45309"/>
        </w:rPr>
        <w:t xml:space="preserve"> « se complique TOUJOURS d'une fistule »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se prête à la cœlioscopie par excellence » — le KH du dôme est d'abord d'abord chirurgical ouvert (risque de dissémination)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15/15 sessions — ex. Juin 2025, Mai/Juin/Sept/Déc 2024, Mai 2023 — 15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>/15 sessions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20] CANCER DE L'ŒSOPHAGE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~1.33 Q/examen  (20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4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Deux types histologiques &amp; facteurs de risque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CARCINOME ÉPIDERMOÏDE (tiers sup/moyen) : alcool + tabac (synergie) ; le plus fréquent au Maroc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ADÉNOCARCINOME (tiers inf) : RGO chronique → endobrachyœsophage (Barrett) ; obésité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Signe d'appel : DYSPHAGIE progressive (solides puis liquides) + amaigrisseme</w:t>
      </w:r>
      <w:r w:rsidRPr="00E25DA2">
        <w:rPr>
          <w:rFonts w:ascii="LMRoman10" w:hAnsi="LMRoman10"/>
        </w:rPr>
        <w:t>nt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Ne pas attribuer l'adénocarcinome à l'alcool/tabac ; il vient du Barrett/RGO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Dysphagie + AEG = cancer jusqu'à preuve du contraire → FOGD + biopsies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15/15 sessions — ex. Ratt/Juin 2025, Mai/Déc 2024, 2023 — 15/15 sessions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21] PATHOLOGIE HERNIAIRE DE LA PAROI ABDOMINALE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~1.27 Q/examen  (19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5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&amp; facteurs de risque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Seul traitement CURATIF = la CHIRURGIE (cure herniaire, prothèse/plaque)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FdR : effort/hyperpression (toux chronique, BPCO, constipation, dysurie/prostate), obésité, âge, grossesses, faiblesse pariétale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curatif : bandage, gaine, antalgiques, activité</w:t>
      </w:r>
      <w:r w:rsidRPr="00E25DA2">
        <w:rPr>
          <w:rFonts w:ascii="LMRoman10" w:hAnsi="LMRoman10"/>
          <w:i/>
          <w:iCs/>
          <w:color w:val="B45309"/>
        </w:rPr>
        <w:t xml:space="preserve"> physique — purement palliatifs/aggravants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Hernie ÉTRANGLÉE = urgence chirurgicale (risque de nécrose/occlusion)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11/15 sessions — ex. Ratt/Juin 2025, Mai/Juin 2024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Éventration vs hernie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Éventration = sur cicatrice opératoire (défect acquis p</w:t>
      </w:r>
      <w:r w:rsidRPr="00E25DA2">
        <w:rPr>
          <w:rFonts w:ascii="LMRoman10" w:hAnsi="LMRoman10"/>
        </w:rPr>
        <w:t>ost-op) ; hernie = par un orifice anatomique faible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Évisceration = lâchage pariétal précoce post-op (urgence)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Ne pas confondre éventration (tardive, sur cicatrice) et évisceration (précoce, lâchage)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22] ISCHÉMIE INTESTINALE AIGUË (INFARCTUS MÉSENTÉ</w:t>
      </w:r>
      <w:r w:rsidRPr="00E25DA2">
        <w:rPr>
          <w:rFonts w:ascii="LMRoman10" w:hAnsi="LMRoman10"/>
        </w:rPr>
        <w:t>RIQUE)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~1.13 Q/examen  (17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6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Sémiologie &amp; le piège diagnostique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Phase DÉBUTANTE : douleur abdominale INTENSE contrastant avec un examen abdominal PAUVRE (distorsion clinique)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Terrain : sujet âgé, ACFA, athérome, état de choc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Évolution : infarctus → péritonite → choc, acidose lactique, défaillance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Le contraste « doule</w:t>
      </w:r>
      <w:r w:rsidRPr="00E25DA2">
        <w:rPr>
          <w:rFonts w:ascii="LMRoman10" w:hAnsi="LMRoman10"/>
          <w:i/>
          <w:iCs/>
          <w:color w:val="B45309"/>
        </w:rPr>
        <w:t>ur intense / abdomen souple » est LE signe précoce — ne pas se rassurer faussement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Confirmation = angio-TDM ; retard = nécrose irréversible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12/15 sessions — ex. Juin 2025, Mai/Juin/Sept 2024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ARTÉRIEL : embolie (ACFA) ou thrombose de l'artère mésentérique supérieure ; non occlusif (bas débit)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VEINEUX : thrombose veineuse mésentérique → états d'hypercoagulabilité, HTP, thrombophilie, post-op, sepsis intra-abdominal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Étiologies VEINEUSES = causes de thrombose (hypercoagulabilité), pas emboligènes cardiaques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23] CANCER DU CÔLON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Chirurgie  •  ~1.07 Q/examen  (16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7" w:history="1">
        <w:r w:rsidRPr="00E25DA2">
          <w:rPr>
            <w:rStyle w:val="Hyperlink"/>
            <w:rFonts w:ascii="LMRoman10" w:hAnsi="LMRoman10"/>
          </w:rPr>
          <w:t>Ouvrir le cours off</w:t>
        </w:r>
        <w:r w:rsidRPr="00E25DA2">
          <w:rPr>
            <w:rStyle w:val="Hyperlink"/>
            <w:rFonts w:ascii="LMRoman10" w:hAnsi="LMRoman10"/>
          </w:rPr>
          <w:t xml:space="preserve">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Épidémiologie &amp; facteurs (question répétée à l'identique)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Adénocarcinome ; un des cancers digestifs les plus fréquents ; FRÉQUENT au Maroc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Hérédité = facteur favorisant (PAF, Lynch/HNPCC) ; séquence ADÉNOME → CANCER (polype négligé)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Souvent révél</w:t>
      </w:r>
      <w:r w:rsidRPr="00E25DA2">
        <w:rPr>
          <w:rFonts w:ascii="LMRoman10" w:hAnsi="LMRoman10"/>
        </w:rPr>
        <w:t>é au stade de COMPLICATION : occlusion (côlon gauche), anémie (côlon droit)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l'hérédité n'est pas un facteur » ; « ne peut compliquer un polype » ; « rare au Maroc » ; « traitement basé sur la radiothérapie »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Traitement = CHIRURGIE (± chimio) ;</w:t>
      </w:r>
      <w:r w:rsidRPr="00E25DA2">
        <w:rPr>
          <w:rFonts w:ascii="LMRoman10" w:hAnsi="LMRoman10"/>
          <w:i/>
          <w:iCs/>
          <w:color w:val="B45309"/>
        </w:rPr>
        <w:t xml:space="preserve"> la radiothérapie concerne le RECTUM, pas le côlon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15/15 sessions — ex. Juin 2025, Mai/Juin/Sept/Déc 2024, 2023 — 15/15 sessions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24] CANCER DU RECTUM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~0.93 Q/examen  (14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8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Cas clinique T3 répété (~10×) — stratégie thérapeutique selon la hauteur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Adénocarcinome du rectum, IRM = T3 → RADIO-CHIMIOTHÉRAPIE NÉO-ADJUVANTE puis chirurgie d'exérèse (exérèse totale du</w:t>
      </w:r>
      <w:r w:rsidRPr="00E25DA2">
        <w:rPr>
          <w:rFonts w:ascii="LMRoman10" w:hAnsi="LMRoman10"/>
        </w:rPr>
        <w:t xml:space="preserve"> mésorectum)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Tumeur du HAUT/MOYEN rectum (</w:t>
      </w:r>
      <w:r w:rsidRPr="00E25DA2">
        <w:rPr>
          <w:rFonts w:ascii="Courier New" w:hAnsi="Courier New" w:cs="Courier New"/>
        </w:rPr>
        <w:t>≥</w:t>
      </w:r>
      <w:r w:rsidRPr="00E25DA2">
        <w:rPr>
          <w:rFonts w:ascii="LMRoman10" w:hAnsi="LMRoman10"/>
        </w:rPr>
        <w:t xml:space="preserve"> ~10</w:t>
      </w:r>
      <w:r w:rsidRPr="00E25DA2">
        <w:rPr>
          <w:rFonts w:ascii="LMRoman10" w:hAnsi="LMRoman10" w:cs="LMRoman10"/>
        </w:rPr>
        <w:t>–</w:t>
      </w:r>
      <w:r w:rsidRPr="00E25DA2">
        <w:rPr>
          <w:rFonts w:ascii="LMRoman10" w:hAnsi="LMRoman10"/>
        </w:rPr>
        <w:t xml:space="preserve">14 cm) </w:t>
      </w:r>
      <w:r w:rsidRPr="00E25DA2">
        <w:rPr>
          <w:rFonts w:ascii="LMRoman10" w:hAnsi="LMRoman10" w:cs="LMRoman10"/>
        </w:rPr>
        <w:t>→</w:t>
      </w:r>
      <w:r w:rsidRPr="00E25DA2">
        <w:rPr>
          <w:rFonts w:ascii="LMRoman10" w:hAnsi="LMRoman10"/>
        </w:rPr>
        <w:t xml:space="preserve"> r</w:t>
      </w:r>
      <w:r w:rsidRPr="00E25DA2">
        <w:rPr>
          <w:rFonts w:ascii="LMRoman10" w:hAnsi="LMRoman10" w:cs="LMRoman10"/>
        </w:rPr>
        <w:t>é</w:t>
      </w:r>
      <w:r w:rsidRPr="00E25DA2">
        <w:rPr>
          <w:rFonts w:ascii="LMRoman10" w:hAnsi="LMRoman10"/>
        </w:rPr>
        <w:t>section ant</w:t>
      </w:r>
      <w:r w:rsidRPr="00E25DA2">
        <w:rPr>
          <w:rFonts w:ascii="LMRoman10" w:hAnsi="LMRoman10" w:cs="LMRoman10"/>
        </w:rPr>
        <w:t>é</w:t>
      </w:r>
      <w:r w:rsidRPr="00E25DA2">
        <w:rPr>
          <w:rFonts w:ascii="LMRoman10" w:hAnsi="LMRoman10"/>
        </w:rPr>
        <w:t>rieure (conservation sphinct</w:t>
      </w:r>
      <w:r w:rsidRPr="00E25DA2">
        <w:rPr>
          <w:rFonts w:ascii="LMRoman10" w:hAnsi="LMRoman10" w:cs="LMRoman10"/>
        </w:rPr>
        <w:t>é</w:t>
      </w:r>
      <w:r w:rsidRPr="00E25DA2">
        <w:rPr>
          <w:rFonts w:ascii="LMRoman10" w:hAnsi="LMRoman10"/>
        </w:rPr>
        <w:t>rienne) apr</w:t>
      </w:r>
      <w:r w:rsidRPr="00E25DA2">
        <w:rPr>
          <w:rFonts w:ascii="LMRoman10" w:hAnsi="LMRoman10" w:cs="LMRoman10"/>
        </w:rPr>
        <w:t>è</w:t>
      </w:r>
      <w:r w:rsidRPr="00E25DA2">
        <w:rPr>
          <w:rFonts w:ascii="LMRoman10" w:hAnsi="LMRoman10"/>
        </w:rPr>
        <w:t>s RCT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Tumeur du BAS rectum proche de la marge → amputation abdomino-périnéale (colostomie définitive) si envahissement sphinctérien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Le traitem</w:t>
      </w:r>
      <w:r w:rsidRPr="00E25DA2">
        <w:rPr>
          <w:rFonts w:ascii="LMRoman10" w:hAnsi="LMRoman10"/>
          <w:i/>
          <w:iCs/>
          <w:color w:val="B45309"/>
        </w:rPr>
        <w:t>ent du T3 n'est PAS « chirurgie première » : la RCT néo-adjuvante précède (sauf T1-2 N0)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La hauteur par rapport à la marge anale détermine conservation vs amputation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14/15 sessions — ex. Ratt/Juin 2025, Mai/Juin/Sept/Déc 2024, 2023 — cas T3 ~1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>0×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25] PÉRITONITES AIGUËS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~0.87 Q/examen  (13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29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&amp; étiologies (jeune femme, défense généralisée)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Tableau : douleurs abdominales + fièvre + DÉFENSE/contracture généralisée → péritonite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Chez la jeune femme évoquer : appendiculaire, génitale (salpingite/pyosalpinx), perforation d'ulcère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Examens utiles : TDM/écho, ASP (pneumopéritoine si perforation), NFS</w:t>
      </w:r>
      <w:r w:rsidRPr="00E25DA2">
        <w:rPr>
          <w:rFonts w:ascii="LMRoman10" w:hAnsi="LMRoman10"/>
        </w:rPr>
        <w:t>-CRP, bilan pré-op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Péritonite = URGENCE chirurgicale (lavage + traitement de la cause) + ATB + réanimation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Contracture (« ventre de bois ») = signe majeur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6/15 sessions — ex. Juin 2023, Mai/Juin 2021, Mai 2022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26] TUBERCULOSE ABDOMINAL</w:t>
      </w:r>
      <w:r w:rsidRPr="00E25DA2">
        <w:rPr>
          <w:rFonts w:ascii="LMRoman10" w:hAnsi="LMRoman10"/>
        </w:rPr>
        <w:t>E (PÉRITONÉALE &amp; INTESTINALE)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~0.80 Q/examen  (12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lastRenderedPageBreak/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0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Tuberculose péritonéale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Ascite EXSUDATIVE riche en PROTÉINES (&gt; 25–30 g/L) à prédominance LYMPHOCYTAIRE ; ADA élevée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Contexte : fièvre, AEG, amaigrissement ; diagnostic par ponction + biopsie péritonéale (cœlioscopie) → granulome caséeux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Ascite de la TBC = exsudat lymphocytaire</w:t>
      </w:r>
      <w:r w:rsidRPr="00E25DA2">
        <w:rPr>
          <w:rFonts w:ascii="LMRoman10" w:hAnsi="LMRoman10"/>
          <w:i/>
          <w:iCs/>
          <w:color w:val="B45309"/>
        </w:rPr>
        <w:t xml:space="preserve"> (</w:t>
      </w:r>
      <w:r w:rsidRPr="00E25DA2">
        <w:rPr>
          <w:rFonts w:ascii="Courier New" w:hAnsi="Courier New" w:cs="Courier New"/>
          <w:i/>
          <w:iCs/>
          <w:color w:val="B45309"/>
        </w:rPr>
        <w:t>≠</w:t>
      </w:r>
      <w:r w:rsidRPr="00E25DA2">
        <w:rPr>
          <w:rFonts w:ascii="LMRoman10" w:hAnsi="LMRoman10"/>
          <w:i/>
          <w:iCs/>
          <w:color w:val="B45309"/>
        </w:rPr>
        <w:t xml:space="preserve"> transsudat de la cirrhose)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Au Maroc, diagnostic différentiel majeur d'une ascite/diarrhée chronique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11/15 sessions — ex. Juin 2025, Mai/Juin/Sept/Déc 2024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Tuberculose intestinale (iléo-cæcale)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Localisation iléo-cæcale préférentielle ; ul</w:t>
      </w:r>
      <w:r w:rsidRPr="00E25DA2">
        <w:rPr>
          <w:rFonts w:ascii="LMRoman10" w:hAnsi="LMRoman10"/>
        </w:rPr>
        <w:t>cérations + sténose → grand mime de la maladie de Crohn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Diagnostic : biopsies (granulome caséeux), GeneXpert/culture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Éliminer la TBC avant de traiter un « Crohn » par immunosuppresseurs (risque de dissémination)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27] FISTULES ANALES &amp; SUPPURATIONS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</w:t>
      </w: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édecine  •  ~0.80 Q/examen  (12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1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Présentation &amp; complications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Origine cryptoglandulaire le plus souvent ; manifestation : écoulement/suppuration péri-anale, abcès récidivant, douleur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Complications : abcès, récidive, incontinence (après chirurgie mal conduite), extension complexe ; rechercher une maladie de Crohn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To</w:t>
      </w:r>
      <w:r w:rsidRPr="00E25DA2">
        <w:rPr>
          <w:rFonts w:ascii="LMRoman10" w:hAnsi="LMRoman10"/>
          <w:i/>
          <w:iCs/>
          <w:color w:val="B45309"/>
        </w:rPr>
        <w:t>ute fistule anale complexe/récidivante → chercher un CROHN sous-jacent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Traitement = chirurgical (mise à plat / drainage par séton) ; les ATB seuls ne guérissent pas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9/15 sessions — ex. Ratt 2025, Mai/Juin/Sept/Déc 2024, 2022/2023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28] ING</w:t>
      </w:r>
      <w:r w:rsidRPr="00E25DA2">
        <w:rPr>
          <w:rFonts w:ascii="LMRoman10" w:hAnsi="LMRoman10"/>
        </w:rPr>
        <w:t>ESTION DE CAUSTIQUES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~0.73 Q/examen  (11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2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Gestes à PROSCRIRE (question répétée — souvent A,B,C,D,E TOUS faux)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À PROSCRIRE : vomissements provoqués, lavage gastrique, sonde naso-gastrique à l'aveugle, neutralisation/charbon, décubitus dorsal (risque d'inhalation)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Tous ces gestes aggravent les lésions (re-brûlure, perforation) — réponse type : TOUS sont à proscrir</w:t>
      </w:r>
      <w:r w:rsidRPr="00E25DA2">
        <w:rPr>
          <w:rFonts w:ascii="LMRoman10" w:hAnsi="LMRoman10"/>
          <w:i/>
          <w:iCs/>
          <w:color w:val="B45309"/>
        </w:rPr>
        <w:t>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Pas de produit « neutralisant » : réaction exothermique délétère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8/15 sessions — ex. Juin 2025, Mai 2024, Ratt 2025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Endoscopie &amp; prise en charge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FOGD précoce (12–24 h, avant 48 h) pour classer les lésions (stade de Zargar) et décider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À jeu</w:t>
      </w:r>
      <w:r w:rsidRPr="00E25DA2">
        <w:rPr>
          <w:rFonts w:ascii="LMRoman10" w:hAnsi="LMRoman10"/>
        </w:rPr>
        <w:t>n strict, bilan, ± chirurgie si nécrose/perforation ; contexte suicidaire → évaluation psychiatrique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FOGD contre-indiquée après 48 h (zone de fragilité maximale → perforation) et si perforation patente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29] DIVERTICULOSE COLIQUE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Médecine  •  ~0.73 Q</w:t>
      </w: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/examen  (11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3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Définitions &amp; spectre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Diverticulose = diverticules asymptomatiques (surtout sigmoïde) ; fréquence ↑ avec l'âge, régime pauvre en fibres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Maladie diverticulaire : diverticulite (sigmoïdite), abcès, perforation, hémorragie, fistule, sténose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Diverticule colique = pseudo-diverticule (hernie de muqueuse/sous-muqueuse), pas une paroi complète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Coloscopie contre-indiquée en phase aiguë de diverticulite (risque de perforation) → TDM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11/15 sessions — ex. Mai/Juin/Sept/Déc 2024, 2020/2021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>/2023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30] ABCÈS HÉPATIQUE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~0.67 Q/examen  (10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4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Abcès à pyogènes — étiologies/voies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Voies : BILIAIRE (angiocholite — la plus</w:t>
      </w:r>
      <w:r w:rsidRPr="00E25DA2">
        <w:rPr>
          <w:rFonts w:ascii="LMRoman10" w:hAnsi="LMRoman10"/>
        </w:rPr>
        <w:t xml:space="preserve"> fréquente), PORTALE (sepsis abdominal : appendicite, sigmoïdite), artérielle, contiguïté, post-traumatique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Terrain : diabète, immunodépression ; tableau : fièvre + douleur HCD + hépatomégalie douloureuse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Distinguer abcès AMIBIEN (sérologie amibienne, unique, lobe droit, contexte de séjour tropical) de l'abcès à PYOGÈNES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Traitement : ATB + drainage (percutané écho/TDM-guidé) ; chirurgie si échec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9/15 sessions — ex. Juin 2025, Mai/Déc 2024, 2021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>→2023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31] PARASITOSES DIGESTIVES (AMIBIASE)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~0.60 Q/examen  (9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5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Amibiase intestinale (Entamoeba histolytica)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Dysenterie amib</w:t>
      </w:r>
      <w:r w:rsidRPr="00E25DA2">
        <w:rPr>
          <w:rFonts w:ascii="LMRoman10" w:hAnsi="LMRoman10"/>
        </w:rPr>
        <w:t>ienne : diarrhée GLAIRO-SANGLANTE, syndrome dysentérique (épreintes, ténesme), APYREXIE/fièvre modérée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Contexte : zone tropicale/d'endémie, péril fécal ; diagnostic : examen parasitologique des selles (formes hématophages)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Complication : abcès amibien du f</w:t>
      </w:r>
      <w:r w:rsidRPr="00E25DA2">
        <w:rPr>
          <w:rFonts w:ascii="LMRoman10" w:hAnsi="LMRoman10"/>
        </w:rPr>
        <w:t>oie (lobe droit) ; traitement : métronidazole + amœbicide de contact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La dysenterie amibienne est typiquement APYRÉTIQUE ou peu fébrile (</w:t>
      </w:r>
      <w:r w:rsidRPr="00E25DA2">
        <w:rPr>
          <w:rFonts w:ascii="Courier New" w:hAnsi="Courier New" w:cs="Courier New"/>
          <w:i/>
          <w:iCs/>
          <w:color w:val="B45309"/>
        </w:rPr>
        <w:t>≠</w:t>
      </w:r>
      <w:r w:rsidRPr="00E25DA2">
        <w:rPr>
          <w:rFonts w:ascii="LMRoman10" w:hAnsi="LMRoman10"/>
          <w:i/>
          <w:iCs/>
          <w:color w:val="B45309"/>
        </w:rPr>
        <w:t xml:space="preserve"> dysenterie bacillaire/shigellose tr</w:t>
      </w:r>
      <w:r w:rsidRPr="00E25DA2">
        <w:rPr>
          <w:rFonts w:ascii="LMRoman10" w:hAnsi="LMRoman10" w:cs="LMRoman10"/>
          <w:i/>
          <w:iCs/>
          <w:color w:val="B45309"/>
        </w:rPr>
        <w:t>è</w:t>
      </w:r>
      <w:r w:rsidRPr="00E25DA2">
        <w:rPr>
          <w:rFonts w:ascii="LMRoman10" w:hAnsi="LMRoman10"/>
          <w:i/>
          <w:iCs/>
          <w:color w:val="B45309"/>
        </w:rPr>
        <w:t>s f</w:t>
      </w:r>
      <w:r w:rsidRPr="00E25DA2">
        <w:rPr>
          <w:rFonts w:ascii="LMRoman10" w:hAnsi="LMRoman10" w:cs="LMRoman10"/>
          <w:i/>
          <w:iCs/>
          <w:color w:val="B45309"/>
        </w:rPr>
        <w:t>é</w:t>
      </w:r>
      <w:r w:rsidRPr="00E25DA2">
        <w:rPr>
          <w:rFonts w:ascii="LMRoman10" w:hAnsi="LMRoman10"/>
          <w:i/>
          <w:iCs/>
          <w:color w:val="B45309"/>
        </w:rPr>
        <w:t>brile)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6/15 sessions — ex. Juin 2025, Mai/Juin/Sept/Déc 2024, Mai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2019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32] CANCERS BILIAIRES (CHOLANGIOCARCINOME)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~0.47 Q/examen  (7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6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Cholangiocarcinome — clinique &amp; traitement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Ictère CHOLESTATIQUE : permanent, progressif, avec urines foncées + selles décolorées + prurit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lastRenderedPageBreak/>
        <w:t>Tumeur de KLATSKIN = cholangiocarcinome du HILE (confluent biliaire supérieur)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Seul traitement CURATIF = RÉSECTION CHIRURGICALE (exérèse) — souvent diagnostic ta</w:t>
      </w:r>
      <w:r w:rsidRPr="00E25DA2">
        <w:rPr>
          <w:rFonts w:ascii="LMRoman10" w:hAnsi="LMRoman10"/>
        </w:rPr>
        <w:t>rdif/non résécable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FAUX : « selles foncées » — dans la cholestase les selles sont DÉCOLORÉES (mastic)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FdR : cholangite sclérosante, lithiase intra-hépatique, kyste du cholédoque, parasitoses biliaires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4/15 sessions — ex. Juin 2025, Mai 2024,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Juin 2023, Mai 2022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33] TROUBLES MOTEURS ŒSOPHAGIENS (ACHALASIE)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~0.40 Q/examen  (6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7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Note taxonomique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</w:rPr>
        <w:t>⚠</w:t>
      </w:r>
      <w:r w:rsidRPr="00E25DA2">
        <w:rPr>
          <w:rFonts w:ascii="LMRoman10" w:hAnsi="LMRoman10"/>
        </w:rPr>
        <w:t xml:space="preserve"> Topic présent dans les QE mais ABSENT de la liste officielle S6 fournie pour 2026 — traité comme au programme par prudence (aucune annulation confirmée).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Achalasie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Absence de relaxation du SIO + apéristaltisme du corps œsophagien (perte des plexus myen</w:t>
      </w:r>
      <w:r w:rsidRPr="00E25DA2">
        <w:rPr>
          <w:rFonts w:ascii="LMRoman10" w:hAnsi="LMRoman10"/>
        </w:rPr>
        <w:t>tériques)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Clinique : DYSPHAGIE paradoxale (liquides ET solides), régurgitations, douleur thoracique, amaigrissement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Diagnostic : MANOMÉTRIE œsophagienne (référence) ; TOGD = aspect en « bec d'oiseau » ; FOGD pour éliminer un cancer (pseudo-achalasie)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Dys</w:t>
      </w:r>
      <w:r w:rsidRPr="00E25DA2">
        <w:rPr>
          <w:rFonts w:ascii="LMRoman10" w:hAnsi="LMRoman10"/>
          <w:i/>
          <w:iCs/>
          <w:color w:val="B45309"/>
        </w:rPr>
        <w:t>phagie aux liquides dès le début (paradoxale) — différent d'une sténose organique (solides d'abord)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Toujours FOGD pour éliminer un cancer du cardia (pseudo-achalasie) avant de conclure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6/15 sessions — ex. Mai/Juin/Sept/Déc 2024, Mai 2022/2023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34] PANCRÉATITE CHRONIQUE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~0.33 Q/examen  (5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8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&amp; évolution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Cause principale : ALCOOL ; autres : obstructive, génétique, auto-immune, métabolique (hypercalcémie)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Évolution : douleur chronique, insuffisance pancréatique EXOCRINE (stéatorrhée) puis ENDOCRINE (diabète), calcifications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 xml:space="preserve">Risque accru d'adénocarcinome du </w:t>
      </w:r>
      <w:r w:rsidRPr="00E25DA2">
        <w:rPr>
          <w:rFonts w:ascii="LMRoman10" w:hAnsi="LMRoman10"/>
        </w:rPr>
        <w:t>pancréas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Pancréatite AUTO-IMMUNE : forme particulière (IgG4), répond aux corticoïdes, mime un cancer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3/15 sessions — ex. Mai 2018/2021, Juin 2021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Pseudo-kyste — complications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Pseudo-kyste : infection, rupture, hémorragie (faux anévrisme/wirs</w:t>
      </w:r>
      <w:r w:rsidRPr="00E25DA2">
        <w:rPr>
          <w:rFonts w:ascii="LMRoman10" w:hAnsi="LMRoman10"/>
        </w:rPr>
        <w:t>ungorragie), compression (estomac, VBP), fistule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Un pseudo-kyste peut comprimer la voie biliaire → ictère, ou se rompre → ascite pancréatique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35] PATHOLOGIES PROCTOLOGIQUES FRÉQUENTES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Médecine  •  ~0.07 Q/examen  (1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39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Note taxonomique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Inclut maladie hémorroïdaire &amp; fissure anale (leçons officielles peu/pas taguées séparément).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Repères proctologiques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Maladie hémorroïda</w:t>
      </w:r>
      <w:r w:rsidRPr="00E25DA2">
        <w:rPr>
          <w:rFonts w:ascii="LMRoman10" w:hAnsi="LMRoman10"/>
        </w:rPr>
        <w:t>ire : rectorragie rouge vif terminale, prolapsus, douleur si thrombose ; traitement gradué (hygiéno-diététique → instrumental → chirurgie)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Fissure anale : douleur intense rythmée par la défécation + contracture sphinctérienne ; siège postérieur médian typi</w:t>
      </w:r>
      <w:r w:rsidRPr="00E25DA2">
        <w:rPr>
          <w:rFonts w:ascii="LMRoman10" w:hAnsi="LMRoman10"/>
        </w:rPr>
        <w:t>que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Toute rectorragie après 50 ans → coloscopie (ne pas attribuer d'emblée aux hémorroïdes : risque de méconnaître un cancer)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1/15 sessions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36] HÉMOCHROMATOSE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~0.07 Q/examen  (1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40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Hémochromatose génétique (HFE)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Surcharge en FER (gène HFE, C282Y) → coefficient de saturation de la transferrine ↑↑ + ferritine ↑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Atteintes : cirrhose (+ risque CHC), diabète bronzé, cardiomyopathie, arthropathie, mélanodermie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Traitement : SAIGNÉES (phlébotomies)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Marqueur de dépistage = coefficient de saturation de la transferrine (plus précoce que la ferritine)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1/15 sessions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37] MALADIE DE WILSON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 •  ~0.07 Q/examen  (1 Q au total)</w:t>
      </w:r>
    </w:p>
    <w:p w:rsidR="000063FB" w:rsidRPr="00E25DA2" w:rsidRDefault="00E25DA2">
      <w:pPr>
        <w:spacing w:before="4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404040"/>
        </w:rPr>
        <w:t>📎</w:t>
      </w:r>
      <w:r w:rsidRPr="00E25DA2">
        <w:rPr>
          <w:rFonts w:ascii="LMRoman10" w:hAnsi="LMRoman10"/>
          <w:color w:val="404040"/>
        </w:rPr>
        <w:t xml:space="preserve"> Banque de QE (e-qe.online) : </w:t>
      </w:r>
      <w:hyperlink r:id="rId41" w:history="1">
        <w:r w:rsidRPr="00E25DA2">
          <w:rPr>
            <w:rStyle w:val="Hyperlink"/>
            <w:rFonts w:ascii="LMRoman10" w:hAnsi="LMRoman10"/>
          </w:rPr>
          <w:t xml:space="preserve">Ouvrir le cours officiel </w:t>
        </w:r>
        <w:r w:rsidRPr="00E25DA2">
          <w:rPr>
            <w:rStyle w:val="Hyperlink"/>
            <w:rFonts w:ascii="Cambria Math" w:hAnsi="Cambria Math" w:cs="Cambria Math"/>
          </w:rPr>
          <w:t>↗</w:t>
        </w:r>
      </w:hyperlink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de Wilson (surcharge en cuivre)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 xml:space="preserve">Mutation ATP7B → </w:t>
      </w:r>
      <w:r w:rsidRPr="00E25DA2">
        <w:rPr>
          <w:rFonts w:ascii="LMRoman10" w:hAnsi="LMRoman10"/>
        </w:rPr>
        <w:t>accumulation de CUIVRE (foie, cerveau, cornée) ; sujet JEUNE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Bio : céruloplasmine BASSE, cuivre urinaire ÉLEVÉ ; anneau de Kayser-Fleischer (cornée)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Atteintes : hépatite/cirrhose + signes neuro-psychiatriques ; traitement : chélateurs (D-pénicillamine), zinc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Évoquer Wilson devant toute hépatopathie du sujet jeune + signes neurologiques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1/15 sessions</w:t>
      </w:r>
    </w:p>
    <w:p w:rsidR="000063FB" w:rsidRPr="00E25DA2" w:rsidRDefault="00E25DA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25DA2">
        <w:rPr>
          <w:rFonts w:ascii="LMRoman10" w:hAnsi="LMRoman10"/>
        </w:rPr>
        <w:t>[RANG 38] QUESTIONS TRANSVERSALES / INCL</w:t>
      </w:r>
      <w:r w:rsidRPr="00E25DA2">
        <w:rPr>
          <w:rFonts w:ascii="LMRoman10" w:hAnsi="LMRoman10"/>
        </w:rPr>
        <w:t>ASSIFIABLES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Transversal  •  ~1.93 Q/examen  (29 Q — non rattachées à une leçon unique)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&amp; limites de la cœlioscopie (récurrent)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Indications larges : cholécystite lithiasique/alithiasique, appendicite, hernie, exploration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lastRenderedPageBreak/>
        <w:t>CONTRE-INDICATION maje</w:t>
      </w:r>
      <w:r w:rsidRPr="00E25DA2">
        <w:rPr>
          <w:rFonts w:ascii="LMRoman10" w:hAnsi="LMRoman10"/>
        </w:rPr>
        <w:t>ure : suspicion de dégénérescence MALIGNE (ex. vésicule) → risque de dissémination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« Lithiase vésiculaire avec dégénérescence maligne » = la seule NON indiquée en cœlio (piège classique)</w:t>
      </w:r>
    </w:p>
    <w:p w:rsidR="000063FB" w:rsidRPr="00E25DA2" w:rsidRDefault="00E25DA2">
      <w:pPr>
        <w:spacing w:before="16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8B0000"/>
          <w:sz w:val="22"/>
          <w:szCs w:val="22"/>
          <w:u w:val="single"/>
        </w:rPr>
        <w:t>Démarche devant une urgence abdominale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Épigastralgie aiguë → évoq</w:t>
      </w:r>
      <w:r w:rsidRPr="00E25DA2">
        <w:rPr>
          <w:rFonts w:ascii="LMRoman10" w:hAnsi="LMRoman10"/>
        </w:rPr>
        <w:t>uer PA, ulcère/perforation, gastrite, abcès hépatique (penser large)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Masse FID indolore chronique → plastron appendiculaire + tumeur cæcale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Ces questions mélangent plusieurs leçons : réviser les diagnostics différentiels par symptôme-clé</w:t>
      </w:r>
    </w:p>
    <w:p w:rsidR="000063FB" w:rsidRPr="00E25DA2" w:rsidRDefault="00E25DA2">
      <w:pPr>
        <w:spacing w:before="2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 xml:space="preserve"> Vu dans 2/15 </w:t>
      </w:r>
      <w:r w:rsidRPr="00E25DA2">
        <w:rPr>
          <w:rFonts w:ascii="LMRoman10" w:hAnsi="LMRoman10"/>
          <w:i/>
          <w:iCs/>
          <w:color w:val="404040"/>
          <w:sz w:val="18"/>
          <w:szCs w:val="18"/>
        </w:rPr>
        <w:t>sessions — ex. Juin 2025, autres</w:t>
      </w:r>
    </w:p>
    <w:p w:rsidR="000063FB" w:rsidRPr="00E25DA2" w:rsidRDefault="00E25DA2">
      <w:pPr>
        <w:rPr>
          <w:rFonts w:ascii="LMRoman10" w:hAnsi="LMRoman10"/>
        </w:rPr>
      </w:pPr>
      <w:r w:rsidRPr="00E25DA2">
        <w:rPr>
          <w:rFonts w:ascii="LMRoman10" w:hAnsi="LMRoman10"/>
        </w:rPr>
        <w:br w:type="page"/>
      </w:r>
    </w:p>
    <w:p w:rsidR="000063FB" w:rsidRPr="00E25DA2" w:rsidRDefault="00E25DA2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0063FB" w:rsidRPr="00E25DA2" w:rsidRDefault="00E25DA2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E25DA2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E25DA2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0063FB" w:rsidRPr="00E25DA2" w:rsidRDefault="00E25DA2">
      <w:pPr>
        <w:spacing w:before="80" w:after="12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0063FB" w:rsidRPr="00E25DA2" w:rsidRDefault="00E25DA2">
      <w:pPr>
        <w:spacing w:before="120" w:after="60"/>
        <w:rPr>
          <w:rFonts w:ascii="LMRoman10" w:hAnsi="LMRoman10"/>
        </w:rPr>
      </w:pPr>
      <w:r w:rsidRPr="00E25DA2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Apparaître en question résiduelle ou rattrapage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Être recyclés à la</w:t>
      </w:r>
      <w:r w:rsidRPr="00E25DA2">
        <w:rPr>
          <w:rFonts w:ascii="LMRoman10" w:hAnsi="LMRoman10"/>
        </w:rPr>
        <w:t xml:space="preserve"> dernière minute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Servir de "culture générale" médicale</w:t>
      </w:r>
    </w:p>
    <w:p w:rsidR="000063FB" w:rsidRPr="00E25DA2" w:rsidRDefault="00E25DA2">
      <w:pPr>
        <w:spacing w:before="20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0063FB" w:rsidRPr="00E25DA2" w:rsidRDefault="00E25DA2">
      <w:pPr>
        <w:rPr>
          <w:rFonts w:ascii="LMRoman10" w:hAnsi="LMRoman10"/>
        </w:rPr>
      </w:pPr>
      <w:r w:rsidRPr="00E25DA2">
        <w:rPr>
          <w:rFonts w:ascii="LMRoman10" w:hAnsi="LMRoman10"/>
        </w:rPr>
        <w:br w:type="page"/>
      </w:r>
    </w:p>
    <w:p w:rsidR="000063FB" w:rsidRPr="00E25DA2" w:rsidRDefault="00E25DA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GASTRO-ENTÉROLOGIE &amp; CHIRURGIE VISCÉRALE (PATHOLOGIE DIGESTIVE, S6)</w:t>
      </w:r>
    </w:p>
    <w:p w:rsidR="000063FB" w:rsidRPr="00E25DA2" w:rsidRDefault="00E25DA2">
      <w:pPr>
        <w:pStyle w:val="Heading2"/>
        <w:rPr>
          <w:rFonts w:ascii="LMRoman10" w:hAnsi="LMRoman10"/>
        </w:rPr>
      </w:pPr>
      <w:r w:rsidRPr="00E25DA2">
        <w:rPr>
          <w:rFonts w:ascii="LMRoman10" w:hAnsi="LMRoman10"/>
        </w:rPr>
        <w:t>** CLASSIFICATIONS &amp; SCORES À RETENIR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Child-Pugh (A/B/C)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Cirrhose — 5 items : Bilirubine, Albumine, TP, Ascite, Encéphalopathie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TNM rectum + IRM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T3 → radio-chimiothérapie néo-adjuvante puis exérèse (TME)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Balthazar / CTSI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Gravité TDM de la pancréatite aiguë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Zargar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Stades endoscopiques des brûlures caustiques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Rome IV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Critères du syndrome de l'intestin irritable</w:t>
            </w:r>
          </w:p>
        </w:tc>
      </w:tr>
    </w:tbl>
    <w:p w:rsidR="000063FB" w:rsidRPr="00E25DA2" w:rsidRDefault="00E25DA2">
      <w:pPr>
        <w:pStyle w:val="Heading2"/>
        <w:rPr>
          <w:rFonts w:ascii="LMRoman10" w:hAnsi="LMRoman10"/>
        </w:rPr>
      </w:pPr>
      <w:r w:rsidRPr="00E25DA2">
        <w:rPr>
          <w:rFonts w:ascii="LMRoman10" w:hAnsi="LMRoman10"/>
        </w:rPr>
        <w:t>** MARQUEURS &amp; EXAMENS-CLÉS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0063FB" w:rsidRPr="00E25DA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Lipasémie &gt; 3N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Confirmation de la pancréatite aiguë (</w:t>
            </w:r>
            <w:r w:rsidRPr="00E25DA2">
              <w:rPr>
                <w:rFonts w:ascii="Courier New" w:hAnsi="Courier New" w:cs="Courier New"/>
                <w:color w:val="000000"/>
                <w:sz w:val="18"/>
                <w:szCs w:val="18"/>
              </w:rPr>
              <w:t>≠</w:t>
            </w: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 xml:space="preserve"> troponine/ECBU)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TP / Facteur V bas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Gravité de l'hépatite aiguë (</w:t>
            </w:r>
            <w:r w:rsidRPr="00E25DA2">
              <w:rPr>
                <w:rFonts w:ascii="Courier New" w:hAnsi="Courier New" w:cs="Courier New"/>
                <w:color w:val="000000"/>
                <w:sz w:val="18"/>
                <w:szCs w:val="18"/>
              </w:rPr>
              <w:t>≠</w:t>
            </w: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 xml:space="preserve"> intensit</w:t>
            </w:r>
            <w:r w:rsidRPr="00E25DA2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 xml:space="preserve"> de la cytolyse)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IgA anti-transglutaminase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Dépistage de la maladie cœliaque (+ biopsies duodénales)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Coeff. saturation transferrine ↑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Hémochromatose (plus précoce que la ferritine)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Céruloplasmine basse + cuivre urinaire ↑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Maladie de Wilson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Test respiratoire / Ag selles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Contrôle d'éradication de H. pylori (PAS la sérologie)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AFP + nodule sur cirrhose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Carcinome hépatocellulaire</w:t>
            </w:r>
          </w:p>
        </w:tc>
      </w:tr>
      <w:tr w:rsidR="000063FB" w:rsidRPr="00E25DA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Ascite exsudat lymphocytaire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063FB" w:rsidRPr="00E25DA2" w:rsidRDefault="00E25DA2">
            <w:pPr>
              <w:rPr>
                <w:rFonts w:ascii="LMRoman10" w:hAnsi="LMRoman10"/>
              </w:rPr>
            </w:pP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>Tuberculose péritonéale (</w:t>
            </w:r>
            <w:r w:rsidRPr="00E25DA2">
              <w:rPr>
                <w:rFonts w:ascii="Courier New" w:hAnsi="Courier New" w:cs="Courier New"/>
                <w:color w:val="000000"/>
                <w:sz w:val="18"/>
                <w:szCs w:val="18"/>
              </w:rPr>
              <w:t>≠</w:t>
            </w:r>
            <w:r w:rsidRPr="00E25DA2">
              <w:rPr>
                <w:rFonts w:ascii="LMRoman10" w:hAnsi="LMRoman10"/>
                <w:color w:val="000000"/>
                <w:sz w:val="18"/>
                <w:szCs w:val="18"/>
              </w:rPr>
              <w:t xml:space="preserve"> transsudat de la cirrhose)</w:t>
            </w:r>
          </w:p>
        </w:tc>
      </w:tr>
    </w:tbl>
    <w:p w:rsidR="000063FB" w:rsidRPr="00E25DA2" w:rsidRDefault="00E25DA2">
      <w:pPr>
        <w:pStyle w:val="Heading2"/>
        <w:rPr>
          <w:rFonts w:ascii="LMRoman10" w:hAnsi="LMRoman10"/>
        </w:rPr>
      </w:pPr>
      <w:r w:rsidRPr="00E25DA2">
        <w:rPr>
          <w:rFonts w:ascii="LMRoman10" w:hAnsi="LMRoman10"/>
        </w:rPr>
        <w:t>** PIÈGES CLASSIQUES DU CONCOURS **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Plastron appendiculaire = ANTIBIO + appendicectomie DIFFÉRÉE — jamais de chirurgie en urgence.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OIA aiguë : confirmation = SCANNER (jamais TOGD/coloscopie/FOGD).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 xml:space="preserve">Cancer du CÔLON : hérédité EST un facteur ; traitement = chirurgie (la radiothérapie c'est </w:t>
      </w:r>
      <w:r w:rsidRPr="00E25DA2">
        <w:rPr>
          <w:rFonts w:ascii="LMRoman10" w:hAnsi="LMRoman10"/>
          <w:i/>
          <w:iCs/>
          <w:color w:val="B45309"/>
        </w:rPr>
        <w:t>le RECTUM).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Cancer du rectum T3 : RCT néo-adjuvante AVANT la chirurgie, pas de chirurgie première.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KH du dôme hépatique : FRÉQUENT au Maroc, segments 7-8 ; PAS la cœlioscopie de choix.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Pancréatite aiguë au Maroc : 1</w:t>
      </w:r>
      <w:r w:rsidRPr="00E25DA2">
        <w:rPr>
          <w:rFonts w:ascii="Courier New" w:hAnsi="Courier New" w:cs="Courier New"/>
          <w:i/>
          <w:iCs/>
          <w:color w:val="B45309"/>
        </w:rPr>
        <w:t>ʳ</w:t>
      </w:r>
      <w:r w:rsidRPr="00E25DA2">
        <w:rPr>
          <w:rFonts w:ascii="Courier New" w:hAnsi="Courier New" w:cs="Courier New"/>
          <w:i/>
          <w:iCs/>
          <w:color w:val="B45309"/>
        </w:rPr>
        <w:t>ᵉ</w:t>
      </w:r>
      <w:r w:rsidRPr="00E25DA2">
        <w:rPr>
          <w:rFonts w:ascii="LMRoman10" w:hAnsi="LMRoman10"/>
          <w:i/>
          <w:iCs/>
          <w:color w:val="B45309"/>
        </w:rPr>
        <w:t xml:space="preserve"> cause = LITHIASE biliaire (pas l</w:t>
      </w:r>
      <w:r w:rsidRPr="00E25DA2">
        <w:rPr>
          <w:rFonts w:ascii="LMRoman10" w:hAnsi="LMRoman10"/>
          <w:i/>
          <w:iCs/>
          <w:color w:val="B45309"/>
        </w:rPr>
        <w:t>'alcool).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Child-Pugh : 5 items ABATE — n'inclut NI transaminases NI créatinine.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Ingestion de caustique : vomissements/lavage/SNG/neutralisant = TOUS proscrits.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Cholestase : selles DÉCOLORÉES (mastic), pas foncées.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VHA/VHE : jamais de chronicité ; c</w:t>
      </w:r>
      <w:r w:rsidRPr="00E25DA2">
        <w:rPr>
          <w:rFonts w:ascii="LMRoman10" w:hAnsi="LMRoman10"/>
          <w:i/>
          <w:iCs/>
          <w:color w:val="B45309"/>
        </w:rPr>
        <w:t>ancérisation = ulcère GASTRIQUE (jamais duodénal).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Ag HBs−/anti-HBs+/anti-HBc− = VACCINÉ (l'anti-HBc absent fait la différence).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25DA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25DA2">
        <w:rPr>
          <w:rFonts w:ascii="LMRoman10" w:hAnsi="LMRoman10"/>
          <w:i/>
          <w:iCs/>
          <w:color w:val="B45309"/>
        </w:rPr>
        <w:t>Cœlioscopie : contre-indiquée si dégénérescence maligne suspectée.</w:t>
      </w:r>
    </w:p>
    <w:p w:rsidR="000063FB" w:rsidRPr="00E25DA2" w:rsidRDefault="00E25DA2">
      <w:pPr>
        <w:pStyle w:val="Heading2"/>
        <w:rPr>
          <w:rFonts w:ascii="LMRoman10" w:hAnsi="LMRoman10"/>
        </w:rPr>
      </w:pPr>
      <w:r w:rsidRPr="00E25DA2">
        <w:rPr>
          <w:rFonts w:ascii="LMRoman10" w:hAnsi="LMRoman10"/>
        </w:rPr>
        <w:t>** SÉQUENCES &amp; CHAÎNES PHYSIOPATHOLOGIQUES **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lastRenderedPageBreak/>
        <w:t>RGO chroni</w:t>
      </w:r>
      <w:r w:rsidRPr="00E25DA2">
        <w:rPr>
          <w:rFonts w:ascii="LMRoman10" w:hAnsi="LMRoman10"/>
        </w:rPr>
        <w:t>que → endobrachyœsophage (Barrett) → dysplasie → ADÉNOCARCINOME du bas œsophage.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Gastrite chronique à H. pylori → atrophie → métaplasie intestinale → dysplasie → ADÉNOCARCINOME gastrique.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Adénome (polype) colique → dysplasie → ADÉNOCARCINOME colorectal (séquence adénome-cancer).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Cirrhose → carcinome hépatocellulaire (dépistage écho/6 mois).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Lithiase biliaire → migration → pancréatite aiguë biliaire (1</w:t>
      </w:r>
      <w:r w:rsidRPr="00E25DA2">
        <w:rPr>
          <w:rFonts w:ascii="Courier New" w:hAnsi="Courier New" w:cs="Courier New"/>
        </w:rPr>
        <w:t>ʳ</w:t>
      </w:r>
      <w:r w:rsidRPr="00E25DA2">
        <w:rPr>
          <w:rFonts w:ascii="Courier New" w:hAnsi="Courier New" w:cs="Courier New"/>
        </w:rPr>
        <w:t>ᵉ</w:t>
      </w:r>
      <w:r w:rsidRPr="00E25DA2">
        <w:rPr>
          <w:rFonts w:ascii="LMRoman10" w:hAnsi="LMRoman10"/>
        </w:rPr>
        <w:t xml:space="preserve"> cause au Maroc).</w:t>
      </w:r>
    </w:p>
    <w:p w:rsidR="000063FB" w:rsidRPr="00E25DA2" w:rsidRDefault="00E25DA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25DA2">
        <w:rPr>
          <w:rFonts w:ascii="LMRoman10" w:hAnsi="LMRoman10"/>
        </w:rPr>
        <w:t>Embolie (ACFA) / thr</w:t>
      </w:r>
      <w:r w:rsidRPr="00E25DA2">
        <w:rPr>
          <w:rFonts w:ascii="LMRoman10" w:hAnsi="LMRoman10"/>
        </w:rPr>
        <w:t>ombose AMS → ischémie mésentérique → nécrose → péritonite → choc.</w:t>
      </w:r>
    </w:p>
    <w:p w:rsidR="000063FB" w:rsidRPr="00E25DA2" w:rsidRDefault="00E25DA2">
      <w:pPr>
        <w:spacing w:before="240" w:after="60"/>
        <w:rPr>
          <w:rFonts w:ascii="LMRoman10" w:hAnsi="LMRoman10"/>
        </w:rPr>
      </w:pPr>
      <w:r w:rsidRPr="00E25DA2">
        <w:rPr>
          <w:rFonts w:ascii="LMRoman10" w:hAnsi="LMRoman10"/>
          <w:color w:val="000000"/>
        </w:rPr>
        <w:t xml:space="preserve"> </w:t>
      </w:r>
    </w:p>
    <w:p w:rsidR="000063FB" w:rsidRPr="00E25DA2" w:rsidRDefault="000063FB">
      <w:pPr>
        <w:pBdr>
          <w:top w:val="double" w:sz="8" w:space="4" w:color="1F3A5F"/>
        </w:pBdr>
        <w:rPr>
          <w:rFonts w:ascii="LMRoman10" w:hAnsi="LMRoman10"/>
        </w:rPr>
      </w:pP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i/>
          <w:iCs/>
          <w:color w:val="000000"/>
          <w:sz w:val="18"/>
          <w:szCs w:val="18"/>
        </w:rPr>
        <w:t>Généré par Claude.ai (claude-opus-4-8) — Version 1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i/>
          <w:iCs/>
          <w:color w:val="000000"/>
          <w:sz w:val="18"/>
          <w:szCs w:val="18"/>
        </w:rPr>
        <w:t>Cross-match 748 QEs officielles × Cours AIO digestif + corrections officielles e-qe.online</w:t>
      </w:r>
    </w:p>
    <w:p w:rsidR="000063FB" w:rsidRPr="00E25DA2" w:rsidRDefault="00E25DA2">
      <w:pPr>
        <w:spacing w:before="60" w:after="60"/>
        <w:jc w:val="center"/>
        <w:rPr>
          <w:rFonts w:ascii="LMRoman10" w:hAnsi="LMRoman10"/>
        </w:rPr>
      </w:pPr>
      <w:r w:rsidRPr="00E25DA2">
        <w:rPr>
          <w:rFonts w:ascii="LMRoman10" w:hAnsi="LMRoman10"/>
          <w:b/>
          <w:bCs/>
          <w:i/>
          <w:iCs/>
          <w:color w:val="000000"/>
          <w:sz w:val="18"/>
          <w:szCs w:val="18"/>
        </w:rPr>
        <w:t>FMPM — Concours 2026 • généré par Claude.ai</w:t>
      </w:r>
    </w:p>
    <w:p w:rsidR="000063FB" w:rsidRPr="00E25DA2" w:rsidRDefault="00E25DA2">
      <w:pPr>
        <w:spacing w:before="200" w:after="60"/>
        <w:rPr>
          <w:rFonts w:ascii="LMRoman10" w:hAnsi="LMRoman10"/>
        </w:rPr>
      </w:pPr>
      <w:r w:rsidRPr="00E25DA2">
        <w:rPr>
          <w:rFonts w:ascii="LMRoman10" w:hAnsi="LMRoman10"/>
          <w:b/>
          <w:bCs/>
          <w:color w:val="065F46"/>
        </w:rPr>
        <w:t>Améliorations Version 1 :</w:t>
      </w:r>
    </w:p>
    <w:p w:rsidR="000063FB" w:rsidRPr="00E25DA2" w:rsidRDefault="00E25DA2">
      <w:pPr>
        <w:spacing w:before="6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25DA2">
        <w:rPr>
          <w:rFonts w:ascii="LMRoman10" w:hAnsi="LMRoman10"/>
          <w:color w:val="065F46"/>
          <w:sz w:val="18"/>
          <w:szCs w:val="18"/>
        </w:rPr>
        <w:t xml:space="preserve"> PARTIE 3 strictement par rang de fréquence (1 → N).</w:t>
      </w:r>
    </w:p>
    <w:p w:rsidR="000063FB" w:rsidRPr="00E25DA2" w:rsidRDefault="00E25DA2">
      <w:pPr>
        <w:spacing w:before="6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25DA2">
        <w:rPr>
          <w:rFonts w:ascii="LMRoman10" w:hAnsi="LMRoman10"/>
          <w:color w:val="065F46"/>
          <w:sz w:val="18"/>
          <w:szCs w:val="18"/>
        </w:rPr>
        <w:t xml:space="preserve"> Déduplication : 1 entrée par concept, FAUX explicites avec </w:t>
      </w:r>
      <w:r w:rsidRPr="00E25DA2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E25DA2">
        <w:rPr>
          <w:rFonts w:ascii="LMRoman10" w:hAnsi="LMRoman10"/>
          <w:color w:val="065F46"/>
          <w:sz w:val="18"/>
          <w:szCs w:val="18"/>
        </w:rPr>
        <w:t>.</w:t>
      </w:r>
    </w:p>
    <w:p w:rsidR="000063FB" w:rsidRPr="00E25DA2" w:rsidRDefault="00E25DA2">
      <w:pPr>
        <w:spacing w:before="6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25DA2">
        <w:rPr>
          <w:rFonts w:ascii="LMRoman10" w:hAnsi="LMRoman10"/>
          <w:color w:val="065F46"/>
          <w:sz w:val="18"/>
          <w:szCs w:val="18"/>
        </w:rPr>
        <w:t xml:space="preserve"> Citations réelles (sessions présentes dans la banque) — aucune fabrication.</w:t>
      </w:r>
    </w:p>
    <w:p w:rsidR="000063FB" w:rsidRPr="00E25DA2" w:rsidRDefault="00E25DA2">
      <w:pPr>
        <w:spacing w:before="6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25DA2">
        <w:rPr>
          <w:rFonts w:ascii="LMRoman10" w:hAnsi="LMRoman10"/>
          <w:color w:val="065F46"/>
          <w:sz w:val="18"/>
          <w:szCs w:val="18"/>
        </w:rPr>
        <w:t xml:space="preserve"> Corrections fondées sur les clés</w:t>
      </w:r>
      <w:r w:rsidRPr="00E25DA2">
        <w:rPr>
          <w:rFonts w:ascii="LMRoman10" w:hAnsi="LMRoman10"/>
          <w:color w:val="065F46"/>
          <w:sz w:val="18"/>
          <w:szCs w:val="18"/>
        </w:rPr>
        <w:t xml:space="preserve"> officielles ; clés 'discutables' signalées.</w:t>
      </w:r>
    </w:p>
    <w:p w:rsidR="000063FB" w:rsidRPr="00E25DA2" w:rsidRDefault="00E25DA2">
      <w:pPr>
        <w:spacing w:before="6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25DA2">
        <w:rPr>
          <w:rFonts w:ascii="LMRoman10" w:hAnsi="LMRoman10"/>
          <w:color w:val="065F46"/>
          <w:sz w:val="18"/>
          <w:szCs w:val="18"/>
        </w:rPr>
        <w:t xml:space="preserve"> PARTIE 4 vide : aucune liste officielle de cours annulés 2026 fournie (disclaimer obligatoire).</w:t>
      </w:r>
    </w:p>
    <w:p w:rsidR="000063FB" w:rsidRPr="00E25DA2" w:rsidRDefault="00E25DA2">
      <w:pPr>
        <w:spacing w:before="6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25DA2">
        <w:rPr>
          <w:rFonts w:ascii="LMRoman10" w:hAnsi="LMRoman10"/>
          <w:color w:val="065F46"/>
          <w:sz w:val="18"/>
          <w:szCs w:val="18"/>
        </w:rPr>
        <w:t xml:space="preserve"> Notes taxonomiques : fusions de tags (Hépatites = 3 leçons ; malabsorption + cœliaque) explicitées.</w:t>
      </w:r>
    </w:p>
    <w:p w:rsidR="000063FB" w:rsidRPr="00E25DA2" w:rsidRDefault="00E25DA2">
      <w:pPr>
        <w:spacing w:before="60" w:after="60"/>
        <w:rPr>
          <w:rFonts w:ascii="LMRoman10" w:hAnsi="LMRoman10"/>
        </w:rPr>
      </w:pPr>
      <w:r w:rsidRPr="00E25DA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25DA2">
        <w:rPr>
          <w:rFonts w:ascii="LMRoman10" w:hAnsi="LMRoman10"/>
          <w:color w:val="065F46"/>
          <w:sz w:val="18"/>
          <w:szCs w:val="18"/>
        </w:rPr>
        <w:t xml:space="preserve"> Achalasie</w:t>
      </w:r>
      <w:r w:rsidRPr="00E25DA2">
        <w:rPr>
          <w:rFonts w:ascii="LMRoman10" w:hAnsi="LMRoman10"/>
          <w:color w:val="065F46"/>
          <w:sz w:val="18"/>
          <w:szCs w:val="18"/>
        </w:rPr>
        <w:t xml:space="preserve"> : présente en QE mais absente de la liste S6 fournie — signalée, traitée comme au programme.</w:t>
      </w:r>
      <w:bookmarkEnd w:id="0"/>
    </w:p>
    <w:sectPr w:rsidR="000063FB" w:rsidRPr="00E25DA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987FCE"/>
    <w:multiLevelType w:val="hybridMultilevel"/>
    <w:tmpl w:val="AEC8A108"/>
    <w:lvl w:ilvl="0" w:tplc="2B0E3B56">
      <w:start w:val="1"/>
      <w:numFmt w:val="bullet"/>
      <w:lvlText w:val="●"/>
      <w:lvlJc w:val="left"/>
      <w:pPr>
        <w:ind w:left="720" w:hanging="360"/>
      </w:pPr>
    </w:lvl>
    <w:lvl w:ilvl="1" w:tplc="E1004C74">
      <w:start w:val="1"/>
      <w:numFmt w:val="bullet"/>
      <w:lvlText w:val="○"/>
      <w:lvlJc w:val="left"/>
      <w:pPr>
        <w:ind w:left="1440" w:hanging="360"/>
      </w:pPr>
    </w:lvl>
    <w:lvl w:ilvl="2" w:tplc="519EAFEC">
      <w:start w:val="1"/>
      <w:numFmt w:val="bullet"/>
      <w:lvlText w:val="■"/>
      <w:lvlJc w:val="left"/>
      <w:pPr>
        <w:ind w:left="2160" w:hanging="360"/>
      </w:pPr>
    </w:lvl>
    <w:lvl w:ilvl="3" w:tplc="5E5EA68E">
      <w:start w:val="1"/>
      <w:numFmt w:val="bullet"/>
      <w:lvlText w:val="●"/>
      <w:lvlJc w:val="left"/>
      <w:pPr>
        <w:ind w:left="2880" w:hanging="360"/>
      </w:pPr>
    </w:lvl>
    <w:lvl w:ilvl="4" w:tplc="09F2C2BE">
      <w:start w:val="1"/>
      <w:numFmt w:val="bullet"/>
      <w:lvlText w:val="○"/>
      <w:lvlJc w:val="left"/>
      <w:pPr>
        <w:ind w:left="3600" w:hanging="360"/>
      </w:pPr>
    </w:lvl>
    <w:lvl w:ilvl="5" w:tplc="A1BE63B8">
      <w:start w:val="1"/>
      <w:numFmt w:val="bullet"/>
      <w:lvlText w:val="■"/>
      <w:lvlJc w:val="left"/>
      <w:pPr>
        <w:ind w:left="4320" w:hanging="360"/>
      </w:pPr>
    </w:lvl>
    <w:lvl w:ilvl="6" w:tplc="0A665182">
      <w:start w:val="1"/>
      <w:numFmt w:val="bullet"/>
      <w:lvlText w:val="●"/>
      <w:lvlJc w:val="left"/>
      <w:pPr>
        <w:ind w:left="5040" w:hanging="360"/>
      </w:pPr>
    </w:lvl>
    <w:lvl w:ilvl="7" w:tplc="5AEA2E08">
      <w:start w:val="1"/>
      <w:numFmt w:val="bullet"/>
      <w:lvlText w:val="●"/>
      <w:lvlJc w:val="left"/>
      <w:pPr>
        <w:ind w:left="5760" w:hanging="360"/>
      </w:pPr>
    </w:lvl>
    <w:lvl w:ilvl="8" w:tplc="71C0678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6541BAA"/>
    <w:multiLevelType w:val="hybridMultilevel"/>
    <w:tmpl w:val="21ECAD60"/>
    <w:lvl w:ilvl="0" w:tplc="CD56E864">
      <w:start w:val="1"/>
      <w:numFmt w:val="bullet"/>
      <w:lvlText w:val="•"/>
      <w:lvlJc w:val="left"/>
      <w:pPr>
        <w:ind w:left="720" w:hanging="360"/>
      </w:pPr>
    </w:lvl>
    <w:lvl w:ilvl="1" w:tplc="F8149DD4">
      <w:numFmt w:val="decimal"/>
      <w:lvlText w:val=""/>
      <w:lvlJc w:val="left"/>
    </w:lvl>
    <w:lvl w:ilvl="2" w:tplc="5A12CCCA">
      <w:numFmt w:val="decimal"/>
      <w:lvlText w:val=""/>
      <w:lvlJc w:val="left"/>
    </w:lvl>
    <w:lvl w:ilvl="3" w:tplc="11043CFE">
      <w:numFmt w:val="decimal"/>
      <w:lvlText w:val=""/>
      <w:lvlJc w:val="left"/>
    </w:lvl>
    <w:lvl w:ilvl="4" w:tplc="520E696C">
      <w:numFmt w:val="decimal"/>
      <w:lvlText w:val=""/>
      <w:lvlJc w:val="left"/>
    </w:lvl>
    <w:lvl w:ilvl="5" w:tplc="E7EE2496">
      <w:numFmt w:val="decimal"/>
      <w:lvlText w:val=""/>
      <w:lvlJc w:val="left"/>
    </w:lvl>
    <w:lvl w:ilvl="6" w:tplc="0C6CF39C">
      <w:numFmt w:val="decimal"/>
      <w:lvlText w:val=""/>
      <w:lvlJc w:val="left"/>
    </w:lvl>
    <w:lvl w:ilvl="7" w:tplc="385EEAD2">
      <w:numFmt w:val="decimal"/>
      <w:lvlText w:val=""/>
      <w:lvlJc w:val="left"/>
    </w:lvl>
    <w:lvl w:ilvl="8" w:tplc="2DBCEB8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3FB"/>
    <w:rsid w:val="000063FB"/>
    <w:rsid w:val="00E25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AFE5DD3-2D7B-4D2E-B6BD-AEF422627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-qe.online/" TargetMode="External"/><Relationship Id="rId13" Type="http://schemas.openxmlformats.org/officeDocument/2006/relationships/hyperlink" Target="https://www.e-qe.online/" TargetMode="External"/><Relationship Id="rId18" Type="http://schemas.openxmlformats.org/officeDocument/2006/relationships/hyperlink" Target="https://www.e-qe.online/" TargetMode="External"/><Relationship Id="rId26" Type="http://schemas.openxmlformats.org/officeDocument/2006/relationships/hyperlink" Target="https://www.e-qe.online/" TargetMode="External"/><Relationship Id="rId39" Type="http://schemas.openxmlformats.org/officeDocument/2006/relationships/hyperlink" Target="https://www.e-qe.online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e-qe.online/" TargetMode="External"/><Relationship Id="rId34" Type="http://schemas.openxmlformats.org/officeDocument/2006/relationships/hyperlink" Target="https://www.e-qe.online/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www.e-qe.online/" TargetMode="External"/><Relationship Id="rId12" Type="http://schemas.openxmlformats.org/officeDocument/2006/relationships/hyperlink" Target="https://www.e-qe.online/" TargetMode="External"/><Relationship Id="rId17" Type="http://schemas.openxmlformats.org/officeDocument/2006/relationships/hyperlink" Target="https://www.e-qe.online/" TargetMode="External"/><Relationship Id="rId25" Type="http://schemas.openxmlformats.org/officeDocument/2006/relationships/hyperlink" Target="https://www.e-qe.online/" TargetMode="External"/><Relationship Id="rId33" Type="http://schemas.openxmlformats.org/officeDocument/2006/relationships/hyperlink" Target="https://www.e-qe.online/" TargetMode="External"/><Relationship Id="rId38" Type="http://schemas.openxmlformats.org/officeDocument/2006/relationships/hyperlink" Target="https://www.e-qe.onlin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-qe.online/" TargetMode="External"/><Relationship Id="rId20" Type="http://schemas.openxmlformats.org/officeDocument/2006/relationships/hyperlink" Target="https://www.e-qe.online/" TargetMode="External"/><Relationship Id="rId29" Type="http://schemas.openxmlformats.org/officeDocument/2006/relationships/hyperlink" Target="https://www.e-qe.online/" TargetMode="External"/><Relationship Id="rId41" Type="http://schemas.openxmlformats.org/officeDocument/2006/relationships/hyperlink" Target="https://www.e-qe.online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-qe.online/" TargetMode="External"/><Relationship Id="rId11" Type="http://schemas.openxmlformats.org/officeDocument/2006/relationships/hyperlink" Target="https://www.e-qe.online/" TargetMode="External"/><Relationship Id="rId24" Type="http://schemas.openxmlformats.org/officeDocument/2006/relationships/hyperlink" Target="https://www.e-qe.online/" TargetMode="External"/><Relationship Id="rId32" Type="http://schemas.openxmlformats.org/officeDocument/2006/relationships/hyperlink" Target="https://www.e-qe.online/" TargetMode="External"/><Relationship Id="rId37" Type="http://schemas.openxmlformats.org/officeDocument/2006/relationships/hyperlink" Target="https://www.e-qe.online/" TargetMode="External"/><Relationship Id="rId40" Type="http://schemas.openxmlformats.org/officeDocument/2006/relationships/hyperlink" Target="https://www.e-qe.online/" TargetMode="External"/><Relationship Id="rId5" Type="http://schemas.openxmlformats.org/officeDocument/2006/relationships/hyperlink" Target="https://www.e-qe.online/" TargetMode="External"/><Relationship Id="rId15" Type="http://schemas.openxmlformats.org/officeDocument/2006/relationships/hyperlink" Target="https://www.e-qe.online/" TargetMode="External"/><Relationship Id="rId23" Type="http://schemas.openxmlformats.org/officeDocument/2006/relationships/hyperlink" Target="https://www.e-qe.online/" TargetMode="External"/><Relationship Id="rId28" Type="http://schemas.openxmlformats.org/officeDocument/2006/relationships/hyperlink" Target="https://www.e-qe.online/" TargetMode="External"/><Relationship Id="rId36" Type="http://schemas.openxmlformats.org/officeDocument/2006/relationships/hyperlink" Target="https://www.e-qe.online/" TargetMode="External"/><Relationship Id="rId10" Type="http://schemas.openxmlformats.org/officeDocument/2006/relationships/hyperlink" Target="https://www.e-qe.online/" TargetMode="External"/><Relationship Id="rId19" Type="http://schemas.openxmlformats.org/officeDocument/2006/relationships/hyperlink" Target="https://www.e-qe.online/" TargetMode="External"/><Relationship Id="rId31" Type="http://schemas.openxmlformats.org/officeDocument/2006/relationships/hyperlink" Target="https://www.e-qe.onlin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-qe.online/" TargetMode="External"/><Relationship Id="rId14" Type="http://schemas.openxmlformats.org/officeDocument/2006/relationships/hyperlink" Target="https://www.e-qe.online/" TargetMode="External"/><Relationship Id="rId22" Type="http://schemas.openxmlformats.org/officeDocument/2006/relationships/hyperlink" Target="https://www.e-qe.online/" TargetMode="External"/><Relationship Id="rId27" Type="http://schemas.openxmlformats.org/officeDocument/2006/relationships/hyperlink" Target="https://www.e-qe.online/" TargetMode="External"/><Relationship Id="rId30" Type="http://schemas.openxmlformats.org/officeDocument/2006/relationships/hyperlink" Target="https://www.e-qe.online/" TargetMode="External"/><Relationship Id="rId35" Type="http://schemas.openxmlformats.org/officeDocument/2006/relationships/hyperlink" Target="https://www.e-qe.online/" TargetMode="External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6710</Words>
  <Characters>38253</Characters>
  <Application>Microsoft Office Word</Application>
  <DocSecurity>0</DocSecurity>
  <Lines>318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GASTRO-ENTÉROLOGIE &amp; CHIRURGIE VISCÉRALE - QE Haute Fréquence</vt:lpstr>
    </vt:vector>
  </TitlesOfParts>
  <Company/>
  <LinksUpToDate>false</LinksUpToDate>
  <CharactersWithSpaces>44874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GASTRO-ENTÉROLOGIE &amp; CHIRURGIE VISCÉRALE - QE Haute Fréquence</dc:title>
  <dc:creator>Claude.ai</dc:creator>
  <dc:description>Generated by qe-analysis skill</dc:description>
  <cp:lastModifiedBy>tool</cp:lastModifiedBy>
  <cp:revision>2</cp:revision>
  <cp:lastPrinted>2026-06-13T22:49:00Z</cp:lastPrinted>
  <dcterms:created xsi:type="dcterms:W3CDTF">2026-06-12T13:42:00Z</dcterms:created>
  <dcterms:modified xsi:type="dcterms:W3CDTF">2026-06-13T22:49:00Z</dcterms:modified>
</cp:coreProperties>
</file>