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4AB4" w:rsidRPr="004C7FEE" w:rsidRDefault="004C7FEE">
      <w:pPr>
        <w:spacing w:after="100"/>
        <w:jc w:val="center"/>
        <w:rPr>
          <w:rFonts w:ascii="LMRoman10" w:hAnsi="LMRoman10"/>
        </w:rPr>
      </w:pPr>
      <w:bookmarkStart w:id="0" w:name="_GoBack"/>
      <w:r w:rsidRPr="004C7FEE">
        <w:rPr>
          <w:rFonts w:ascii="LMRoman10" w:hAnsi="LMRoman10"/>
          <w:b/>
          <w:bCs/>
          <w:color w:val="1F3A5F"/>
          <w:sz w:val="44"/>
          <w:szCs w:val="44"/>
        </w:rPr>
        <w:t>HÉMATOLOGIE-ONCOLOGIE</w:t>
      </w:r>
    </w:p>
    <w:p w:rsidR="009C4AB4" w:rsidRPr="004C7FEE" w:rsidRDefault="004C7FEE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30"/>
          <w:szCs w:val="30"/>
        </w:rPr>
        <w:t>Fiches QE Haute Fréquence — Concours / Examen 2026 — Version 1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</w:rPr>
        <w:t>Cross-match : 600 QEs officielles (2019→2025) × Cours AIO Hémato (614 p.) + Onco (659 p.)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000000"/>
          <w:sz w:val="18"/>
          <w:szCs w:val="18"/>
        </w:rPr>
        <w:t>Pr Raissi · Pr Lahlimi · Pr El Fadli · Pr El Omrani · Pr Essadi — FMPM</w:t>
      </w:r>
    </w:p>
    <w:p w:rsidR="009C4AB4" w:rsidRPr="004C7FEE" w:rsidRDefault="004C7FE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</w:rPr>
        <w:t>Classement basé sur la fréquence réelle dans 600 QEs (12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9C4AB4" w:rsidRPr="004C7F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anémies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 (Pr Raissi &amp; coll.)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Radiothérapie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Omrani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leucémies (LA · LMC · LLC)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Raissi / Pr Lahlimi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Chimiothérapie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Essadi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lymphomes (Hodgkin · LMNH)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Lahlimi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Douleur et Cancer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Fadli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Épidémiologie des cancers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Omrani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Hormonothérapie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Omrani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Purpura Thrombopénique Immunologique (PTI)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Thérapies ciblées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Essadi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Transfusion sanguine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Myélome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Lahlimi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Aplasie médullaire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Polyglobulie de Vaquez (SMP Phi-)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Hémophilie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Hématologie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CIVD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Raissi (Urgences hémato)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Urgences en oncologie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Fadli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Transversal / Reconnaissance hématologique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Diagnostic et bilan d'extension des cancers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Pr El Fadli</w:t>
            </w:r>
          </w:p>
        </w:tc>
      </w:tr>
    </w:tbl>
    <w:p w:rsidR="009C4AB4" w:rsidRPr="004C7FEE" w:rsidRDefault="004C7FEE">
      <w:pPr>
        <w:rPr>
          <w:rFonts w:ascii="LMRoman10" w:hAnsi="LMRoman10"/>
        </w:rPr>
      </w:pPr>
      <w:r w:rsidRPr="004C7FEE">
        <w:rPr>
          <w:rFonts w:ascii="LMRoman10" w:hAnsi="LMRoman10"/>
        </w:rPr>
        <w:br w:type="page"/>
      </w:r>
    </w:p>
    <w:p w:rsidR="009C4AB4" w:rsidRPr="004C7FEE" w:rsidRDefault="004C7FE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</w:rPr>
        <w:t>Statistiques calculées sur 12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9C4AB4" w:rsidRPr="004C7F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anémies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85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14.2%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Radiothérapie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56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9.3%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leucémies (LA · LMC · LLC)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55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4.58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9.2%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Chimiothérapie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52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Les lymphomes (Hodgkin · LMNH)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7.3%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Douleur et Cancer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5.3%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Épidémiologie des cancers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Hormonothérapie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4.8%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Purpura Thrombopénique Immunologique (PTI)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Thérapies ciblées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4.5%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Transfusion sanguine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Myélome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4.2%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Aplasie médullaire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Polyglobulie de Vaquez (SMP Phi-)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Hémophilie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CIVD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Urgences en oncologie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Transversal / Reconnaissance hématologique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Diagnostic et bilan d'extension des cancers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(programme 2026)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600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jc w:val="center"/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9C4AB4" w:rsidRPr="004C7FEE" w:rsidRDefault="004C7FEE">
      <w:pPr>
        <w:rPr>
          <w:rFonts w:ascii="LMRoman10" w:hAnsi="LMRoman10"/>
        </w:rPr>
      </w:pPr>
      <w:r w:rsidRPr="004C7FEE">
        <w:rPr>
          <w:rFonts w:ascii="LMRoman10" w:hAnsi="LMRoman10"/>
        </w:rPr>
        <w:br w:type="page"/>
      </w:r>
    </w:p>
    <w:p w:rsidR="009C4AB4" w:rsidRPr="004C7FEE" w:rsidRDefault="004C7FE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</w:rPr>
        <w:t>Format : faits (-) / pièges (</w:t>
      </w:r>
      <w:r w:rsidRPr="004C7FEE">
        <w:rPr>
          <w:rFonts w:ascii="Segoe UI Symbol" w:hAnsi="Segoe UI Symbol" w:cs="Segoe UI Symbol"/>
          <w:i/>
          <w:iCs/>
          <w:color w:val="000000"/>
        </w:rPr>
        <w:t>⚠</w:t>
      </w:r>
      <w:r w:rsidRPr="004C7FEE">
        <w:rPr>
          <w:rFonts w:ascii="LMRoman10" w:hAnsi="LMRoman10"/>
          <w:i/>
          <w:iCs/>
          <w:color w:val="000000"/>
        </w:rPr>
        <w:t>) / source (</w:t>
      </w:r>
      <w:r w:rsidRPr="004C7FEE">
        <w:rPr>
          <w:rFonts w:ascii="Segoe UI Symbol" w:hAnsi="Segoe UI Symbol" w:cs="Segoe UI Symbol"/>
          <w:i/>
          <w:iCs/>
          <w:color w:val="000000"/>
        </w:rPr>
        <w:t>📖</w:t>
      </w:r>
      <w:r w:rsidRPr="004C7FEE">
        <w:rPr>
          <w:rFonts w:ascii="LMRoman10" w:hAnsi="LMRoman10"/>
          <w:i/>
          <w:iCs/>
          <w:color w:val="000000"/>
        </w:rPr>
        <w:t>) / lien cours (</w:t>
      </w:r>
      <w:r w:rsidRPr="004C7FEE">
        <w:rPr>
          <w:rFonts w:ascii="Segoe UI Symbol" w:hAnsi="Segoe UI Symbol" w:cs="Segoe UI Symbol"/>
          <w:i/>
          <w:iCs/>
          <w:color w:val="000000"/>
        </w:rPr>
        <w:t>📎</w:t>
      </w:r>
      <w:r w:rsidRPr="004C7FEE">
        <w:rPr>
          <w:rFonts w:ascii="LMRoman10" w:hAnsi="LMRoman10"/>
          <w:i/>
          <w:iCs/>
          <w:color w:val="000000"/>
        </w:rPr>
        <w:t>) / citations (</w:t>
      </w:r>
      <w:r w:rsidRPr="004C7FEE">
        <w:rPr>
          <w:rFonts w:ascii="Segoe UI Symbol" w:hAnsi="Segoe UI Symbol" w:cs="Segoe UI Symbol"/>
          <w:i/>
          <w:iCs/>
          <w:color w:val="000000"/>
        </w:rPr>
        <w:t>📋</w:t>
      </w:r>
      <w:r w:rsidRPr="004C7FEE">
        <w:rPr>
          <w:rFonts w:ascii="LMRoman10" w:hAnsi="LMRoman10"/>
          <w:i/>
          <w:iCs/>
          <w:color w:val="000000"/>
        </w:rPr>
        <w:t>)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1] LES ANÉMIES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(Pr Raissi &amp; coll.)  •  ~7,1 Q/examen  ·  85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t>📖</w:t>
      </w:r>
      <w:r w:rsidRPr="004C7FEE">
        <w:rPr>
          <w:rFonts w:ascii="LMRoman10" w:hAnsi="LMRoman10"/>
          <w:i/>
          <w:iCs/>
          <w:color w:val="404040"/>
        </w:rPr>
        <w:t xml:space="preserve"> Classification morphologique : microcytaire (VGM↓) / normocytaire / macrocytaire ; régénérative vs arégénérative (réticulocytes).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5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6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 microcytaire / carence martiale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Devant une anémie hypochrome microcytaire, l'examen INDISPENSABLE en 1re intention est la FERRITINÉMIE (reflet des réserves) — pas le fer sérique, pas la B12.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Critère d'ARRÊT du traitement martial </w:t>
      </w:r>
      <w:r w:rsidRPr="004C7FEE">
        <w:rPr>
          <w:rFonts w:ascii="LMRoman10" w:hAnsi="LMRoman10"/>
        </w:rPr>
        <w:t>= NORMALISATION de la ferritinémie (la ferritine est le dernier paramètre à se corriger).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Anémie ferriprive chez une femme jeune réglée = carence par spoliation menstruelle ; prise en charge = corriger le fer JUSQU'À normalisation de la ferritine + bilan é</w:t>
      </w:r>
      <w:r w:rsidRPr="004C7FEE">
        <w:rPr>
          <w:rFonts w:ascii="LMRoman10" w:hAnsi="LMRoman10"/>
        </w:rPr>
        <w:t>tiologique (gynéco ± digestif), pas de transfusion d'emblée.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Étiologies d'une microcytaire hypochrome : carence martiale, thalassémie, anémie inflammatoire.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Ne pas transfuser en urgence une ferriprive bien tolérée : on traite la cause + supplémentation o</w:t>
      </w:r>
      <w:r w:rsidRPr="004C7FEE">
        <w:rPr>
          <w:rFonts w:ascii="LMRoman10" w:hAnsi="LMRoman10"/>
          <w:i/>
          <w:iCs/>
          <w:color w:val="B45309"/>
        </w:rPr>
        <w:t>rale.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ferritine = 1er examen / critère d'arrêt — N2019 Q13-16, R2019 Q9, N2025 Q15-16 ; drépanocytose électrophorèse Hb ×4 (N2019 Q16, N2020 Q4, N2021 Q6, Oct2024 Q24).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 macrocytaire / mégaloblastique (carence B12-folates)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Le caractère MÉGALOBLASTIQUE repose sur le FROTTIS / MYÉLOGRAMME (mégaloblastes médullaires), pas sur le VGM seul.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Tableau « macrocytaire arégénérative + paresthésies/troubles neuro » → carence en vitamine B12 (syndrome neuro-anémique).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Diagnostic suspecté</w:t>
      </w:r>
      <w:r w:rsidRPr="004C7FEE">
        <w:rPr>
          <w:rFonts w:ascii="LMRoman10" w:hAnsi="LMRoman10"/>
        </w:rPr>
        <w:t xml:space="preserve"> à l'hémogramme, CONFIRMÉ par le dosage de la vitamine B12.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Durée du traitement d'une anémie par carence en B12 = traitement À VIE (si cause non curable, ex. Biermer).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Contradiction inter-sessions sur la VOIE : N2024 admet la supplémentation B12 PAR VOIE</w:t>
      </w:r>
      <w:r w:rsidRPr="004C7FEE">
        <w:rPr>
          <w:rFonts w:ascii="LMRoman10" w:hAnsi="LMRoman10"/>
          <w:i/>
          <w:iCs/>
          <w:color w:val="B45309"/>
        </w:rPr>
        <w:t xml:space="preserve"> ORALE comme possible/juste (N2024 Q14 → E vrai ; N2024 Q15 → E vrai), alors que R2024 marque la MÊME affirmation « traitement basé sur la supplémentation orale » comme FAUSSE (R2024, E exclu). EBM : la voie parentérale/IM reste la référence classique, mai</w:t>
      </w:r>
      <w:r w:rsidRPr="004C7FEE">
        <w:rPr>
          <w:rFonts w:ascii="LMRoman10" w:hAnsi="LMRoman10"/>
          <w:i/>
          <w:iCs/>
          <w:color w:val="B45309"/>
        </w:rPr>
        <w:t>s l'oral à forte dose est validé dans de nombreux cas. → Retenir la version de l'énoncé de l'année.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B12 « à vie » ×3 (R2019 Q14, N2021 Q18, Oct2024 Q20) ; macrocytaire+paresthésies = B12 ×4 (N2020 Q2, N2021 Q7, Nov2024 Q22, Oct2024 Q29).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Hémoglobin</w:t>
      </w: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opathies (drépanocytose · thalassémies)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Examen INDISPENSABLE au diagnostic de drépanocytose ET des thalassémies = ÉLECTROPHORÈSE DE L'HÉMOGLOBINE (pas l'électrophorèse des protides, pas le myélogramme).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Thalassémie hétérozygote = trait thalassémique → pseu</w:t>
      </w:r>
      <w:r w:rsidRPr="004C7FEE">
        <w:rPr>
          <w:rFonts w:ascii="LMRoman10" w:hAnsi="LMRoman10"/>
        </w:rPr>
        <w:t>do-polyglobulie microcytaire (GR↑, VGM↓), souvent sans traitement.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Courier New" w:hAnsi="Courier New" w:cs="Courier New"/>
        </w:rPr>
        <w:t>α</w:t>
      </w:r>
      <w:r w:rsidRPr="004C7FEE">
        <w:rPr>
          <w:rFonts w:ascii="LMRoman10" w:hAnsi="LMRoman10"/>
        </w:rPr>
        <w:t>-thalass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mies : d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l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tion des 4 g</w:t>
      </w:r>
      <w:r w:rsidRPr="004C7FEE">
        <w:rPr>
          <w:rFonts w:ascii="LMRoman10" w:hAnsi="LMRoman10" w:cs="LMRoman10"/>
        </w:rPr>
        <w:t>è</w:t>
      </w:r>
      <w:r w:rsidRPr="004C7FEE">
        <w:rPr>
          <w:rFonts w:ascii="LMRoman10" w:hAnsi="LMRoman10"/>
        </w:rPr>
        <w:t xml:space="preserve">nes </w:t>
      </w:r>
      <w:r w:rsidRPr="004C7FEE">
        <w:rPr>
          <w:rFonts w:ascii="Courier New" w:hAnsi="Courier New" w:cs="Courier New"/>
        </w:rPr>
        <w:t>α</w:t>
      </w:r>
      <w:r w:rsidRPr="004C7FEE">
        <w:rPr>
          <w:rFonts w:ascii="LMRoman10" w:hAnsi="LMRoman10"/>
        </w:rPr>
        <w:t xml:space="preserve"> = Hydrops f</w:t>
      </w:r>
      <w:r w:rsidRPr="004C7FEE">
        <w:rPr>
          <w:rFonts w:ascii="LMRoman10" w:hAnsi="LMRoman10" w:cs="LMRoman10"/>
        </w:rPr>
        <w:t>œ</w:t>
      </w:r>
      <w:r w:rsidRPr="004C7FEE">
        <w:rPr>
          <w:rFonts w:ascii="LMRoman10" w:hAnsi="LMRoman10"/>
        </w:rPr>
        <w:t>talis (mort f</w:t>
      </w:r>
      <w:r w:rsidRPr="004C7FEE">
        <w:rPr>
          <w:rFonts w:ascii="LMRoman10" w:hAnsi="LMRoman10" w:cs="LMRoman10"/>
        </w:rPr>
        <w:t>œ</w:t>
      </w:r>
      <w:r w:rsidRPr="004C7FEE">
        <w:rPr>
          <w:rFonts w:ascii="LMRoman10" w:hAnsi="LMRoman10"/>
        </w:rPr>
        <w:t>tale) ; d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l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tion de 3 g</w:t>
      </w:r>
      <w:r w:rsidRPr="004C7FEE">
        <w:rPr>
          <w:rFonts w:ascii="LMRoman10" w:hAnsi="LMRoman10" w:cs="LMRoman10"/>
        </w:rPr>
        <w:t>è</w:t>
      </w:r>
      <w:r w:rsidRPr="004C7FEE">
        <w:rPr>
          <w:rFonts w:ascii="LMRoman10" w:hAnsi="LMRoman10"/>
        </w:rPr>
        <w:t>nes = h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moglobinose H.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récurrent : la crise vaso-occlusive / syndrome pied-main n'est PAS u</w:t>
      </w:r>
      <w:r w:rsidRPr="004C7FEE">
        <w:rPr>
          <w:rFonts w:ascii="LMRoman10" w:hAnsi="LMRoman10"/>
          <w:i/>
          <w:iCs/>
          <w:color w:val="B45309"/>
        </w:rPr>
        <w:t>ne manifestation de la thalassémie mais de la DRÉPANOCYTOSE (×5).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 xml:space="preserve">Maladie de Cooley = </w:t>
      </w:r>
      <w:r w:rsidRPr="004C7FEE">
        <w:rPr>
          <w:rFonts w:ascii="Courier New" w:hAnsi="Courier New" w:cs="Courier New"/>
          <w:i/>
          <w:iCs/>
          <w:color w:val="B45309"/>
        </w:rPr>
        <w:t>β</w:t>
      </w:r>
      <w:r w:rsidRPr="004C7FEE">
        <w:rPr>
          <w:rFonts w:ascii="LMRoman10" w:hAnsi="LMRoman10"/>
          <w:i/>
          <w:iCs/>
          <w:color w:val="B45309"/>
        </w:rPr>
        <w:t>-thalass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 xml:space="preserve">mie MAJEURE homozygote, </w:t>
      </w:r>
      <w:r w:rsidRPr="004C7FEE">
        <w:rPr>
          <w:rFonts w:ascii="LMRoman10" w:hAnsi="LMRoman10" w:cs="LMRoman10"/>
          <w:i/>
          <w:iCs/>
          <w:color w:val="B45309"/>
        </w:rPr>
        <w:t>à</w:t>
      </w:r>
      <w:r w:rsidRPr="004C7FEE">
        <w:rPr>
          <w:rFonts w:ascii="LMRoman10" w:hAnsi="LMRoman10"/>
          <w:i/>
          <w:iCs/>
          <w:color w:val="B45309"/>
        </w:rPr>
        <w:t xml:space="preserve"> ne pas confondre avec le trait h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>t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>rozygote.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électrophorèse Hb (drépano) ×4 ; thalassémie hétérozygote N2024 Q10.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Anémies hé</w:t>
      </w: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molytiques constitutionnelles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Sphérocytose héréditaire (maladie de Minkowski-Chauffard) = anomalie de MEMBRANE du GR ; triade ictère néonatal / splénomégalie / lithiase biliaire pigmentaire ; traitement curatif = SPLÉNECTOMIE ; réticulocytose élevée (régén</w:t>
      </w:r>
      <w:r w:rsidRPr="004C7FEE">
        <w:rPr>
          <w:rFonts w:ascii="LMRoman10" w:hAnsi="LMRoman10"/>
        </w:rPr>
        <w:t>érative).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Déficit en G6PD (favisme) = transmission liée à l'X, hémolyse déclenchée par oxydants (fèves, médicaments).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La supplémentation en folates est un traitement adjuvant des hémolyses chroniques, pas le traitement de fond de la sphérocytose (qui est la splénectomie).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sphérocytose membrane/splénectomie/réticulocytes — R2019 Q22, N2020 Q9, N2021.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2] RADIO</w:t>
      </w:r>
      <w:r w:rsidRPr="004C7FEE">
        <w:rPr>
          <w:rFonts w:ascii="LMRoman10" w:hAnsi="LMRoman10"/>
        </w:rPr>
        <w:t>THÉRAPIE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Omrani  •  ~4,7 Q/examen  ·  56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7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N2022 (e-qe.online) : </w:t>
      </w:r>
      <w:hyperlink r:id="rId8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Appareillage &amp; techniques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Accélérateur LINÉAIRE (LINAC) = production de faisceaux de haute énergie (photons/électrons)</w:t>
      </w:r>
      <w:r w:rsidRPr="004C7FEE">
        <w:rPr>
          <w:rFonts w:ascii="LMRoman10" w:hAnsi="LMRoman10"/>
        </w:rPr>
        <w:t xml:space="preserve"> À VISÉE THÉRAPEUTIQUE (irradiation externe).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Le SIMULATEUR = appareil de RADIODIAGNOSTIC servant au repérage / positionnement / définition des volumes, PAS au traitement.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Curiethérapie (brachythérapie) = source radioactive AU CONTACT/dans la tumeur : inte</w:t>
      </w:r>
      <w:r w:rsidRPr="004C7FEE">
        <w:rPr>
          <w:rFonts w:ascii="LMRoman10" w:hAnsi="LMRoman10"/>
        </w:rPr>
        <w:t>rstitielle (prostate, sein) ou endocavitaire (col utérin).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majeur (×5) : le simulateur n'irradie pas le patient à visée curative — c'est un outil d'imagerie/repérage.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un simulateur » ×5 (R2019 Q48, N2022 Q34, Nov2024 Q33, Oct2024 Q31, R20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24 Q33) ; « accélérateurs linéaires » ×4 (N2019 Q47, R2019 Q49, N2020 Q47, N2025 Q33).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Effets secondaires : aigus vs tardifs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Effets AIGUS : pendant/juste après l'irradiation, RÉVERSIBLES (mucite, radioépidermite, « mal des rayons ») — liés à l'atteinte des</w:t>
      </w:r>
      <w:r w:rsidRPr="004C7FEE">
        <w:rPr>
          <w:rFonts w:ascii="LMRoman10" w:hAnsi="LMRoman10"/>
        </w:rPr>
        <w:t xml:space="preserve"> tissus à renouvellement rapide.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Effets TARDIFS/séquelles : &gt; 6 mois, IRRÉVERSIBLES (fibrose, sténoses, nécrose, cancers radio-induits) — liés aux tissus à renouvellement lent.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Ne pas classer les séquelles tardives (fibrose, cancer radio-induit) parmi le</w:t>
      </w:r>
      <w:r w:rsidRPr="004C7FEE">
        <w:rPr>
          <w:rFonts w:ascii="LMRoman10" w:hAnsi="LMRoman10"/>
          <w:i/>
          <w:iCs/>
          <w:color w:val="B45309"/>
        </w:rPr>
        <w:t>s effets aigus réversibles.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séquelles de la radiothérapie externe ×4 (N2019 Q49, R2019 Q45, N2020 Q48, R2022 Q32).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Curiethérapie par localisation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Cancer de la PROSTATE → curiethérapie INTERSTITIELLE (implants).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Cancer du SEIN → curiethérapie inters</w:t>
      </w:r>
      <w:r w:rsidRPr="004C7FEE">
        <w:rPr>
          <w:rFonts w:ascii="LMRoman10" w:hAnsi="LMRoman10"/>
        </w:rPr>
        <w:t>titielle (boost).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Cancer du COL utérin → curiethérapie ENDOCAVITAIRE (applicateurs intra-utérins/vaginaux).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curiethérapie prostate ×4 (R2019 Q46, N2021 Q34, N2022 Q32, N2024 Q48) ; sein ×4 (R2019 Q47, N2022 Q31, Nov2024 Q31, R2024 Q31).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3] LE</w:t>
      </w:r>
      <w:r w:rsidRPr="004C7FEE">
        <w:rPr>
          <w:rFonts w:ascii="LMRoman10" w:hAnsi="LMRoman10"/>
        </w:rPr>
        <w:t>S LEUCÉMIES (LA · LMC · LLC)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Raissi / Pr Lahlimi  •  ~4,6 Q/examen  ·  55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lastRenderedPageBreak/>
        <w:t>📖</w:t>
      </w:r>
      <w:r w:rsidRPr="004C7FEE">
        <w:rPr>
          <w:rFonts w:ascii="LMRoman10" w:hAnsi="LMRoman10"/>
          <w:i/>
          <w:iCs/>
          <w:color w:val="404040"/>
        </w:rPr>
        <w:t xml:space="preserve"> LA : </w:t>
      </w:r>
      <w:r w:rsidRPr="004C7FEE">
        <w:rPr>
          <w:rFonts w:ascii="Courier New" w:hAnsi="Courier New" w:cs="Courier New"/>
          <w:i/>
          <w:iCs/>
          <w:color w:val="404040"/>
        </w:rPr>
        <w:t>≥</w:t>
      </w:r>
      <w:r w:rsidRPr="004C7FEE">
        <w:rPr>
          <w:rFonts w:ascii="LMRoman10" w:hAnsi="LMRoman10"/>
          <w:i/>
          <w:iCs/>
          <w:color w:val="404040"/>
        </w:rPr>
        <w:t xml:space="preserve"> 20 % de blastes m</w:t>
      </w:r>
      <w:r w:rsidRPr="004C7FEE">
        <w:rPr>
          <w:rFonts w:ascii="LMRoman10" w:hAnsi="LMRoman10" w:cs="LMRoman10"/>
          <w:i/>
          <w:iCs/>
          <w:color w:val="404040"/>
        </w:rPr>
        <w:t>é</w:t>
      </w:r>
      <w:r w:rsidRPr="004C7FEE">
        <w:rPr>
          <w:rFonts w:ascii="LMRoman10" w:hAnsi="LMRoman10"/>
          <w:i/>
          <w:iCs/>
          <w:color w:val="404040"/>
        </w:rPr>
        <w:t>dullaires (OMS). LMC : syndrome my</w:t>
      </w:r>
      <w:r w:rsidRPr="004C7FEE">
        <w:rPr>
          <w:rFonts w:ascii="LMRoman10" w:hAnsi="LMRoman10" w:cs="LMRoman10"/>
          <w:i/>
          <w:iCs/>
          <w:color w:val="404040"/>
        </w:rPr>
        <w:t>é</w:t>
      </w:r>
      <w:r w:rsidRPr="004C7FEE">
        <w:rPr>
          <w:rFonts w:ascii="LMRoman10" w:hAnsi="LMRoman10"/>
          <w:i/>
          <w:iCs/>
          <w:color w:val="404040"/>
        </w:rPr>
        <w:t>loprolif</w:t>
      </w:r>
      <w:r w:rsidRPr="004C7FEE">
        <w:rPr>
          <w:rFonts w:ascii="LMRoman10" w:hAnsi="LMRoman10" w:cs="LMRoman10"/>
          <w:i/>
          <w:iCs/>
          <w:color w:val="404040"/>
        </w:rPr>
        <w:t>é</w:t>
      </w:r>
      <w:r w:rsidRPr="004C7FEE">
        <w:rPr>
          <w:rFonts w:ascii="LMRoman10" w:hAnsi="LMRoman10"/>
          <w:i/>
          <w:iCs/>
          <w:color w:val="404040"/>
        </w:rPr>
        <w:t>ratif BCR-ABL+. LLC : prolif</w:t>
      </w:r>
      <w:r w:rsidRPr="004C7FEE">
        <w:rPr>
          <w:rFonts w:ascii="LMRoman10" w:hAnsi="LMRoman10" w:cs="LMRoman10"/>
          <w:i/>
          <w:iCs/>
          <w:color w:val="404040"/>
        </w:rPr>
        <w:t>é</w:t>
      </w:r>
      <w:r w:rsidRPr="004C7FEE">
        <w:rPr>
          <w:rFonts w:ascii="LMRoman10" w:hAnsi="LMRoman10"/>
          <w:i/>
          <w:iCs/>
          <w:color w:val="404040"/>
        </w:rPr>
        <w:t>ration lympho</w:t>
      </w:r>
      <w:r w:rsidRPr="004C7FEE">
        <w:rPr>
          <w:rFonts w:ascii="LMRoman10" w:hAnsi="LMRoman10" w:cs="LMRoman10"/>
          <w:i/>
          <w:iCs/>
          <w:color w:val="404040"/>
        </w:rPr>
        <w:t>ï</w:t>
      </w:r>
      <w:r w:rsidRPr="004C7FEE">
        <w:rPr>
          <w:rFonts w:ascii="LMRoman10" w:hAnsi="LMRoman10"/>
          <w:i/>
          <w:iCs/>
          <w:color w:val="404040"/>
        </w:rPr>
        <w:t>de B mature, stadification Binet (A/B/C).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9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10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Leucémie myéloïde chronique (LMC)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LMC = chromosome Philadelphie t(9;22) → gène </w:t>
      </w:r>
      <w:r w:rsidRPr="004C7FEE">
        <w:rPr>
          <w:rFonts w:ascii="LMRoman10" w:hAnsi="LMRoman10"/>
        </w:rPr>
        <w:t>de fusion BCR-ABL ; diagnostic confirmé par le CARYOTYPE/biologie moléculaire.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Tableau typique : splénomégalie + hyperleucocytose avec MYÉLÉMIE équilibrée sans excès de blastes (phase chronique).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Traitement de 1re intention = INHIBITEURS DE TYROSINE KINASE</w:t>
      </w:r>
      <w:r w:rsidRPr="004C7FEE">
        <w:rPr>
          <w:rFonts w:ascii="LMRoman10" w:hAnsi="LMRoman10"/>
        </w:rPr>
        <w:t xml:space="preserve"> (imatinib/ITK) → permet la guérison/rémission moléculaire profonde.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Un priapisme ou une leucostase peut révéler une LMC/LA hyperleucocytaire — urgence.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ITK 1re intention/guérison ×3 (R2019 Q4, Nov2024 Q30, Oct2024 Q9) + N2019 Q19, R2022 Q12 ; ca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s LMC N2025 Q17.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Leucémie lymphoïde chronique (LLC)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LLC : diagnostic = hémogramme (hyperlymphocytose) + IMMUNOPHÉNOTYPAGE (score de Matutes).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Stade Binet A = ABSTENTION thérapeutique + surveillance.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Complication redoutée = syndrome de RICHTER (transformation en lymphome agressif).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Syndrome de Richter = complication de la LLC (piège répété ×4, classé ailleurs dans certaines sessions).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Richter = LLC ×4 (N2019 Q10, N2021 Q5, R2022 Q29, Oct2024 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Q21).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Leucémies aiguës (LAM · LAL)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Diagnostic de LA = présence de BLASTES en excès au MYÉLOGRAMME (</w:t>
      </w:r>
      <w:r w:rsidRPr="004C7FEE">
        <w:rPr>
          <w:rFonts w:ascii="Courier New" w:hAnsi="Courier New" w:cs="Courier New"/>
        </w:rPr>
        <w:t>≥</w:t>
      </w:r>
      <w:r w:rsidRPr="004C7FEE">
        <w:rPr>
          <w:rFonts w:ascii="LMRoman10" w:hAnsi="LMRoman10"/>
        </w:rPr>
        <w:t xml:space="preserve"> 20 %).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Corps/bâtonnets d'AUER = signature de la lignée MYÉLOÏDE (LAM).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LAL = la plus fréquente chez l'ENFANT ; sanctuaires = SNC et testicules.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Deux examen</w:t>
      </w:r>
      <w:r w:rsidRPr="004C7FEE">
        <w:rPr>
          <w:rFonts w:ascii="LMRoman10" w:hAnsi="LMRoman10"/>
        </w:rPr>
        <w:t>s indispensables au diagnostic d'une LA = hémogramme + myélogramme.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LAM3 (promyélocytaire) = recherche SYSTÉMATIQUE d'une CIVD (cf. chapitre CIVD).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bâtonnets d'Auer = LAM ×3 (N2021 Q3, Nov2024 Q29, Oct2024 Q8) ; examens dgc LA (R2019 Q13, Oct2024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Q18) ; LA la + fréquente chez l'enfant (N2020 Q29, N2021 Q24).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4] CHIMIOTHÉRAPIE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Essadi  •  ~4,3 Q/examen  ·  52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11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12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Principes généraux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La chimiothérapie est un traitement SYSTÉMIQUE, non spécifique, agissant sur les cellules en DIVISION (tumorales ET saines → toxicité).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Modalités : NÉOADJUVANTE (avant chirurgie, réduire la tumeur) / ADJUVANTE (après, détruire la maladie micrométastatique)</w:t>
      </w:r>
      <w:r w:rsidRPr="004C7FEE">
        <w:rPr>
          <w:rFonts w:ascii="LMRoman10" w:hAnsi="LMRoman10"/>
        </w:rPr>
        <w:t xml:space="preserve"> / palliative.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But de la chimio adjuvante = éradiquer les micrométastases et diminuer le risque de rechute.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 xml:space="preserve">« Adjuvante » </w:t>
      </w:r>
      <w:r w:rsidRPr="004C7FEE">
        <w:rPr>
          <w:rFonts w:ascii="Courier New" w:hAnsi="Courier New" w:cs="Courier New"/>
          <w:i/>
          <w:iCs/>
          <w:color w:val="B45309"/>
        </w:rPr>
        <w:t>≠</w:t>
      </w:r>
      <w:r w:rsidRPr="004C7FEE">
        <w:rPr>
          <w:rFonts w:ascii="LMRoman10" w:hAnsi="LMRoman10"/>
          <w:i/>
          <w:iCs/>
          <w:color w:val="B45309"/>
        </w:rPr>
        <w:t xml:space="preserve"> </w:t>
      </w:r>
      <w:r w:rsidRPr="004C7FEE">
        <w:rPr>
          <w:rFonts w:ascii="LMRoman10" w:hAnsi="LMRoman10" w:cs="LMRoman10"/>
          <w:i/>
          <w:iCs/>
          <w:color w:val="B45309"/>
        </w:rPr>
        <w:t>«</w:t>
      </w:r>
      <w:r w:rsidRPr="004C7FEE">
        <w:rPr>
          <w:rFonts w:ascii="LMRoman10" w:hAnsi="LMRoman10"/>
          <w:i/>
          <w:iCs/>
          <w:color w:val="B45309"/>
        </w:rPr>
        <w:t xml:space="preserve"> n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 xml:space="preserve">oadjuvante </w:t>
      </w:r>
      <w:r w:rsidRPr="004C7FEE">
        <w:rPr>
          <w:rFonts w:ascii="LMRoman10" w:hAnsi="LMRoman10" w:cs="LMRoman10"/>
          <w:i/>
          <w:iCs/>
          <w:color w:val="B45309"/>
        </w:rPr>
        <w:t>»</w:t>
      </w:r>
      <w:r w:rsidRPr="004C7FEE">
        <w:rPr>
          <w:rFonts w:ascii="LMRoman10" w:hAnsi="LMRoman10"/>
          <w:i/>
          <w:iCs/>
          <w:color w:val="B45309"/>
        </w:rPr>
        <w:t xml:space="preserve"> : l'adjuvante est POST-op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>ratoire (microm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>tastases).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chimio = traitement systémique ×4 (N2024 Q40, Nov202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4 Q45, Oct2024 Q38, R2024 Q48) ; buts adjuvante (N2021 Q44, N2023 Q43).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Familles &amp; mécanismes d'action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lastRenderedPageBreak/>
        <w:t>Alkylants &amp; SELS DE PLATINE (cisplatine) : action DIRECTE sur l'ADN (pontages), indépendante du cycle.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ANTHRACYCLINES : inhibent la topo-isomérase II — t</w:t>
      </w:r>
      <w:r w:rsidRPr="004C7FEE">
        <w:rPr>
          <w:rFonts w:ascii="LMRoman10" w:hAnsi="LMRoman10"/>
        </w:rPr>
        <w:t>oxicité CARDIAQUE CUMULATIVE dose-dépendante.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ANTIMÉTABOLITES (5-FU, méthotrexate) : phase S, blocage de la synthèse d'ADN (thymidylate synthase / dihydrofolate réductase).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TAXANES &amp; VINCA-ALCALOÏDES : phase M, action sur les microtubules du fuseau.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Irinot</w:t>
      </w:r>
      <w:r w:rsidRPr="004C7FEE">
        <w:rPr>
          <w:rFonts w:ascii="LMRoman10" w:hAnsi="LMRoman10"/>
        </w:rPr>
        <w:t>écan/topotécan : inhibiteurs de la topo-isomérase I.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Cisplatine = NÉPHROTOXICITÉ → hyperhydratation obligatoire ; anthracyclines = surveillance FEVG.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toxicité (cardiaque/rénale) ×4 (N2021 Q46, N2024 Q42, Nov2024 Q46, Oct2024 Q40) ; cytotoxiques (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N2019 Q40, R2019 Q33).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5] LES LYMPHOMES (HODGKIN · LMNH)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Lahlimi  •  ~3,7 Q/examen  ·  44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t>📖</w:t>
      </w:r>
      <w:r w:rsidRPr="004C7FEE">
        <w:rPr>
          <w:rFonts w:ascii="LMRoman10" w:hAnsi="LMRoman10"/>
          <w:i/>
          <w:iCs/>
          <w:color w:val="404040"/>
        </w:rPr>
        <w:t xml:space="preserve"> Stadification d'ANN ARBOR (I-IV ± A/B) = principal facteur pronostique. Hodgkin : cellule de Reed-Sternberg CD30+ / CD15+.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13" w:history="1">
        <w:r w:rsidRPr="004C7FEE">
          <w:rPr>
            <w:rStyle w:val="Hyperlink"/>
            <w:rFonts w:ascii="LMRoman10" w:hAnsi="LMRoman10"/>
          </w:rPr>
          <w:t>O</w:t>
        </w:r>
        <w:r w:rsidRPr="004C7FEE">
          <w:rPr>
            <w:rStyle w:val="Hyperlink"/>
            <w:rFonts w:ascii="LMRoman10" w:hAnsi="LMRoman10"/>
          </w:rPr>
          <w:t xml:space="preserve">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N2020 (e-qe.online) : </w:t>
      </w:r>
      <w:hyperlink r:id="rId14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Lymphome de Hodgkin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Cellule de REED-STERNBERG = CD30+ / CD15+ (diagnostic histologique).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Pourcentage de guérison après traitement d'un Hodgkin de stade I </w:t>
      </w:r>
      <w:r w:rsidRPr="004C7FEE">
        <w:rPr>
          <w:rFonts w:ascii="Courier New" w:hAnsi="Courier New" w:cs="Courier New"/>
        </w:rPr>
        <w:t>≈</w:t>
      </w:r>
      <w:r w:rsidRPr="004C7FEE">
        <w:rPr>
          <w:rFonts w:ascii="LMRoman10" w:hAnsi="LMRoman10"/>
        </w:rPr>
        <w:t xml:space="preserve"> 90 % (excellent pronostic).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« BULKY » médiastinal = rapport médiastino-thoracique &gt; 0,35 (facteur de mauvais pronostic).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Stadification = ANN ARBOR ; l'atteinte SPLÉNIQUE ne fait PAS passe</w:t>
      </w:r>
      <w:r w:rsidRPr="004C7FEE">
        <w:rPr>
          <w:rFonts w:ascii="LMRoman10" w:hAnsi="LMRoman10"/>
          <w:i/>
          <w:iCs/>
          <w:color w:val="B45309"/>
        </w:rPr>
        <w:t>r automatiquement au stade IV (la rate est considérée comme un territoire ganglionnaire).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Bulky = ratio &gt; 0,35 (piège chiffré répété ×4).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guérison stade I </w:t>
      </w:r>
      <w:r w:rsidRPr="004C7FEE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90 % </w:t>
      </w:r>
      <w:r w:rsidRPr="004C7FEE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4 (N2019 Q26, N2020 Q15, N2021 Q25, Oct2024 Q1) ; Bulky &gt;0,35 </w:t>
      </w:r>
      <w:r w:rsidRPr="004C7FEE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4 (N2019 Q22, N2020 Q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19, N2021 Q10, Oct2024 Q11).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Lymphomes non hodgkiniens (LMNH)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LMNH agressif à grandes cellules B → protocole R-CHOP (rituximab + CHOP).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Chez l'enfant : Burkitt (forme abdominale) et lymphoblastique T (forme médiastinale) sont les plus fréquents.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lymphomes les + fréquents chez l'enfant ×2 (R2022 Q14, Oct2024 Q10).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6] DOULEUR ET CANCER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Fadli  •  ~2,7 Q/examen  ·  32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t>📖</w:t>
      </w:r>
      <w:r w:rsidRPr="004C7FEE">
        <w:rPr>
          <w:rFonts w:ascii="LMRoman10" w:hAnsi="LMRoman10"/>
          <w:i/>
          <w:iCs/>
          <w:color w:val="404040"/>
        </w:rPr>
        <w:t xml:space="preserve"> Paliers analgésiques OMS : I non-opioïdes · II opioïdes faibles · III opioïd</w:t>
      </w:r>
      <w:r w:rsidRPr="004C7FEE">
        <w:rPr>
          <w:rFonts w:ascii="LMRoman10" w:hAnsi="LMRoman10"/>
          <w:i/>
          <w:iCs/>
          <w:color w:val="404040"/>
        </w:rPr>
        <w:t>es forts (morphine).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15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16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&amp; types de douleur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Douleur NOCICEPTIVE : excès de stimulation des nocicepteurs → répond aux antalgiques des 3 paliers OMS.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Douleur NEUROPATHIQUE : lésion du système nerveux → traitement par antiépileptiqu</w:t>
      </w:r>
      <w:r w:rsidRPr="004C7FEE">
        <w:rPr>
          <w:rFonts w:ascii="LMRoman10" w:hAnsi="LMRoman10"/>
        </w:rPr>
        <w:t>es (gabapentine/prégabaline) et/ou antidépresseurs, PAS par les paliers classiques seuls.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lastRenderedPageBreak/>
        <w:t>La douleur cancéreuse est souvent MIXTE (nociceptive + neuropathique).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La douleur neuropathique répond mal aux antalgiques de palier — d'où les co-antalgiques spécifiques.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douleur cancéreuse ×4 (N2024 Q33, Nov2024 Q42, Oct2024 Q46, R2024 Q39) ; neuropathique ×3 (N2021 Q37, N2024 Q34, Oct2024 Q47).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Principes de traitement (OMS)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Échelle OMS à 3 paliers ; titration des opioïdes, prévention systématique de la constipation sous morphiniques.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Réévaluation régulière, prise en compte des accès douloureux paroxystiques.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traitement de la douleur cancé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reuse ×2 (N2024 Q35, Oct2024 Q48) ; nociceptive ×2 (Nov2024 Q43, R2024 Q40).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7] ÉPIDÉMIOLOGIE DES CANCERS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Omrani  •  ~2,6 Q/examen  ·  31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17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18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Types d'études épidémiologiques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Épidémiologie DESCRIPTIVE : décrit la fréquence/répartition (incidence, prévalence, mortalité) — registres des cancers.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Épidémiologie ANALYTIQUE : recherche les facteurs de risque/causalité (cas-témoins, cohortes).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Étude CAS-TÉMOINS : rétrospective, part d</w:t>
      </w:r>
      <w:r w:rsidRPr="004C7FEE">
        <w:rPr>
          <w:rFonts w:ascii="LMRoman10" w:hAnsi="LMRoman10"/>
        </w:rPr>
        <w:t>e la maladie → expose ; mesure l'ODDS RATIO ; adaptée aux maladies rares.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Étude de COHORTE : prospective, part de l'exposition → maladie ; mesure le RISQUE RELATIF / l'incidence.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Cas-témoins → odds ratio (pas d'incidence directe) ; cohorte → risque relat</w:t>
      </w:r>
      <w:r w:rsidRPr="004C7FEE">
        <w:rPr>
          <w:rFonts w:ascii="LMRoman10" w:hAnsi="LMRoman10"/>
          <w:i/>
          <w:iCs/>
          <w:color w:val="B45309"/>
        </w:rPr>
        <w:t>if/incidence. Ne pas inverser.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épidémio descriptive (N2024 Q31, Oct2024 Q44) ; cas-témoins (N2024 Q32, Oct2024 Q45) ; analytique (Nov2024 Q40, R2024 Q37) ; cohortes (Nov2024 Q41, R2024 Q38).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Contexte marocain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Le Maroc dispose de registres des cance</w:t>
      </w:r>
      <w:r w:rsidRPr="004C7FEE">
        <w:rPr>
          <w:rFonts w:ascii="LMRoman10" w:hAnsi="LMRoman10"/>
        </w:rPr>
        <w:t>rs régionaux (ex. Grand Casablanca, Rabat) alimentant les données nationales d'incidence.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registre des cancers du Maroc ×2 (N2020 Q33-34).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8] HORMONOTHÉRAPIE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Omrani  •  ~2,4 Q/examen  ·  29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</w:t>
      </w:r>
      <w:r w:rsidRPr="004C7FEE">
        <w:rPr>
          <w:rFonts w:ascii="LMRoman10" w:hAnsi="LMRoman10"/>
          <w:color w:val="404040"/>
        </w:rPr>
        <w:t xml:space="preserve">ion officielle N2024 (e-qe.online) : </w:t>
      </w:r>
      <w:hyperlink r:id="rId19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20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Hormonothérapie du cancer du sein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Indication = tumeurs HORMONO-SENSIBLES (récepteurs hormonaux RH+).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TAMOXIFÈNE = SERM : ANTI-œstrogène sur le sein mais effet PRO-œstrogène sur l'endomètre → risque de cancer de l'endomètre ; utilisé surtout en PRÉ-ménopause.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ANTI-AROMATASES (létrozole, anastrozole) : réservées à la POST-ménopause ; effet indésirable = per</w:t>
      </w:r>
      <w:r w:rsidRPr="004C7FEE">
        <w:rPr>
          <w:rFonts w:ascii="LMRoman10" w:hAnsi="LMRoman10"/>
        </w:rPr>
        <w:t>te osseuse/ostéoporose (PAS de risque endométrial).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Tamoxifène → surveillance gynécologique (risque endomètre) ; anti-aromatases → surveillance osseuse. Ne pas prescrire d'anti-aromatase seule chez une femme non ménopausée.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tamoxifène ×5 (R2019 Q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41, N2022 Q40, N2023 Q36, N2024 Q38, N2025 Q48).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Hormonothérapie suppressive (cancer prostate / sein)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Agonistes de la LH-RH = castration médicale ; risque d'effet « FLARE-UP » initial (poussée de testostérone) PRÉVENU par un anti-androgène (bicalutamide) e</w:t>
      </w:r>
      <w:r w:rsidRPr="004C7FEE">
        <w:rPr>
          <w:rFonts w:ascii="LMRoman10" w:hAnsi="LMRoman10"/>
        </w:rPr>
        <w:t>n début de traitement.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L'hormonothérapie est historiquement considérée comme la 1re « thérapie ciblée » de l'histoire de l'oncologie.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Flare-up des agonistes LH-RH = aggravation transitoire ; toujours couvrir par anti-androgène au démarrage.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hormo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nothérapie des cancers ×3 (N2024 Q36, Oct2024 Q49, R2024 Q41) ; suppressive ×2 (N2024 Q37, Oct2024 Q50).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9] PURPURA THROMBOPÉNIQUE IMMUNOLOGIQUE (PTI)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 •  ~2,3 Q/examen  ·  28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21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22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diagnostic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PTI = thrombopénie PÉRIPHÉRIQUE par destruction immunologique (auto-anticorps anti-glycoprotéines plaquettaires) — destruction périphérique, PAS centrale.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C'est un diagnostic d'ÉLIMINATION (moelle normale/riche e</w:t>
      </w:r>
      <w:r w:rsidRPr="004C7FEE">
        <w:rPr>
          <w:rFonts w:ascii="LMRoman10" w:hAnsi="LMRoman10"/>
        </w:rPr>
        <w:t>n mégacaryocytes).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PTI dit CHRONIQUE après 12 MOIS d'évolution.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Pronostic globalement meilleur chez l'ENFANT (souvent résolutif).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×4 : l'HÉMARTHROSE n'appartient PAS au PTI (purpura cutanéo-muqueux : pétéchies, ecchymoses, bulles) — l'hémarthrose é</w:t>
      </w:r>
      <w:r w:rsidRPr="004C7FEE">
        <w:rPr>
          <w:rFonts w:ascii="LMRoman10" w:hAnsi="LMRoman10"/>
          <w:i/>
          <w:iCs/>
          <w:color w:val="B45309"/>
        </w:rPr>
        <w:t>voque l'hémophilie.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dgc d'élimination N2019 Q5 ; chronique = 12 mois ×2 (R2019 Q7, N2020 Q22) ; hémarthrose inhabituelle ×2 (N2021 Q12, Oct2024 Q14).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1re intention = CORTICOTHÉRAPIE (± immunoglobulines IV si urgence hémorragique).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2e int</w:t>
      </w:r>
      <w:r w:rsidRPr="004C7FEE">
        <w:rPr>
          <w:rFonts w:ascii="LMRoman10" w:hAnsi="LMRoman10"/>
        </w:rPr>
        <w:t>ention/chronique réfractaire = splénectomie, agonistes du récepteur de la TPO, rituximab.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PAS de transfusion de plaquettes systématique (détruites immédiatement, réservée aux hémorragies vitales).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Ne pas transfuser des plaquettes en routine dans le PTI.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corticoïdes 1re intention ×3 (N2019 Q23, N2021 Q13, Oct2024 Q15) ; traitement 1re intention ×2 (N2024 Q12, R2024 Q13).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10] THÉRAPIES CIBLÉES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Essadi  •  ~2,3 Q/examen  ·  27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</w:t>
      </w:r>
      <w:r w:rsidRPr="004C7FEE">
        <w:rPr>
          <w:rFonts w:ascii="LMRoman10" w:hAnsi="LMRoman10"/>
          <w:color w:val="404040"/>
        </w:rPr>
        <w:t xml:space="preserve"> (e-qe.online) : </w:t>
      </w:r>
      <w:hyperlink r:id="rId23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24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Généralité</w:t>
      </w: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Thérapies ciblées = traitement SYSTÉMIQUE, plus spécifique que la chimio, avec un spectre de toxicité PARTICULIER (</w:t>
      </w:r>
      <w:r w:rsidRPr="004C7FEE">
        <w:rPr>
          <w:rFonts w:ascii="Courier New" w:hAnsi="Courier New" w:cs="Courier New"/>
        </w:rPr>
        <w:t>≠</w:t>
      </w:r>
      <w:r w:rsidRPr="004C7FEE">
        <w:rPr>
          <w:rFonts w:ascii="LMRoman10" w:hAnsi="LMRoman10"/>
        </w:rPr>
        <w:t xml:space="preserve"> chimio classique) ; exigent un bilan du terrain (ex. statut HER2, mutations) avant prescription.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Deux grandes classes : ANTICORPS MONOCLO</w:t>
      </w:r>
      <w:r w:rsidRPr="004C7FEE">
        <w:rPr>
          <w:rFonts w:ascii="LMRoman10" w:hAnsi="LMRoman10"/>
        </w:rPr>
        <w:t>NAUX (suffixe -MAB, voie IV, haut poids moléculaire) et PETITES MOLÉCULES (suffixe -NIB, voie ORALE).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innovation/traitement systémique spécifique » ×6 (N2022 Q49, N2023 Q44, N2024 Q44, Nov2024 Q48, Oct2024 Q41, R2024 Q49).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Cibles &amp; molécules (à c</w:t>
      </w: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onnaître)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Anti-HER2 : TRASTUZUMAB, PERTUZUMAB (anticorps, IV) ; lapatinib (-nib, oral) — cancer du sein HER2+.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Anti-EGFR : CETUXIMAB, PANITUMUMAB — toxicité CUTANÉE caractéristique (rash acnéiforme).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Anti-VEGF / antiangiogénique : BEVACIZUMAB.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Pertuzumab : protéine de haut poids moléculaire, administrée par voie IV.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ERREUR D'ÉNONCÉ signalée : Nov2024 Q49 affirme « le Panitumumab est un anticorps monoclonal anti-HER2 » — c'est FAUX : le panitumumab est ANTI-EGFR (comme le cetuximab, N2024 Q46).</w:t>
      </w:r>
      <w:r w:rsidRPr="004C7FEE">
        <w:rPr>
          <w:rFonts w:ascii="LMRoman10" w:hAnsi="LMRoman10"/>
          <w:i/>
          <w:iCs/>
          <w:color w:val="B45309"/>
        </w:rPr>
        <w:t xml:space="preserve"> Toxicité cutanée. Ne pas mémoriser l'énoncé erroné.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Bevacizumab cible le VEGF (angiogenèse), pas la famille HER — distracteur classique.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cetuximab anti-EGFR N2024 Q46, Oct2024 Q43 ; pertuzumab anti-HER2 N2024 Q45 ; famille HER (trastuzumab/pertu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zumab) N2021 Q42.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11] TRANSFUSION SANGUINE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 •  ~2,2 Q/examen  ·  26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N2022 (e-qe.online) : </w:t>
      </w:r>
      <w:hyperlink r:id="rId25" w:history="1">
        <w:r w:rsidRPr="004C7FEE">
          <w:rPr>
            <w:rStyle w:val="Hyperlink"/>
            <w:rFonts w:ascii="LMRoman10" w:hAnsi="LMRoman10"/>
          </w:rPr>
          <w:t>Ouvri</w:t>
        </w:r>
        <w:r w:rsidRPr="004C7FEE">
          <w:rPr>
            <w:rStyle w:val="Hyperlink"/>
            <w:rFonts w:ascii="LMRoman10" w:hAnsi="LMRoman10"/>
          </w:rPr>
          <w:t xml:space="preserve">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Nov2024 (e-qe.online) : </w:t>
      </w:r>
      <w:hyperlink r:id="rId26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Produits sanguins labiles &amp; qualifications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Culots globulaires (CGR) : conservés à +4 °C, jusqu'à 42 JOURS ; NE s</w:t>
      </w:r>
      <w:r w:rsidRPr="004C7FEE">
        <w:rPr>
          <w:rFonts w:ascii="LMRoman10" w:hAnsi="LMRoman10"/>
        </w:rPr>
        <w:t>ont PAS conservés sous agitation ni congelés.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La DÉLEUCOCYTATION (filtration) du CGR prévient la réaction FRISSONS-HYPERTHERMIE (non hémolytique fébrile).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Qualifications du PLASMA FRAIS CONGELÉ (PFC) = VIRO-INACTIVÉ et SÉCURISÉ (</w:t>
      </w:r>
      <w:r w:rsidRPr="004C7FEE">
        <w:rPr>
          <w:rFonts w:ascii="Courier New" w:hAnsi="Courier New" w:cs="Courier New"/>
        </w:rPr>
        <w:t>≠</w:t>
      </w:r>
      <w:r w:rsidRPr="004C7FEE">
        <w:rPr>
          <w:rFonts w:ascii="LMRoman10" w:hAnsi="LMRoman10"/>
        </w:rPr>
        <w:t xml:space="preserve"> ph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notyp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 xml:space="preserve">, </w:t>
      </w:r>
      <w:r w:rsidRPr="004C7FEE">
        <w:rPr>
          <w:rFonts w:ascii="Courier New" w:hAnsi="Courier New" w:cs="Courier New"/>
        </w:rPr>
        <w:t>≠</w:t>
      </w:r>
      <w:r w:rsidRPr="004C7FEE">
        <w:rPr>
          <w:rFonts w:ascii="LMRoman10" w:hAnsi="LMRoman10"/>
        </w:rPr>
        <w:t xml:space="preserve"> irradi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Concentrés plaquettaires : irradiés chez l'immunodéprimé (prévention du GVH transfusionnel) ; sang O négatif = donneur universel en urgence.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Qualifications du PFC = viro-inactivé + sécurisé (piège répété ×5 : ni phénotypé, ni irradié, ni d'aphérèse).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Vu : qualifications PFC ×5 (R2019 Q25, N2022 Q26, R2022 Q15, Nov2024 Q16, Oct2024 Q26) ; CGR ×4 (N2019 Q9, R2019 Q15, N2022 Q29, R2022 Q27).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Accidents transfusionnels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Accidents IMMÉDIATS : incompatibilité ABO (hémolyse aiguë), réaction frissons-hyperthermi</w:t>
      </w:r>
      <w:r w:rsidRPr="004C7FEE">
        <w:rPr>
          <w:rFonts w:ascii="LMRoman10" w:hAnsi="LMRoman10"/>
        </w:rPr>
        <w:t>e, allergie, surcharge volémique, choc septique.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Hémolyse aiguë par incompatibilité ABO = hémolyse INTRAVASCULAIRE, se complique de CIVD, évolution souvent défavorable.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Incompatibilité Rhésus = accident plutôt RETARDÉ (vs ABO immédiat).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Nuance/contradict</w:t>
      </w:r>
      <w:r w:rsidRPr="004C7FEE">
        <w:rPr>
          <w:rFonts w:ascii="LMRoman10" w:hAnsi="LMRoman10"/>
          <w:i/>
          <w:iCs/>
          <w:color w:val="B45309"/>
        </w:rPr>
        <w:t xml:space="preserve">ion sur le SENS de l'hémolyse ABO : N2022 Q27 valide l'item « lyse des hématies du RECEVEUR par les anticorps du DONNEUR ». Classiquement, le mécanisme dominant et le plus grave est l'INVERSE (anticorps anti-A/B du RECEVEUR lysant les hématies du DONNEUR, </w:t>
      </w:r>
      <w:r w:rsidRPr="004C7FEE">
        <w:rPr>
          <w:rFonts w:ascii="LMRoman10" w:hAnsi="LMRoman10"/>
          <w:i/>
          <w:iCs/>
          <w:color w:val="B45309"/>
        </w:rPr>
        <w:t>incompatibilité majeure). → Connaître la version de l'énoncé tout en gardant le mécanisme physiopathologique de référence en tête.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hémolyse ABO ×2 (N2019 Q30, N2022 Q27) ; accidents immédiats R2019 Q11, N2021 Q27.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12] MYÉLOME MULTIPLE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Pr Lahl</w:t>
      </w: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imi  •  ~2,1 Q/examen  ·  25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t>📖</w:t>
      </w:r>
      <w:r w:rsidRPr="004C7FEE">
        <w:rPr>
          <w:rFonts w:ascii="LMRoman10" w:hAnsi="LMRoman10"/>
          <w:i/>
          <w:iCs/>
          <w:color w:val="404040"/>
        </w:rPr>
        <w:t xml:space="preserve"> Critères CRAB (hyperCalcémie · insuffisance Rénale · Anémie · Bone/atteinte osseuse). Maladie de Kahler.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N2021 (e-qe.online) : </w:t>
      </w:r>
      <w:hyperlink r:id="rId27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R2022 (e-qe.online) : </w:t>
      </w:r>
      <w:hyperlink r:id="rId28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Myélome = maladie </w:t>
      </w:r>
      <w:r w:rsidRPr="004C7FEE">
        <w:rPr>
          <w:rFonts w:ascii="LMRoman10" w:hAnsi="LMRoman10"/>
        </w:rPr>
        <w:t>de KAHLER ; principale anomalie du MYÉLOGRAMME = PLASMOCYTES DYSTROPHIQUES en excès (plasmocytose médullaire).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Retentissement = CRAB ; pic monoclonal à l'électrophorèse des protéines sériques.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×4 : « il n'existe PAS de signe radiologique SPÉCIFIQUE</w:t>
      </w:r>
      <w:r w:rsidRPr="004C7FEE">
        <w:rPr>
          <w:rFonts w:ascii="LMRoman10" w:hAnsi="LMRoman10"/>
          <w:i/>
          <w:iCs/>
          <w:color w:val="B45309"/>
        </w:rPr>
        <w:t xml:space="preserve"> » du myélome — les lacunes à l'emporte-pièce (crâne) sont CARACTÉRISTIQUES mais non spécifiques. L'item « signe radiologique spécifique » est donc à manier prudemment selon la formulation de l'énoncé.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plasmocytes au myélogramme ×4 (N2019 Q20, N202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0 Q14, N2021 Q4, Oct2024 Q13) ; signe radiologique « spécifique » ×4 (N2019 Q28, N2020 Q13, N2021 Q11, Oct2024 Q12).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pronostic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THALIDOMIDE : effet principal = ANTI-ANGIOGÉNIQUE (+ immunomodulateur).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Stratégie : immuno-chimiothérapie ± AUTOGREFFE de cellules souches (pas d'allogreffe en standard) ; maladie INCURABLE (rémissions/rechutes).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Myélome = autogreffe (pas allogreffe en routine) ; maladie chronique incurable.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effet thalidomide (anti-a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ngiogénique) ×4 (N2019 Q17, R2019 Q20, N2021 Q20, Oct2024 Q25).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13] APLASIE MÉDULLAIRE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 •  ~1,8 Q/examen  ·  22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29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30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diagnostic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Aplas</w:t>
      </w:r>
      <w:r w:rsidRPr="004C7FEE">
        <w:rPr>
          <w:rFonts w:ascii="LMRoman10" w:hAnsi="LMRoman10"/>
        </w:rPr>
        <w:t>ie médullaire = insuffisance médullaire QUANTITATIVE (moelle pauvre/désertique) → PANCYTOPÉNIE périphérique.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Diagnostic de CERTITUDE = BIOPSIE OSTÉO-MÉDULLAIRE (BOM) montrant une moelle pauvre — PAS le myélogramme seul.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Devant une pancytopénie isolée, l'ex</w:t>
      </w:r>
      <w:r w:rsidRPr="004C7FEE">
        <w:rPr>
          <w:rFonts w:ascii="LMRoman10" w:hAnsi="LMRoman10"/>
        </w:rPr>
        <w:t>amen clé = exploration médullaire (BOM).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×5 : la certitude diagnostique repose sur la BIOPSIE médullaire (BOM), le myélogramme pouvant être faussement rassurant (« moelle pauvre »).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Absence d'organomégalie / d'adénopathies (</w:t>
      </w:r>
      <w:r w:rsidRPr="004C7FEE">
        <w:rPr>
          <w:rFonts w:ascii="Courier New" w:hAnsi="Courier New" w:cs="Courier New"/>
          <w:i/>
          <w:iCs/>
          <w:color w:val="B45309"/>
        </w:rPr>
        <w:t>≠</w:t>
      </w:r>
      <w:r w:rsidRPr="004C7FEE">
        <w:rPr>
          <w:rFonts w:ascii="LMRoman10" w:hAnsi="LMRoman10"/>
          <w:i/>
          <w:iCs/>
          <w:color w:val="B45309"/>
        </w:rPr>
        <w:t xml:space="preserve"> leuc</w:t>
      </w:r>
      <w:r w:rsidRPr="004C7FEE">
        <w:rPr>
          <w:rFonts w:ascii="LMRoman10" w:hAnsi="LMRoman10" w:cs="LMRoman10"/>
          <w:i/>
          <w:iCs/>
          <w:color w:val="B45309"/>
        </w:rPr>
        <w:t>é</w:t>
      </w:r>
      <w:r w:rsidRPr="004C7FEE">
        <w:rPr>
          <w:rFonts w:ascii="LMRoman10" w:hAnsi="LMRoman10"/>
          <w:i/>
          <w:iCs/>
          <w:color w:val="B45309"/>
        </w:rPr>
        <w:t>mie/lymphome).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BOM = certitude ×2 (N2019 Q21, R2019 Q1) ; pancytopénie isolée → exploration médullaire ×3 (N2020 Q30, N2021 Q1, Oct2024 Q2) ; « moelle pauvre » ×2 (N2024 Q2, R2024 Q8).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Causes : idiopathique (la + fréquente), toxiques/médicamenteuses, r</w:t>
      </w:r>
      <w:r w:rsidRPr="004C7FEE">
        <w:rPr>
          <w:rFonts w:ascii="LMRoman10" w:hAnsi="LMRoman10"/>
        </w:rPr>
        <w:t>adiques, virales.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CHLORAMPHÉNICOL = cause d'aplasie médullaire IRRÉVERSIBLE classique.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dans une aplasie médullaire on retrouve » ×3 (N2023 Q1, N2024 Q1, R2024 Q1).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14] POLYGLOBULIE DE VAQUEZ (SMP Ph-)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 •  ~1,8 Q/examen  ·  22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lastRenderedPageBreak/>
        <w:t>📖</w:t>
      </w:r>
      <w:r w:rsidRPr="004C7FEE">
        <w:rPr>
          <w:rFonts w:ascii="LMRoman10" w:hAnsi="LMRoman10"/>
          <w:i/>
          <w:iCs/>
          <w:color w:val="404040"/>
        </w:rPr>
        <w:t xml:space="preserve"> Syndrome myéloprolifératif Philadelphie-NÉGATIF, mutation JAK2 V617F.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N2021 (e-qe.online) : </w:t>
      </w:r>
      <w:hyperlink r:id="rId31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32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arguments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Vaquez</w:t>
      </w:r>
      <w:r w:rsidRPr="004C7FEE">
        <w:rPr>
          <w:rFonts w:ascii="LMRoman10" w:hAnsi="LMRoman10"/>
        </w:rPr>
        <w:t xml:space="preserve"> = polyglobulie PRIMITIVE, mutation JAK2 positive, ÉRYTHROPOÏÉTINE (EPO) BASSE.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Arguments en faveur : hyperplaquettose, polynucléose neutrophile, splénomégalie, prurit À L'EAU (aquagénique).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Polyglobulies SECONDAIRES = EPO élevée, pas de splénomégalie ni d</w:t>
      </w:r>
      <w:r w:rsidRPr="004C7FEE">
        <w:rPr>
          <w:rFonts w:ascii="LMRoman10" w:hAnsi="LMRoman10"/>
        </w:rPr>
        <w:t>e mutation JAK2.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PIÈGE EMBLÉMATIQUE ×6 : l'HIPPOCRATISME DIGITAL n'est PAS en faveur d'une maladie de Vaquez — il oriente vers une polyglobulie SECONDAIRE (hypoxie chronique). Question quasi identique répétée sur 6 sessions.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hippocratisme digit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al » = item FAUX ×6 (N2019 Q15, R2019 Q18, N2020 Q20, N2021 Q21, R2022 Q3, Oct2024 Q23) ; prurit aquagénique ×2 (N2021 Q28, N2022 Q23).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complications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Traitement : SAIGNÉES (phlébotomies) pour normaliser l'hématocrite ± hydroxyurée (cytoréduction), aspirine à faible dose.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Complications évolutives : transformation en leucémie aiguë ou myélofibrose ; risque thrombotique.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la polyglobulie de Vaquez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» ×3 (N2023 Q10, Nov2024 Q19, R2024 Q22).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15] HÉMOPHILIE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Hématologie  •  ~1,6 Q/examen  ·  19 Q au total (12 sessions, 2019→2025)</w:t>
      </w:r>
    </w:p>
    <w:p w:rsidR="009C4AB4" w:rsidRPr="004C7FEE" w:rsidRDefault="004C7FEE">
      <w:pPr>
        <w:spacing w:before="40" w:after="4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</w:rPr>
        <w:t>📖</w:t>
      </w:r>
      <w:r w:rsidRPr="004C7FEE">
        <w:rPr>
          <w:rFonts w:ascii="LMRoman10" w:hAnsi="LMRoman10"/>
          <w:i/>
          <w:iCs/>
          <w:color w:val="404040"/>
        </w:rPr>
        <w:t xml:space="preserve"> Maladie récessive liée à l'X. Sévérité : sévère &lt; 1 % · modérée 1-5 % · mineure &gt; 5 % de facteur.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</w:t>
      </w:r>
      <w:r w:rsidRPr="004C7FEE">
        <w:rPr>
          <w:rFonts w:ascii="LMRoman10" w:hAnsi="LMRoman10"/>
          <w:color w:val="404040"/>
        </w:rPr>
        <w:t xml:space="preserve">cielle N2024 (e-qe.online) : </w:t>
      </w:r>
      <w:hyperlink r:id="rId33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34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Hémophilie = déficit en facteur de la coagulation, transmission LIÉE À L'X (garçons atteints, mères conductrices).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Hémophilie A (déficit en FACTEUR VIII) plus fréquente que B (facteur IX).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Biologie : ALLONGEMENT ISOLÉ du TCA (TP/plaquettes nor</w:t>
      </w:r>
      <w:r w:rsidRPr="004C7FEE">
        <w:rPr>
          <w:rFonts w:ascii="LMRoman10" w:hAnsi="LMRoman10"/>
        </w:rPr>
        <w:t>maux) ; au Maroc, révélation fréquente lors de la CIRCONCISION.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Manifestation typique = HÉMARTHROSES (genou, coude) répétées.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TCA allongé + TP normal + plaquettes normales = anomalie de la voie intrinsèque → doser FVIII/FIX.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l'hémophilie A » ×3 (N2020 Q26, N2022 Q30, Nov2024 Q5) ; hémarthroses ×2 (N2024 Q9, R2024 Q14) ; hémophilie majeure ×2 (R2019 Q24, Oct2024 Q5).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contre-indications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Traitement = substitution du facteur déficitaire (FVIII ou FIX) ; en u</w:t>
      </w:r>
      <w:r w:rsidRPr="004C7FEE">
        <w:rPr>
          <w:rFonts w:ascii="LMRoman10" w:hAnsi="LMRoman10"/>
        </w:rPr>
        <w:t>rgence hémorragique, ADMINISTRER LE FACTEUR EN PREMIER.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Contre-indications ABSOLUES : aspirine, AINS, injections INTRAMUSCULAIRES, prise de température RECTALE, gestes invasifs sans couverture.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Médicaments/gestes à ne JAMAIS faire chez l'hémophile : aspi</w:t>
      </w:r>
      <w:r w:rsidRPr="004C7FEE">
        <w:rPr>
          <w:rFonts w:ascii="LMRoman10" w:hAnsi="LMRoman10"/>
          <w:i/>
          <w:iCs/>
          <w:color w:val="B45309"/>
        </w:rPr>
        <w:t>rine, AINS, IM, voie rectale (piège répété ×3).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médicament(s) à ne jamais administrer » ×3 (N2024 Q7, Nov2024 Q28, R2024 Q9) ; traitement hémophilie B ×2 (N2024 Q8, R2024 Q10).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lastRenderedPageBreak/>
        <w:t>[RANG 16] CIVD (Coagulation Intravasculaire Disséminée)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Raissi — U</w:t>
      </w: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rgences hématologiques  •  ~1,3 Q/examen  ·  16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35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</w:t>
      </w:r>
      <w:r w:rsidRPr="004C7FEE">
        <w:rPr>
          <w:rFonts w:ascii="LMRoman10" w:hAnsi="LMRoman10"/>
          <w:color w:val="404040"/>
        </w:rPr>
        <w:t xml:space="preserve">qe.online) : </w:t>
      </w:r>
      <w:hyperlink r:id="rId36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Biologie &amp; diagnostic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CIVD = activation diffuse de la coagulation → consommation des facteurs et des plaquettes.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Profil biologique : TCA ALLONGÉ, TP/TQ DIMINUÉ, FIBRINOGÈNE BAS (consommé), D-DIMÈRES/PDF ÉLEVÉS, thrombopénie.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Le traitement essentiel = TRAITER LA CAUSE déclenchante.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 xml:space="preserve">Fibrinogène BAS (consommé) + D-dimères HAUTS = signature ; ne pas confondre avec une </w:t>
      </w:r>
      <w:r w:rsidRPr="004C7FEE">
        <w:rPr>
          <w:rFonts w:ascii="LMRoman10" w:hAnsi="LMRoman10"/>
          <w:i/>
          <w:iCs/>
          <w:color w:val="B45309"/>
        </w:rPr>
        <w:t>simple fibrinolyse.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CIVD fréquente dans certaines hémopathies ×4 (R2019 Q23, N2020 Q24, N2021 Q23, Oct2024 Q27).</w:t>
      </w:r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Hémopathie emblématique = LEUCÉMIE AIGUË PROMYÉLOCYTAIRE (LAM3) → recherche SYSTÉMATIQUE d'une CIVD.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Causes obstétricales/so</w:t>
      </w:r>
      <w:r w:rsidRPr="004C7FEE">
        <w:rPr>
          <w:rFonts w:ascii="LMRoman10" w:hAnsi="LMRoman10"/>
        </w:rPr>
        <w:t>lides : utérus (hématome rétroplacentaire, embolie amniotique), poumon, prostate ; sepsis ; polytraumatisme.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Devant une LAM3, toujours rechercher et anticiper la CIVD (urgence).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CIVD obstétricale/LAM3 ×2 (N2024 Q4, R2024 Q5).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17] LES URGENC</w:t>
      </w:r>
      <w:r w:rsidRPr="004C7FEE">
        <w:rPr>
          <w:rFonts w:ascii="LMRoman10" w:hAnsi="LMRoman10"/>
        </w:rPr>
        <w:t>ES EN ONCOLOGIE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 Fadli  •  ~1,0 Q/examen  ·  12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N2025 (e-qe.online) : </w:t>
      </w:r>
      <w:hyperlink r:id="rId37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38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Urgences fréquentes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NEUTROPÉNIE FÉBRILE : PNN &lt; 500/mm³ + fièvre </w:t>
      </w:r>
      <w:r w:rsidRPr="004C7FEE">
        <w:rPr>
          <w:rFonts w:ascii="Courier New" w:hAnsi="Courier New" w:cs="Courier New"/>
        </w:rPr>
        <w:t>≥</w:t>
      </w:r>
      <w:r w:rsidRPr="004C7FEE">
        <w:rPr>
          <w:rFonts w:ascii="LMRoman10" w:hAnsi="LMRoman10"/>
        </w:rPr>
        <w:t xml:space="preserve"> 38,3 </w:t>
      </w:r>
      <w:r w:rsidRPr="004C7FEE">
        <w:rPr>
          <w:rFonts w:ascii="LMRoman10" w:hAnsi="LMRoman10" w:cs="LMRoman10"/>
        </w:rPr>
        <w:t>°</w:t>
      </w:r>
      <w:r w:rsidRPr="004C7FEE">
        <w:rPr>
          <w:rFonts w:ascii="LMRoman10" w:hAnsi="LMRoman10"/>
        </w:rPr>
        <w:t xml:space="preserve">C </w:t>
      </w:r>
      <w:r w:rsidRPr="004C7FEE">
        <w:rPr>
          <w:rFonts w:ascii="LMRoman10" w:hAnsi="LMRoman10" w:cs="LMRoman10"/>
        </w:rPr>
        <w:t>→</w:t>
      </w:r>
      <w:r w:rsidRPr="004C7FEE">
        <w:rPr>
          <w:rFonts w:ascii="LMRoman10" w:hAnsi="LMRoman10"/>
        </w:rPr>
        <w:t xml:space="preserve"> antibioth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 xml:space="preserve">rapie </w:t>
      </w:r>
      <w:r w:rsidRPr="004C7FEE">
        <w:rPr>
          <w:rFonts w:ascii="LMRoman10" w:hAnsi="LMRoman10" w:cs="LMRoman10"/>
        </w:rPr>
        <w:t>à</w:t>
      </w:r>
      <w:r w:rsidRPr="004C7FEE">
        <w:rPr>
          <w:rFonts w:ascii="LMRoman10" w:hAnsi="LMRoman10"/>
        </w:rPr>
        <w:t xml:space="preserve"> large spectre URGENTE (</w:t>
      </w:r>
      <w:r w:rsidRPr="004C7FEE">
        <w:rPr>
          <w:rFonts w:ascii="LMRoman10" w:hAnsi="LMRoman10"/>
        </w:rPr>
        <w:t>anti-BGN, ± anti-Pseudomonas).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SYNDROME DE LYSE TUMORALE : hyperkaliémie, hyperuricémie, hyperphosphorémie, HYPOcalcémie → hyperhydratation + hypo-uricémiant (rasburicase/allopurinol).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Autres : compression médullaire, syndrome cave supérieur, hypercalcémie</w:t>
      </w:r>
      <w:r w:rsidRPr="004C7FEE">
        <w:rPr>
          <w:rFonts w:ascii="LMRoman10" w:hAnsi="LMRoman10"/>
        </w:rPr>
        <w:t xml:space="preserve"> maligne, leucostase, HTIC.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Neutropénie fébrile = URGENCE : antibiothérapie probabiliste sans attendre les résultats microbiologiques.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urgences oncologiques — N2023 Q50, N2024 Q49-50, N2025 Q11-13 &amp; Q37.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18] TRANSVERSAL — RECONNAISSANCE HÉM</w:t>
      </w:r>
      <w:r w:rsidRPr="004C7FEE">
        <w:rPr>
          <w:rFonts w:ascii="LMRoman10" w:hAnsi="LMRoman10"/>
        </w:rPr>
        <w:t>ATOLOGIQUE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~0,8 Q/examen  ·  10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39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N2023 (e-qe.online) : </w:t>
      </w:r>
      <w:hyperlink r:id="rId40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Questions de reconnaissance / d'élimination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lastRenderedPageBreak/>
        <w:t>Reliquat de questions transversales recoupant plusieurs cours (association</w:t>
      </w:r>
      <w:r w:rsidRPr="004C7FEE">
        <w:rPr>
          <w:rFonts w:ascii="LMRoman10" w:hAnsi="LMRoman10"/>
        </w:rPr>
        <w:t xml:space="preserve">s pathologie </w:t>
      </w:r>
      <w:r w:rsidRPr="004C7FEE">
        <w:rPr>
          <w:rFonts w:ascii="Courier New" w:hAnsi="Courier New" w:cs="Courier New"/>
        </w:rPr>
        <w:t>↔</w:t>
      </w:r>
      <w:r w:rsidRPr="004C7FEE">
        <w:rPr>
          <w:rFonts w:ascii="LMRoman10" w:hAnsi="LMRoman10"/>
        </w:rPr>
        <w:t xml:space="preserve"> signe/examen, items </w:t>
      </w:r>
      <w:r w:rsidRPr="004C7FEE">
        <w:rPr>
          <w:rFonts w:ascii="LMRoman10" w:hAnsi="LMRoman10" w:cs="LMRoman10"/>
        </w:rPr>
        <w:t>«</w:t>
      </w:r>
      <w:r w:rsidRPr="004C7FEE">
        <w:rPr>
          <w:rFonts w:ascii="LMRoman10" w:hAnsi="LMRoman10"/>
        </w:rPr>
        <w:t xml:space="preserve"> dans quelle pathologie on n'observe jamais</w:t>
      </w:r>
      <w:r w:rsidRPr="004C7FEE">
        <w:rPr>
          <w:rFonts w:ascii="LMRoman10" w:hAnsi="LMRoman10" w:cs="LMRoman10"/>
        </w:rPr>
        <w:t>…</w:t>
      </w:r>
      <w:r w:rsidRPr="004C7FEE">
        <w:rPr>
          <w:rFonts w:ascii="LMRoman10" w:hAnsi="LMRoman10"/>
        </w:rPr>
        <w:t xml:space="preserve"> </w:t>
      </w:r>
      <w:r w:rsidRPr="004C7FEE">
        <w:rPr>
          <w:rFonts w:ascii="LMRoman10" w:hAnsi="LMRoman10" w:cs="LMRoman10"/>
        </w:rPr>
        <w:t>»</w:t>
      </w:r>
      <w:r w:rsidRPr="004C7FEE">
        <w:rPr>
          <w:rFonts w:ascii="LMRoman10" w:hAnsi="LMRoman10"/>
        </w:rPr>
        <w:t>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Réviser surtout les associations exclusives : adénopathies (présentes dans LLC/lymphomes, absentes dans certaines pathologies), syndrome de Richter </w:t>
      </w:r>
      <w:r w:rsidRPr="004C7FEE">
        <w:rPr>
          <w:rFonts w:ascii="Courier New" w:hAnsi="Courier New" w:cs="Courier New"/>
        </w:rPr>
        <w:t>↔</w:t>
      </w:r>
      <w:r w:rsidRPr="004C7FEE">
        <w:rPr>
          <w:rFonts w:ascii="LMRoman10" w:hAnsi="LMRoman10"/>
        </w:rPr>
        <w:t xml:space="preserve"> LLC.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Ces items « ja</w:t>
      </w:r>
      <w:r w:rsidRPr="004C7FEE">
        <w:rPr>
          <w:rFonts w:ascii="LMRoman10" w:hAnsi="LMRoman10"/>
          <w:i/>
          <w:iCs/>
          <w:color w:val="B45309"/>
        </w:rPr>
        <w:t>mais/toujours » sont très discriminants : raisonner par élimination.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« dans quelle pathologie on n'observe jamais d'adénopathies » ×3 (N2019 Q27, R2022 Q16, Oct2024 Q4) ; Richter </w:t>
      </w:r>
      <w:r w:rsidRPr="004C7FEE">
        <w:rPr>
          <w:rFonts w:ascii="Courier New" w:hAnsi="Courier New" w:cs="Courier New"/>
          <w:i/>
          <w:iCs/>
          <w:color w:val="404040"/>
          <w:sz w:val="18"/>
          <w:szCs w:val="18"/>
        </w:rPr>
        <w:t>↔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LLC </w:t>
      </w:r>
      <w:r w:rsidRPr="004C7FEE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>4.</w:t>
      </w:r>
    </w:p>
    <w:p w:rsidR="009C4AB4" w:rsidRPr="004C7FEE" w:rsidRDefault="004C7FE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C7FEE">
        <w:rPr>
          <w:rFonts w:ascii="LMRoman10" w:hAnsi="LMRoman10"/>
        </w:rPr>
        <w:t>[RANG 19] DIAGNOSTIC ET BILAN D'EXTENSION DES CANCERS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El</w:t>
      </w:r>
      <w:r w:rsidRPr="004C7FEE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Fadli  •  ~0,8 Q/examen  ·  9 Q au total (12 sessions, 2019→2025)</w:t>
      </w:r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N2024 (e-qe.online) : </w:t>
      </w:r>
      <w:hyperlink r:id="rId41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4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404040"/>
        </w:rPr>
        <w:t>📎</w:t>
      </w:r>
      <w:r w:rsidRPr="004C7FEE">
        <w:rPr>
          <w:rFonts w:ascii="LMRoman10" w:hAnsi="LMRoman10"/>
          <w:color w:val="404040"/>
        </w:rPr>
        <w:t xml:space="preserve"> Correction officielle R2024 (e-qe.online) : </w:t>
      </w:r>
      <w:hyperlink r:id="rId42" w:history="1">
        <w:r w:rsidRPr="004C7FEE">
          <w:rPr>
            <w:rStyle w:val="Hyperlink"/>
            <w:rFonts w:ascii="LMRoman10" w:hAnsi="LMRoman10"/>
          </w:rPr>
          <w:t xml:space="preserve">Ouvrir </w:t>
        </w:r>
        <w:r w:rsidRPr="004C7FEE">
          <w:rPr>
            <w:rStyle w:val="Hyperlink"/>
            <w:rFonts w:ascii="Cambria Math" w:hAnsi="Cambria Math" w:cs="Cambria Math"/>
          </w:rPr>
          <w:t>↗</w:t>
        </w:r>
      </w:hyperlink>
    </w:p>
    <w:p w:rsidR="009C4AB4" w:rsidRPr="004C7FEE" w:rsidRDefault="004C7FEE">
      <w:pPr>
        <w:spacing w:before="16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8B0000"/>
          <w:sz w:val="22"/>
          <w:szCs w:val="22"/>
          <w:u w:val="single"/>
        </w:rPr>
        <w:t>Imagerie du bilan d'extension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TEP-SCAN (tomographie par émission de positons) : haute sensibilité pour les atteintes ganglionnaires et les métastases à distance (ex. c</w:t>
      </w:r>
      <w:r w:rsidRPr="004C7FEE">
        <w:rPr>
          <w:rFonts w:ascii="LMRoman10" w:hAnsi="LMRoman10"/>
        </w:rPr>
        <w:t>ancer bronchique).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TDM thoraco-abdomino-pelvienne = bilan d'extension de base ; IRM pour cerveau/pelvis/moelle.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La cellule cancéreuse se définit par : prolifération incontrôlée, perte de la régulation, capacité d'invasion/métastase.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TEP = sensibilité élevée mais pièges de faux positifs inflammatoires — corrélation au contexte.</w:t>
      </w:r>
    </w:p>
    <w:p w:rsidR="009C4AB4" w:rsidRPr="004C7FEE" w:rsidRDefault="004C7FEE">
      <w:pPr>
        <w:spacing w:before="2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C7FEE">
        <w:rPr>
          <w:rFonts w:ascii="LMRoman10" w:hAnsi="LMRoman10"/>
          <w:i/>
          <w:iCs/>
          <w:color w:val="404040"/>
          <w:sz w:val="18"/>
          <w:szCs w:val="18"/>
        </w:rPr>
        <w:t xml:space="preserve"> Vu : TEP ×3 (N2020 Q45, N2022 Q37, R2024 Q36) ; TDM ×2 (R2019 Q50, R2022 Q35).</w:t>
      </w:r>
    </w:p>
    <w:p w:rsidR="009C4AB4" w:rsidRPr="004C7FEE" w:rsidRDefault="004C7FEE">
      <w:pPr>
        <w:rPr>
          <w:rFonts w:ascii="LMRoman10" w:hAnsi="LMRoman10"/>
        </w:rPr>
      </w:pPr>
      <w:r w:rsidRPr="004C7FEE">
        <w:rPr>
          <w:rFonts w:ascii="LMRoman10" w:hAnsi="LMRoman10"/>
        </w:rPr>
        <w:br w:type="page"/>
      </w:r>
    </w:p>
    <w:p w:rsidR="009C4AB4" w:rsidRPr="004C7FEE" w:rsidRDefault="004C7FEE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9C4AB4" w:rsidRPr="004C7FEE" w:rsidRDefault="004C7FEE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4C7FEE">
        <w:rPr>
          <w:rFonts w:ascii="LMRoman10" w:hAnsi="LMRoman10"/>
          <w:b/>
          <w:bCs/>
          <w:color w:val="991B1B"/>
          <w:sz w:val="26"/>
          <w:szCs w:val="26"/>
        </w:rPr>
        <w:t xml:space="preserve"> DISCLAIMER —</w:t>
      </w:r>
      <w:r w:rsidRPr="004C7FEE">
        <w:rPr>
          <w:rFonts w:ascii="LMRoman10" w:hAnsi="LMRoman10"/>
          <w:b/>
          <w:bCs/>
          <w:color w:val="991B1B"/>
          <w:sz w:val="26"/>
          <w:szCs w:val="26"/>
        </w:rPr>
        <w:t xml:space="preserve"> À LIRE AVANT D'UTILISER CETTE SECTION </w:t>
      </w:r>
      <w:r w:rsidRPr="004C7FEE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9C4AB4" w:rsidRPr="004C7FEE" w:rsidRDefault="004C7FEE">
      <w:pPr>
        <w:spacing w:before="8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9C4AB4" w:rsidRPr="004C7FEE" w:rsidRDefault="004C7FEE">
      <w:pPr>
        <w:spacing w:before="120" w:after="60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Apparaître en question résiduelle ou rattrapage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Être recyclés à la dernière minute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Servir de "culture génér</w:t>
      </w:r>
      <w:r w:rsidRPr="004C7FEE">
        <w:rPr>
          <w:rFonts w:ascii="LMRoman10" w:hAnsi="LMRoman10"/>
        </w:rPr>
        <w:t>ale" médicale</w:t>
      </w:r>
    </w:p>
    <w:p w:rsidR="009C4AB4" w:rsidRPr="004C7FEE" w:rsidRDefault="004C7FEE">
      <w:pPr>
        <w:spacing w:before="20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9C4AB4" w:rsidRPr="004C7FEE" w:rsidRDefault="004C7FEE">
      <w:pPr>
        <w:rPr>
          <w:rFonts w:ascii="LMRoman10" w:hAnsi="LMRoman10"/>
        </w:rPr>
      </w:pPr>
      <w:r w:rsidRPr="004C7FEE">
        <w:rPr>
          <w:rFonts w:ascii="LMRoman10" w:hAnsi="LMRoman10"/>
        </w:rPr>
        <w:br w:type="page"/>
      </w:r>
    </w:p>
    <w:p w:rsidR="009C4AB4" w:rsidRPr="004C7FEE" w:rsidRDefault="004C7FE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HÉMATOLOGIE-ONCOLOGIE</w:t>
      </w:r>
    </w:p>
    <w:p w:rsidR="009C4AB4" w:rsidRPr="004C7FEE" w:rsidRDefault="004C7FEE">
      <w:pPr>
        <w:pStyle w:val="Heading2"/>
        <w:rPr>
          <w:rFonts w:ascii="LMRoman10" w:hAnsi="LMRoman10"/>
        </w:rPr>
      </w:pPr>
      <w:r w:rsidRPr="004C7FEE">
        <w:rPr>
          <w:rFonts w:ascii="LMRoman10" w:hAnsi="LMRoman10"/>
        </w:rPr>
        <w:t>** CLASSIFICATIONS &amp; SCORES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Ann Arbor (I-IV ± A/B)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Lymphomes (Hodgkin &amp; LMNH) — principal pronostic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Binet (A / B / C)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Leucémie lymphoïde chronique (LLC) — stade A = abstention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CRAB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Myélome : hyperCalcémie · Rénal · Anémie · Bone (os)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Sévérité hémophilie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Sévère &lt;1 % · Modérée 1-5 % · Mineure &gt;5 % de facteur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Paliers OMS (I-II-III)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Douleur cancéreuse : non-opioïde → opioïde faible → fort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LA = </w:t>
            </w:r>
            <w:r w:rsidRPr="004C7FEE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20 % blastes (OMS)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Seuil diagnostique de leucémie aiguë au myélogramme</w:t>
            </w:r>
          </w:p>
        </w:tc>
      </w:tr>
    </w:tbl>
    <w:p w:rsidR="009C4AB4" w:rsidRPr="004C7FEE" w:rsidRDefault="004C7FEE">
      <w:pPr>
        <w:pStyle w:val="Heading2"/>
        <w:rPr>
          <w:rFonts w:ascii="LMRoman10" w:hAnsi="LMRoman10"/>
        </w:rPr>
      </w:pPr>
      <w:r w:rsidRPr="004C7FEE">
        <w:rPr>
          <w:rFonts w:ascii="LMRoman10" w:hAnsi="LMRoman10"/>
        </w:rPr>
        <w:t>** MARQUEURS / CIBLES MOLÉCULAIRES 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9C4AB4" w:rsidRPr="004C7F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BCR-ABL — t(9;22), chromosome Philadelphie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LMC → inhibiteurs de tyrosine kinase (imatinib)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JAK2 V617F + EPO BASSE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Maladie de Vaquez (SMP Ph-négatif)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Reed-Sternberg CD30+ / CD15+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Lymphome de Hodgkin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HER2 → trastuzumab/pertuzumab (-mab, IV)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Cancer du sein HER2+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EGFR → cetuximab/panitumumab (-mab)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Toxicité CUTANÉE caractéristique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VEGF → bevacizumab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Antiangiogénique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-mab = anticorps monoclonal (IV) · -nib = petite molécule (orale)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Règle de nomenclature des thérapies ciblées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Électrophorèse de l'hémoglobine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Diagnostic des drépanocytoses &amp; thalassémies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Plasmocytes dystrophiques (myélogramme)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Myélome multiple (Kahler)</w:t>
            </w:r>
          </w:p>
        </w:tc>
      </w:tr>
      <w:tr w:rsidR="009C4AB4" w:rsidRPr="004C7FE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Biopsie ostéo-médullaire (BOM)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C4AB4" w:rsidRPr="004C7FEE" w:rsidRDefault="004C7FEE">
            <w:pPr>
              <w:rPr>
                <w:rFonts w:ascii="LMRoman10" w:hAnsi="LMRoman10"/>
              </w:rPr>
            </w:pPr>
            <w:r w:rsidRPr="004C7FEE">
              <w:rPr>
                <w:rFonts w:ascii="LMRoman10" w:hAnsi="LMRoman10"/>
                <w:color w:val="000000"/>
                <w:sz w:val="18"/>
                <w:szCs w:val="18"/>
              </w:rPr>
              <w:t>Certitude de l'aplasie médullaire</w:t>
            </w:r>
          </w:p>
        </w:tc>
      </w:tr>
    </w:tbl>
    <w:p w:rsidR="009C4AB4" w:rsidRPr="004C7FEE" w:rsidRDefault="004C7FEE">
      <w:pPr>
        <w:pStyle w:val="Heading2"/>
        <w:rPr>
          <w:rFonts w:ascii="LMRoman10" w:hAnsi="LMRoman10"/>
        </w:rPr>
      </w:pPr>
      <w:r w:rsidRPr="004C7FEE">
        <w:rPr>
          <w:rFonts w:ascii="LMRoman10" w:hAnsi="LMRoman10"/>
        </w:rPr>
        <w:t>** PIÈGES CLASSIQUES (items récurrents FAUX) **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Hippocratisme digital → PAS Vaquez (= polyglobulie secondaire/hypoxie). Répété ×6.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Hémarthrose → PAS le PTI (= hémophilie). Le PTI donne un purpura cutanéo-muqueux. ×4.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Crise vaso-occlusive / pied-main</w:t>
      </w:r>
      <w:r w:rsidRPr="004C7FEE">
        <w:rPr>
          <w:rFonts w:ascii="LMRoman10" w:hAnsi="LMRoman10"/>
          <w:i/>
          <w:iCs/>
          <w:color w:val="B45309"/>
        </w:rPr>
        <w:t xml:space="preserve"> → PAS thalassémie (= drépanocytose). ×5.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Atteinte splénique du Hodgkin → ne fait PAS passer au stade IV (rate = territoire ganglionnaire).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Myélome : pas de signe radiologique « spécifique » (lacunes à l'emporte-pièce = caractéristiques, non spécifique</w:t>
      </w:r>
      <w:r w:rsidRPr="004C7FEE">
        <w:rPr>
          <w:rFonts w:ascii="LMRoman10" w:hAnsi="LMRoman10"/>
          <w:i/>
          <w:iCs/>
          <w:color w:val="B45309"/>
        </w:rPr>
        <w:t>s). ×4.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Aplasie médullaire : certitude = BIOPSIE médullaire, pas le myélogramme seul. ×5.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Simulateur de radiothérapie = imagerie/repérage, n'irradie pas à visée curative. ×5.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 xml:space="preserve">PFC : qualifications = viro-inactivé + sécurisé (ni phénotypé, ni irradié, </w:t>
      </w:r>
      <w:r w:rsidRPr="004C7FEE">
        <w:rPr>
          <w:rFonts w:ascii="LMRoman10" w:hAnsi="LMRoman10"/>
          <w:i/>
          <w:iCs/>
          <w:color w:val="B45309"/>
        </w:rPr>
        <w:t>ni d'aphérèse). ×5.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Panitumumab = anti-EGFR (et non anti-HER2 comme l'affirme à tort l'énoncé Nov2024 Q49).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C7FE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C7FEE">
        <w:rPr>
          <w:rFonts w:ascii="LMRoman10" w:hAnsi="LMRoman10"/>
          <w:i/>
          <w:iCs/>
          <w:color w:val="B45309"/>
        </w:rPr>
        <w:t>Cas-témoins → odds ratio ; cohorte → risque relatif/incidence. Ne pas inverser.</w:t>
      </w:r>
    </w:p>
    <w:p w:rsidR="009C4AB4" w:rsidRPr="004C7FEE" w:rsidRDefault="004C7FEE">
      <w:pPr>
        <w:pStyle w:val="Heading2"/>
        <w:rPr>
          <w:rFonts w:ascii="LMRoman10" w:hAnsi="LMRoman10"/>
        </w:rPr>
      </w:pPr>
      <w:r w:rsidRPr="004C7FEE">
        <w:rPr>
          <w:rFonts w:ascii="LMRoman10" w:hAnsi="LMRoman10"/>
        </w:rPr>
        <w:t>** SÉQUENCES &amp; RÉFLEXES **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Microcytaire hypochrome → ferritine (1er) ; arrêt du fer à la normalisation de la ferritine.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Macrocytaire arégénérative + signes neuro → B12 ; confirmation par dosage ; traitement à vie (Biermer).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Syndrome de lyse tumorale = K↑ · acide urique↑ · phosphore↑</w:t>
      </w:r>
      <w:r w:rsidRPr="004C7FEE">
        <w:rPr>
          <w:rFonts w:ascii="LMRoman10" w:hAnsi="LMRoman10"/>
        </w:rPr>
        <w:t xml:space="preserve"> · calcium↓ → hyperhydratation + rasburicase.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 xml:space="preserve">Neutropénie fébrile (PNN&lt;500 + </w:t>
      </w:r>
      <w:r w:rsidRPr="004C7FEE">
        <w:rPr>
          <w:rFonts w:ascii="Courier New" w:hAnsi="Courier New" w:cs="Courier New"/>
        </w:rPr>
        <w:t>≥</w:t>
      </w:r>
      <w:r w:rsidRPr="004C7FEE">
        <w:rPr>
          <w:rFonts w:ascii="LMRoman10" w:hAnsi="LMRoman10"/>
        </w:rPr>
        <w:t xml:space="preserve">38,3 </w:t>
      </w:r>
      <w:r w:rsidRPr="004C7FEE">
        <w:rPr>
          <w:rFonts w:ascii="LMRoman10" w:hAnsi="LMRoman10" w:cs="LMRoman10"/>
        </w:rPr>
        <w:t>°</w:t>
      </w:r>
      <w:r w:rsidRPr="004C7FEE">
        <w:rPr>
          <w:rFonts w:ascii="LMRoman10" w:hAnsi="LMRoman10"/>
        </w:rPr>
        <w:t xml:space="preserve">C) </w:t>
      </w:r>
      <w:r w:rsidRPr="004C7FEE">
        <w:rPr>
          <w:rFonts w:ascii="LMRoman10" w:hAnsi="LMRoman10" w:cs="LMRoman10"/>
        </w:rPr>
        <w:t>→</w:t>
      </w:r>
      <w:r w:rsidRPr="004C7FEE">
        <w:rPr>
          <w:rFonts w:ascii="LMRoman10" w:hAnsi="LMRoman10"/>
        </w:rPr>
        <w:t xml:space="preserve"> antibioth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rapie large spectre imm</w:t>
      </w:r>
      <w:r w:rsidRPr="004C7FEE">
        <w:rPr>
          <w:rFonts w:ascii="LMRoman10" w:hAnsi="LMRoman10" w:cs="LMRoman10"/>
        </w:rPr>
        <w:t>é</w:t>
      </w:r>
      <w:r w:rsidRPr="004C7FEE">
        <w:rPr>
          <w:rFonts w:ascii="LMRoman10" w:hAnsi="LMRoman10"/>
        </w:rPr>
        <w:t>diate.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CIVD = TP↓ · TCA↑ · fibrinogène↓ · D-dimères↑ → traiter la cause ; rechercher devant toute LAM3.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Agoniste LH-RH → risque flare</w:t>
      </w:r>
      <w:r w:rsidRPr="004C7FEE">
        <w:rPr>
          <w:rFonts w:ascii="LMRoman10" w:hAnsi="LMRoman10"/>
        </w:rPr>
        <w:t>-up → couvrir par anti-androgène (bicalutamide) au démarrage.</w:t>
      </w:r>
    </w:p>
    <w:p w:rsidR="009C4AB4" w:rsidRPr="004C7FEE" w:rsidRDefault="004C7FE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C7FEE">
        <w:rPr>
          <w:rFonts w:ascii="LMRoman10" w:hAnsi="LMRoman10"/>
        </w:rPr>
        <w:t>Hémophilie en urgence hémorragique → administrer le facteur déficitaire EN PREMIER ; jamais d'aspirine/AINS/IM.</w:t>
      </w:r>
    </w:p>
    <w:p w:rsidR="009C4AB4" w:rsidRPr="004C7FEE" w:rsidRDefault="004C7FEE">
      <w:pPr>
        <w:spacing w:before="240" w:after="60"/>
        <w:rPr>
          <w:rFonts w:ascii="LMRoman10" w:hAnsi="LMRoman10"/>
        </w:rPr>
      </w:pPr>
      <w:r w:rsidRPr="004C7FEE">
        <w:rPr>
          <w:rFonts w:ascii="LMRoman10" w:hAnsi="LMRoman10"/>
          <w:color w:val="000000"/>
        </w:rPr>
        <w:t xml:space="preserve"> </w:t>
      </w:r>
    </w:p>
    <w:p w:rsidR="009C4AB4" w:rsidRPr="004C7FEE" w:rsidRDefault="009C4AB4">
      <w:pPr>
        <w:pBdr>
          <w:top w:val="double" w:sz="8" w:space="4" w:color="1F3A5F"/>
        </w:pBdr>
        <w:rPr>
          <w:rFonts w:ascii="LMRoman10" w:hAnsi="LMRoman10"/>
        </w:rPr>
      </w:pP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  <w:sz w:val="18"/>
          <w:szCs w:val="18"/>
        </w:rPr>
        <w:t>Généré par Claude.ai (Claude (Opus)) — Version 1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i/>
          <w:iCs/>
          <w:color w:val="000000"/>
          <w:sz w:val="18"/>
          <w:szCs w:val="18"/>
        </w:rPr>
        <w:t>Cross-match 600 QEs officielles × Cours AIO Hémato (614 p.) + Onco (659 p.)</w:t>
      </w:r>
    </w:p>
    <w:p w:rsidR="009C4AB4" w:rsidRPr="004C7FEE" w:rsidRDefault="004C7FEE">
      <w:pPr>
        <w:spacing w:before="60" w:after="60"/>
        <w:jc w:val="center"/>
        <w:rPr>
          <w:rFonts w:ascii="LMRoman10" w:hAnsi="LMRoman10"/>
        </w:rPr>
      </w:pPr>
      <w:r w:rsidRPr="004C7FEE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 Raissi · Pr Lahlimi · Pr El Fadli · Pr El Omrani · Pr Essadi — FMPM</w:t>
      </w:r>
    </w:p>
    <w:p w:rsidR="009C4AB4" w:rsidRPr="004C7FEE" w:rsidRDefault="004C7FEE">
      <w:pPr>
        <w:spacing w:before="200" w:after="60"/>
        <w:rPr>
          <w:rFonts w:ascii="LMRoman10" w:hAnsi="LMRoman10"/>
        </w:rPr>
      </w:pPr>
      <w:r w:rsidRPr="004C7FEE">
        <w:rPr>
          <w:rFonts w:ascii="LMRoman10" w:hAnsi="LMRoman10"/>
          <w:b/>
          <w:bCs/>
          <w:color w:val="065F46"/>
        </w:rPr>
        <w:t>Améliorations Version 1 :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600/600 QE analysées sur 12 sessions (Normal 2019 → Normal 2025).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Session « Oct</w:t>
      </w:r>
      <w:r w:rsidRPr="004C7FEE">
        <w:rPr>
          <w:rFonts w:ascii="LMRoman10" w:hAnsi="LMRoman10"/>
          <w:color w:val="065F46"/>
          <w:sz w:val="18"/>
          <w:szCs w:val="18"/>
        </w:rPr>
        <w:t>obre 2024 » : énoncés présents mais SANS corrigé officiel dans la source (correction collective non transcrite) — réponses validées sur le cours AIO / EBM, jamais inventées.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Les 65 « questions inclassifiables » ont été redistribuées dans leur cours d'ori</w:t>
      </w:r>
      <w:r w:rsidRPr="004C7FEE">
        <w:rPr>
          <w:rFonts w:ascii="LMRoman10" w:hAnsi="LMRoman10"/>
          <w:color w:val="065F46"/>
          <w:sz w:val="18"/>
          <w:szCs w:val="18"/>
        </w:rPr>
        <w:t>gine + une section transversale résiduelle (reconnaissance hématologique).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PARTIE 3 strictement par rang de fréquence ; déduplication des questions répétées ; FAUX explicites (</w:t>
      </w:r>
      <w:r w:rsidRPr="004C7FEE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4C7FEE">
        <w:rPr>
          <w:rFonts w:ascii="LMRoman10" w:hAnsi="LMRoman10"/>
          <w:color w:val="065F46"/>
          <w:sz w:val="18"/>
          <w:szCs w:val="18"/>
        </w:rPr>
        <w:t>).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Contradictions inter-sessions signalées (ex. B12 orale vs parentérale N2</w:t>
      </w:r>
      <w:r w:rsidRPr="004C7FEE">
        <w:rPr>
          <w:rFonts w:ascii="LMRoman10" w:hAnsi="LMRoman10"/>
          <w:color w:val="065F46"/>
          <w:sz w:val="18"/>
          <w:szCs w:val="18"/>
        </w:rPr>
        <w:t>024 vs R2024 ; sens de l'hémolyse ABO).</w:t>
      </w:r>
    </w:p>
    <w:p w:rsidR="009C4AB4" w:rsidRPr="004C7FEE" w:rsidRDefault="004C7FEE">
      <w:pPr>
        <w:spacing w:before="60" w:after="60"/>
        <w:rPr>
          <w:rFonts w:ascii="LMRoman10" w:hAnsi="LMRoman10"/>
        </w:rPr>
      </w:pPr>
      <w:r w:rsidRPr="004C7FE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C7FEE">
        <w:rPr>
          <w:rFonts w:ascii="LMRoman10" w:hAnsi="LMRoman10"/>
          <w:color w:val="065F46"/>
          <w:sz w:val="18"/>
          <w:szCs w:val="18"/>
        </w:rPr>
        <w:t xml:space="preserve"> Corrigés-source : 12 examens corrigés e-qe.online (2019-2025) — liens fournis dans le chat.</w:t>
      </w:r>
      <w:bookmarkEnd w:id="0"/>
    </w:p>
    <w:sectPr w:rsidR="009C4AB4" w:rsidRPr="004C7FE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2F211C"/>
    <w:multiLevelType w:val="hybridMultilevel"/>
    <w:tmpl w:val="C42EB28C"/>
    <w:lvl w:ilvl="0" w:tplc="342CC914">
      <w:start w:val="1"/>
      <w:numFmt w:val="bullet"/>
      <w:lvlText w:val="•"/>
      <w:lvlJc w:val="left"/>
      <w:pPr>
        <w:ind w:left="720" w:hanging="360"/>
      </w:pPr>
    </w:lvl>
    <w:lvl w:ilvl="1" w:tplc="A066FC3C">
      <w:numFmt w:val="decimal"/>
      <w:lvlText w:val=""/>
      <w:lvlJc w:val="left"/>
    </w:lvl>
    <w:lvl w:ilvl="2" w:tplc="17C073E0">
      <w:numFmt w:val="decimal"/>
      <w:lvlText w:val=""/>
      <w:lvlJc w:val="left"/>
    </w:lvl>
    <w:lvl w:ilvl="3" w:tplc="DC880C64">
      <w:numFmt w:val="decimal"/>
      <w:lvlText w:val=""/>
      <w:lvlJc w:val="left"/>
    </w:lvl>
    <w:lvl w:ilvl="4" w:tplc="C72679BC">
      <w:numFmt w:val="decimal"/>
      <w:lvlText w:val=""/>
      <w:lvlJc w:val="left"/>
    </w:lvl>
    <w:lvl w:ilvl="5" w:tplc="8118DFB2">
      <w:numFmt w:val="decimal"/>
      <w:lvlText w:val=""/>
      <w:lvlJc w:val="left"/>
    </w:lvl>
    <w:lvl w:ilvl="6" w:tplc="70886E6C">
      <w:numFmt w:val="decimal"/>
      <w:lvlText w:val=""/>
      <w:lvlJc w:val="left"/>
    </w:lvl>
    <w:lvl w:ilvl="7" w:tplc="C394A14A">
      <w:numFmt w:val="decimal"/>
      <w:lvlText w:val=""/>
      <w:lvlJc w:val="left"/>
    </w:lvl>
    <w:lvl w:ilvl="8" w:tplc="28360B00">
      <w:numFmt w:val="decimal"/>
      <w:lvlText w:val=""/>
      <w:lvlJc w:val="left"/>
    </w:lvl>
  </w:abstractNum>
  <w:abstractNum w:abstractNumId="1" w15:restartNumberingAfterBreak="0">
    <w:nsid w:val="7C4F3E89"/>
    <w:multiLevelType w:val="hybridMultilevel"/>
    <w:tmpl w:val="7966E43E"/>
    <w:lvl w:ilvl="0" w:tplc="A16E87B0">
      <w:start w:val="1"/>
      <w:numFmt w:val="bullet"/>
      <w:lvlText w:val="●"/>
      <w:lvlJc w:val="left"/>
      <w:pPr>
        <w:ind w:left="720" w:hanging="360"/>
      </w:pPr>
    </w:lvl>
    <w:lvl w:ilvl="1" w:tplc="CFCA2AC8">
      <w:start w:val="1"/>
      <w:numFmt w:val="bullet"/>
      <w:lvlText w:val="○"/>
      <w:lvlJc w:val="left"/>
      <w:pPr>
        <w:ind w:left="1440" w:hanging="360"/>
      </w:pPr>
    </w:lvl>
    <w:lvl w:ilvl="2" w:tplc="B0DEBDFE">
      <w:start w:val="1"/>
      <w:numFmt w:val="bullet"/>
      <w:lvlText w:val="■"/>
      <w:lvlJc w:val="left"/>
      <w:pPr>
        <w:ind w:left="2160" w:hanging="360"/>
      </w:pPr>
    </w:lvl>
    <w:lvl w:ilvl="3" w:tplc="56C2D7AA">
      <w:start w:val="1"/>
      <w:numFmt w:val="bullet"/>
      <w:lvlText w:val="●"/>
      <w:lvlJc w:val="left"/>
      <w:pPr>
        <w:ind w:left="2880" w:hanging="360"/>
      </w:pPr>
    </w:lvl>
    <w:lvl w:ilvl="4" w:tplc="43209640">
      <w:start w:val="1"/>
      <w:numFmt w:val="bullet"/>
      <w:lvlText w:val="○"/>
      <w:lvlJc w:val="left"/>
      <w:pPr>
        <w:ind w:left="3600" w:hanging="360"/>
      </w:pPr>
    </w:lvl>
    <w:lvl w:ilvl="5" w:tplc="8F0C5F16">
      <w:start w:val="1"/>
      <w:numFmt w:val="bullet"/>
      <w:lvlText w:val="■"/>
      <w:lvlJc w:val="left"/>
      <w:pPr>
        <w:ind w:left="4320" w:hanging="360"/>
      </w:pPr>
    </w:lvl>
    <w:lvl w:ilvl="6" w:tplc="3412E770">
      <w:start w:val="1"/>
      <w:numFmt w:val="bullet"/>
      <w:lvlText w:val="●"/>
      <w:lvlJc w:val="left"/>
      <w:pPr>
        <w:ind w:left="5040" w:hanging="360"/>
      </w:pPr>
    </w:lvl>
    <w:lvl w:ilvl="7" w:tplc="5AF4BE06">
      <w:start w:val="1"/>
      <w:numFmt w:val="bullet"/>
      <w:lvlText w:val="●"/>
      <w:lvlJc w:val="left"/>
      <w:pPr>
        <w:ind w:left="5760" w:hanging="360"/>
      </w:pPr>
    </w:lvl>
    <w:lvl w:ilvl="8" w:tplc="9FEA631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AB4"/>
    <w:rsid w:val="004C7FEE"/>
    <w:rsid w:val="009C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30FFD6A-158E-4DA6-8060-C3716178C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-qe.online/exam/63e024c9-9ca5-4b23-a387-5478fdec6c46" TargetMode="External"/><Relationship Id="rId13" Type="http://schemas.openxmlformats.org/officeDocument/2006/relationships/hyperlink" Target="https://www.e-qe.online/exam/73f18a54-1efd-4d52-9293-247853fdd76b" TargetMode="External"/><Relationship Id="rId18" Type="http://schemas.openxmlformats.org/officeDocument/2006/relationships/hyperlink" Target="https://www.e-qe.online/exam/016b710e-639f-4150-b6a3-471afdf07e01" TargetMode="External"/><Relationship Id="rId26" Type="http://schemas.openxmlformats.org/officeDocument/2006/relationships/hyperlink" Target="https://www.e-qe.online/exam/60717d3a-490c-43f7-b101-c8cfa9202403" TargetMode="External"/><Relationship Id="rId39" Type="http://schemas.openxmlformats.org/officeDocument/2006/relationships/hyperlink" Target="https://www.e-qe.online/exam/5fcacd0a-ec53-4cca-abac-8bb4e0b71a3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-qe.online/exam/5fcacd0a-ec53-4cca-abac-8bb4e0b71a37" TargetMode="External"/><Relationship Id="rId34" Type="http://schemas.openxmlformats.org/officeDocument/2006/relationships/hyperlink" Target="https://www.e-qe.online/exam/016b710e-639f-4150-b6a3-471afdf07e01" TargetMode="External"/><Relationship Id="rId42" Type="http://schemas.openxmlformats.org/officeDocument/2006/relationships/hyperlink" Target="https://www.e-qe.online/exam/016b710e-639f-4150-b6a3-471afdf07e01" TargetMode="External"/><Relationship Id="rId7" Type="http://schemas.openxmlformats.org/officeDocument/2006/relationships/hyperlink" Target="https://www.e-qe.online/exam/73f18a54-1efd-4d52-9293-247853fdd76b" TargetMode="External"/><Relationship Id="rId12" Type="http://schemas.openxmlformats.org/officeDocument/2006/relationships/hyperlink" Target="https://www.e-qe.online/exam/5fcacd0a-ec53-4cca-abac-8bb4e0b71a37" TargetMode="External"/><Relationship Id="rId17" Type="http://schemas.openxmlformats.org/officeDocument/2006/relationships/hyperlink" Target="https://www.e-qe.online/exam/5fcacd0a-ec53-4cca-abac-8bb4e0b71a37" TargetMode="External"/><Relationship Id="rId25" Type="http://schemas.openxmlformats.org/officeDocument/2006/relationships/hyperlink" Target="https://www.e-qe.online/exam/63e024c9-9ca5-4b23-a387-5478fdec6c46" TargetMode="External"/><Relationship Id="rId33" Type="http://schemas.openxmlformats.org/officeDocument/2006/relationships/hyperlink" Target="https://www.e-qe.online/exam/5fcacd0a-ec53-4cca-abac-8bb4e0b71a37" TargetMode="External"/><Relationship Id="rId38" Type="http://schemas.openxmlformats.org/officeDocument/2006/relationships/hyperlink" Target="https://www.e-qe.online/exam/5fcacd0a-ec53-4cca-abac-8bb4e0b71a3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-qe.online/exam/016b710e-639f-4150-b6a3-471afdf07e01" TargetMode="External"/><Relationship Id="rId20" Type="http://schemas.openxmlformats.org/officeDocument/2006/relationships/hyperlink" Target="https://www.e-qe.online/exam/73f18a54-1efd-4d52-9293-247853fdd76b" TargetMode="External"/><Relationship Id="rId29" Type="http://schemas.openxmlformats.org/officeDocument/2006/relationships/hyperlink" Target="https://www.e-qe.online/exam/73f18a54-1efd-4d52-9293-247853fdd76b" TargetMode="External"/><Relationship Id="rId41" Type="http://schemas.openxmlformats.org/officeDocument/2006/relationships/hyperlink" Target="https://www.e-qe.online/exam/5fcacd0a-ec53-4cca-abac-8bb4e0b71a3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-qe.online/exam/5fcacd0a-ec53-4cca-abac-8bb4e0b71a37" TargetMode="External"/><Relationship Id="rId11" Type="http://schemas.openxmlformats.org/officeDocument/2006/relationships/hyperlink" Target="https://www.e-qe.online/exam/73f18a54-1efd-4d52-9293-247853fdd76b" TargetMode="External"/><Relationship Id="rId24" Type="http://schemas.openxmlformats.org/officeDocument/2006/relationships/hyperlink" Target="https://www.e-qe.online/exam/016b710e-639f-4150-b6a3-471afdf07e01" TargetMode="External"/><Relationship Id="rId32" Type="http://schemas.openxmlformats.org/officeDocument/2006/relationships/hyperlink" Target="https://www.e-qe.online/exam/016b710e-639f-4150-b6a3-471afdf07e01" TargetMode="External"/><Relationship Id="rId37" Type="http://schemas.openxmlformats.org/officeDocument/2006/relationships/hyperlink" Target="https://www.e-qe.online/exam/73f18a54-1efd-4d52-9293-247853fdd76b" TargetMode="External"/><Relationship Id="rId40" Type="http://schemas.openxmlformats.org/officeDocument/2006/relationships/hyperlink" Target="https://www.e-qe.online/exam/0e864cf8-4a3d-4550-8bfe-3697120e0bba" TargetMode="External"/><Relationship Id="rId5" Type="http://schemas.openxmlformats.org/officeDocument/2006/relationships/hyperlink" Target="https://www.e-qe.online/exam/73f18a54-1efd-4d52-9293-247853fdd76b" TargetMode="External"/><Relationship Id="rId15" Type="http://schemas.openxmlformats.org/officeDocument/2006/relationships/hyperlink" Target="https://www.e-qe.online/exam/5fcacd0a-ec53-4cca-abac-8bb4e0b71a37" TargetMode="External"/><Relationship Id="rId23" Type="http://schemas.openxmlformats.org/officeDocument/2006/relationships/hyperlink" Target="https://www.e-qe.online/exam/5fcacd0a-ec53-4cca-abac-8bb4e0b71a37" TargetMode="External"/><Relationship Id="rId28" Type="http://schemas.openxmlformats.org/officeDocument/2006/relationships/hyperlink" Target="https://www.e-qe.online/exam/1759e6f3-d7d9-4ac8-931e-a9aeb9c132c1" TargetMode="External"/><Relationship Id="rId36" Type="http://schemas.openxmlformats.org/officeDocument/2006/relationships/hyperlink" Target="https://www.e-qe.online/exam/016b710e-639f-4150-b6a3-471afdf07e01" TargetMode="External"/><Relationship Id="rId10" Type="http://schemas.openxmlformats.org/officeDocument/2006/relationships/hyperlink" Target="https://www.e-qe.online/exam/016b710e-639f-4150-b6a3-471afdf07e01" TargetMode="External"/><Relationship Id="rId19" Type="http://schemas.openxmlformats.org/officeDocument/2006/relationships/hyperlink" Target="https://www.e-qe.online/exam/5fcacd0a-ec53-4cca-abac-8bb4e0b71a37" TargetMode="External"/><Relationship Id="rId31" Type="http://schemas.openxmlformats.org/officeDocument/2006/relationships/hyperlink" Target="https://www.e-qe.online/exam/40fc6ad7-3579-4129-98a1-e52b30a0d03d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e-qe.online/exam/73f18a54-1efd-4d52-9293-247853fdd76b" TargetMode="External"/><Relationship Id="rId14" Type="http://schemas.openxmlformats.org/officeDocument/2006/relationships/hyperlink" Target="https://www.e-qe.online/exam/9a991fcb-cbd9-4675-abb3-126c7c12be15" TargetMode="External"/><Relationship Id="rId22" Type="http://schemas.openxmlformats.org/officeDocument/2006/relationships/hyperlink" Target="https://www.e-qe.online/exam/016b710e-639f-4150-b6a3-471afdf07e01" TargetMode="External"/><Relationship Id="rId27" Type="http://schemas.openxmlformats.org/officeDocument/2006/relationships/hyperlink" Target="https://www.e-qe.online/exam/40fc6ad7-3579-4129-98a1-e52b30a0d03d" TargetMode="External"/><Relationship Id="rId30" Type="http://schemas.openxmlformats.org/officeDocument/2006/relationships/hyperlink" Target="https://www.e-qe.online/exam/5fcacd0a-ec53-4cca-abac-8bb4e0b71a37" TargetMode="External"/><Relationship Id="rId35" Type="http://schemas.openxmlformats.org/officeDocument/2006/relationships/hyperlink" Target="https://www.e-qe.online/exam/5fcacd0a-ec53-4cca-abac-8bb4e0b71a37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5659</Words>
  <Characters>32257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HÉMATOLOGIE-ONCOLOGIE - QE Haute Fréquence</vt:lpstr>
    </vt:vector>
  </TitlesOfParts>
  <Company/>
  <LinksUpToDate>false</LinksUpToDate>
  <CharactersWithSpaces>37841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HÉMATOLOGIE-ONCOLOGIE - QE Haute Fréquence</dc:title>
  <dc:creator>Claude.ai</dc:creator>
  <dc:description>Generated by qe-analysis skill</dc:description>
  <cp:lastModifiedBy>tool</cp:lastModifiedBy>
  <cp:revision>2</cp:revision>
  <dcterms:created xsi:type="dcterms:W3CDTF">2026-06-02T08:42:00Z</dcterms:created>
  <dcterms:modified xsi:type="dcterms:W3CDTF">2026-06-13T22:51:00Z</dcterms:modified>
</cp:coreProperties>
</file>