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F0678" w:rsidRPr="00DC5459" w:rsidRDefault="00DC5459">
      <w:pPr>
        <w:spacing w:after="100"/>
        <w:jc w:val="center"/>
        <w:rPr>
          <w:rFonts w:ascii="LMRoman10" w:hAnsi="LMRoman10"/>
        </w:rPr>
      </w:pPr>
      <w:bookmarkStart w:id="0" w:name="_GoBack"/>
      <w:r w:rsidRPr="00DC5459">
        <w:rPr>
          <w:rFonts w:ascii="LMRoman10" w:hAnsi="LMRoman10"/>
          <w:b/>
          <w:bCs/>
          <w:color w:val="1F3A5F"/>
          <w:sz w:val="44"/>
          <w:szCs w:val="44"/>
        </w:rPr>
        <w:t>IMMUNOLOGIE · GÉNÉTIQUE · MÉDECINE INTERNE</w:t>
      </w:r>
    </w:p>
    <w:p w:rsidR="004F0678" w:rsidRPr="00DC5459" w:rsidRDefault="00DC5459">
      <w:pPr>
        <w:pBdr>
          <w:bottom w:val="double" w:sz="12" w:space="4" w:color="1F3A5F"/>
        </w:pBdr>
        <w:spacing w:after="24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30"/>
          <w:szCs w:val="30"/>
        </w:rPr>
        <w:t>Fiches QE Haute Fréquence — Version 1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i/>
          <w:iCs/>
          <w:color w:val="000000"/>
        </w:rPr>
        <w:t>Cross-match : 785 QEs officielles (2017→2025) × Cours AIO (Génétique 412 p. + Immunopath 383 p. + Maladies de système 496 p.)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000000"/>
          <w:sz w:val="18"/>
          <w:szCs w:val="18"/>
        </w:rPr>
        <w:t>FMP · 16 sessions analysées (Normal génétique 2017 → Normal 2025)</w:t>
      </w:r>
    </w:p>
    <w:p w:rsidR="004F0678" w:rsidRPr="00DC5459" w:rsidRDefault="00DC5459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FFFFFF"/>
          <w:sz w:val="24"/>
          <w:szCs w:val="24"/>
        </w:rPr>
        <w:t>PARTIE 1 — CLASSEMENT DES LEÇONS PAR ORDRE D'IMPORTANCE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LMRoman10" w:hAnsi="LMRoman10"/>
          <w:i/>
          <w:iCs/>
          <w:color w:val="000000"/>
        </w:rPr>
        <w:t>Classement basé sur la fréquence réelle dans 785 QEs (16 sessions).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00"/>
        <w:gridCol w:w="4800"/>
        <w:gridCol w:w="1400"/>
        <w:gridCol w:w="2360"/>
      </w:tblGrid>
      <w:tr w:rsidR="004F0678" w:rsidRPr="00DC54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Rang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Professeur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Pathologie chromosomique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Génétique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Modes de transmission des maladies héréditaires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83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Génétique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Les hypersensibilités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Immunopathologie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Auto-immunité et maladie auto-immune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Immunopathologie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Immuno-intervention (vaccins · Ac monoclonaux · immunosuppr.)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Immunopathologie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Lupus érythémateux systémique (LES)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Phénomène de Raynaud (et sclérodermie)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39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Généralités en génétique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37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Génétique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Les déficits immunitaires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Immunopathologie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Diagnostic anténatal et caryotype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30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Génétique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Vascularites systémiques et Horton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Granulomatose avec polyangéite (Wegener / GPA)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13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Immunité anti-infectieuse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Immunopathologie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14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Myopathie inflammatoire (poly/dermatomyosite)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Syndrome de Gougerot-Sjögren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16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Le conseil génétique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21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Génétique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17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Syndrome des antiphospholipides (SAPL)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20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18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Maladie de Behçet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15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19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Sclérodermie systémique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20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Immunité anti-tumorale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13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Immunopathologie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21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Dermatomyosite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22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Artérite de Takayasu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Médecine interne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—</w:t>
            </w:r>
          </w:p>
        </w:tc>
        <w:tc>
          <w:tcPr>
            <w:tcW w:w="48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Questions inclassifiables (vignettes transversales)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Transv. · 42 Q</w:t>
            </w:r>
          </w:p>
        </w:tc>
        <w:tc>
          <w:tcPr>
            <w:tcW w:w="23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Mixte</w:t>
            </w:r>
          </w:p>
        </w:tc>
      </w:tr>
    </w:tbl>
    <w:p w:rsidR="004F0678" w:rsidRPr="00DC5459" w:rsidRDefault="00DC5459">
      <w:pPr>
        <w:rPr>
          <w:rFonts w:ascii="LMRoman10" w:hAnsi="LMRoman10"/>
        </w:rPr>
      </w:pPr>
      <w:r w:rsidRPr="00DC5459">
        <w:rPr>
          <w:rFonts w:ascii="LMRoman10" w:hAnsi="LMRoman10"/>
        </w:rPr>
        <w:br w:type="page"/>
      </w:r>
    </w:p>
    <w:p w:rsidR="004F0678" w:rsidRPr="00DC5459" w:rsidRDefault="00DC5459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2 — MOYENNE DE QUESTIONS PAR LEÇON PAR EXAMEN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LMRoman10" w:hAnsi="LMRoman10"/>
          <w:i/>
          <w:iCs/>
          <w:color w:val="000000"/>
        </w:rPr>
        <w:t>Statistiques calculées sur 16 sessions, chaque examen ~49.1 questions.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1400"/>
        <w:gridCol w:w="1700"/>
        <w:gridCol w:w="1860"/>
      </w:tblGrid>
      <w:tr w:rsidR="004F0678" w:rsidRPr="00DC54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Leçon officielle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Total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Moy/exam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% d'exam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Pathologie chromosomique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120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7.50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15.3%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Modes de transmission des maladies héréditaires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83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5.19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10.6%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Les hypersensibilités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70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4.38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8.9%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Auto-immunité et maladie auto-immune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5.2%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Immuno-intervention (vaccins · Ac monoclonaux · immunosuppr.)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41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2.56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5.2%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Lupus érythémateux systémique (LES)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5.0%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Phénomène de Raynaud (et sclérodermie)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39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2.44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5.0%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Généralités en génétique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37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2.31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4.7%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Les déficits immunitaires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34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2.12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4.3%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Diagnostic anténatal et caryotype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30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1.88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3.8%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Vascularites systémiques et Horton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Granulomatose avec polyangéite (Wegener / GPA)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Immunité anti-infectieuse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25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1.56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3.2%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Myopathie inflammatoire (poly/dermatomyosite)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24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1.50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3.1%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Syndrome de Gougerot-Sjögren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Le conseil génétique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21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1.31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2.7%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Syndrome des antiphospholipides (SAPL)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20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1.25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2.5%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Maladie de Behçet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15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0.94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1.9%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Sclérodermie systémique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14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0.88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1.8%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Immunité anti-tumorale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13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0.81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1.7%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Dermatomyosite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4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0.25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0.5%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Artérite de Takayasu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0.12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0.3%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Questions inclassifiables (transversal)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42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2.62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5.3%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TOTAL des 22 leçons officielles</w:t>
            </w:r>
          </w:p>
        </w:tc>
        <w:tc>
          <w:tcPr>
            <w:tcW w:w="14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743 Q</w:t>
            </w:r>
          </w:p>
        </w:tc>
        <w:tc>
          <w:tcPr>
            <w:tcW w:w="17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46.4</w:t>
            </w:r>
          </w:p>
        </w:tc>
        <w:tc>
          <w:tcPr>
            <w:tcW w:w="1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FF3E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jc w:val="center"/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94.6%</w:t>
            </w:r>
          </w:p>
        </w:tc>
      </w:tr>
    </w:tbl>
    <w:p w:rsidR="004F0678" w:rsidRPr="00DC5459" w:rsidRDefault="00DC5459">
      <w:pPr>
        <w:rPr>
          <w:rFonts w:ascii="LMRoman10" w:hAnsi="LMRoman10"/>
        </w:rPr>
      </w:pPr>
      <w:r w:rsidRPr="00DC5459">
        <w:rPr>
          <w:rFonts w:ascii="LMRoman10" w:hAnsi="LMRoman10"/>
        </w:rPr>
        <w:br w:type="page"/>
      </w:r>
    </w:p>
    <w:p w:rsidR="004F0678" w:rsidRPr="00DC5459" w:rsidRDefault="00DC5459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3 — QUESTIONS LES PLUS FRÉQUENTES (ORDRE STRICT PAR RANG)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i/>
          <w:iCs/>
          <w:color w:val="000000"/>
        </w:rPr>
        <w:t>Format : faits (-) / pièges (</w:t>
      </w:r>
      <w:r w:rsidRPr="00DC5459">
        <w:rPr>
          <w:rFonts w:ascii="Segoe UI Symbol" w:hAnsi="Segoe UI Symbol" w:cs="Segoe UI Symbol"/>
          <w:i/>
          <w:iCs/>
          <w:color w:val="000000"/>
        </w:rPr>
        <w:t>⚠</w:t>
      </w:r>
      <w:r w:rsidRPr="00DC5459">
        <w:rPr>
          <w:rFonts w:ascii="LMRoman10" w:hAnsi="LMRoman10"/>
          <w:i/>
          <w:iCs/>
          <w:color w:val="000000"/>
        </w:rPr>
        <w:t>) / source (</w:t>
      </w:r>
      <w:r w:rsidRPr="00DC5459">
        <w:rPr>
          <w:rFonts w:ascii="Segoe UI Symbol" w:hAnsi="Segoe UI Symbol" w:cs="Segoe UI Symbol"/>
          <w:i/>
          <w:iCs/>
          <w:color w:val="000000"/>
        </w:rPr>
        <w:t>📖</w:t>
      </w:r>
      <w:r w:rsidRPr="00DC5459">
        <w:rPr>
          <w:rFonts w:ascii="LMRoman10" w:hAnsi="LMRoman10"/>
          <w:i/>
          <w:iCs/>
          <w:color w:val="000000"/>
        </w:rPr>
        <w:t>) / lien cours (</w:t>
      </w:r>
      <w:r w:rsidRPr="00DC5459">
        <w:rPr>
          <w:rFonts w:ascii="Segoe UI Symbol" w:hAnsi="Segoe UI Symbol" w:cs="Segoe UI Symbol"/>
          <w:i/>
          <w:iCs/>
          <w:color w:val="000000"/>
        </w:rPr>
        <w:t>📎</w:t>
      </w:r>
      <w:r w:rsidRPr="00DC5459">
        <w:rPr>
          <w:rFonts w:ascii="LMRoman10" w:hAnsi="LMRoman10"/>
          <w:i/>
          <w:iCs/>
          <w:color w:val="000000"/>
        </w:rPr>
        <w:t>) / citations (</w:t>
      </w:r>
      <w:r w:rsidRPr="00DC5459">
        <w:rPr>
          <w:rFonts w:ascii="Segoe UI Symbol" w:hAnsi="Segoe UI Symbol" w:cs="Segoe UI Symbol"/>
          <w:i/>
          <w:iCs/>
          <w:color w:val="000000"/>
        </w:rPr>
        <w:t>📋</w:t>
      </w:r>
      <w:r w:rsidRPr="00DC5459">
        <w:rPr>
          <w:rFonts w:ascii="LMRoman10" w:hAnsi="LMRoman10"/>
          <w:i/>
          <w:iCs/>
          <w:color w:val="000000"/>
        </w:rPr>
        <w:t>)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1] PATHOLOGIE CHROMOSOMIQUE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Génétique  •  ~7.50 Q/examen (n°1 — 15,3 %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Génétique AIO (412 p.) · nomenclature ISCN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Trisomie 21 (Down) — 47,XX/XY,+21 — clinique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Épicanthus + fentes palpébrales obliques (yeux bridés), excès de peau à la nuque, pli palmaire transverse unique, écart exagéré 1er–2e orteils (sandal-gap), hypotonie.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Risque augmenté par l'ÂGE MATERNEL avancé (non-disjonction méiotique).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T21 libre et homo</w:t>
      </w:r>
      <w:r w:rsidRPr="00DC5459">
        <w:rPr>
          <w:rFonts w:ascii="LMRoman10" w:hAnsi="LMRoman10"/>
        </w:rPr>
        <w:t>gène (~95 %) → conseil génétique : récurrence faible (~1 %), caryotype parental NON indiqué.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la fente labio-palatine n'est PAS un signe de T21 → c'est Patau (T13) ou Edwards (T18).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FAUX : l'âge PATERNEL avancé → maladies autosomiques DOMINANTES </w:t>
      </w:r>
      <w:r w:rsidRPr="00DC5459">
        <w:rPr>
          <w:rFonts w:ascii="LMRoman10" w:hAnsi="LMRoman10"/>
          <w:i/>
          <w:iCs/>
          <w:color w:val="B45309"/>
        </w:rPr>
        <w:t>de novo, pas la T21.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Q40, Sep24/Nov24 Q42, NG17 Q24/Q26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Trisomie 18 (Edwards) et Trisomie 13 (Patau)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Edwards 47,+18 : hypotrophie/RCIU, oreilles bas implantées (« faunesques »), chevauchement des doigts, pieds en piolet (rocker-bottom), dysmo</w:t>
      </w:r>
      <w:r w:rsidRPr="00DC5459">
        <w:rPr>
          <w:rFonts w:ascii="LMRoman10" w:hAnsi="LMRoman10"/>
        </w:rPr>
        <w:t>rphie cranio-faciale.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Patau 47,+13 : fente labio-palatine bilatérale, microphtalmie, hexa/polydactylie, holoprosencéphalie.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Piolet + chevauchement des doigts = Edwards ; fente + microphtalmie + hexadactylie = Patau. Ne pas inverser.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Q42, N2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5 Q46, Sep24/Nov24 Q41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Syndromes par délétion — formule chromosomique à connaître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Cri-du-chat = del(5)(p15) → 46,XY,del(5)(p15) : cri aigu de chat, microcéphalie, retard.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Wolf-Hirschhorn = del(4)(p16) → 46,XX,del(4)(p16) : dysmorphie « en casque de guerr</w:t>
      </w:r>
      <w:r w:rsidRPr="00DC5459">
        <w:rPr>
          <w:rFonts w:ascii="LMRoman10" w:hAnsi="LMRoman10"/>
        </w:rPr>
        <w:t>ier grec ».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Syndrome 1p36 = del(1)(p36).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Piège récurrent : del(4)(p16) = Wolf-Hirschhorn ; del(5)(p15) = Cri-du-chat. C'est le chiffre du bras court p qui les sépare.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Q44, Mai24 Q44, Sep24/Nov24 Q43, NG17 Q28-29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Turner (45,X) vs Klinefelter (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47,XXY)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Turner 45,X (variantes : mos 45,X/46,XX ; anneau r(X) ; isochromosome i(Xq)) — fille : retard statural, impubérisme/dysgénésie gonadique, cou palmé, coarctation de l'aorte, lymphœdème.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Klinefelter 47,XXY (ou mosaïque) — garçon : grande taille, atrophie testiculaire, stérilité (azoospermie), hypogonadisme, gynécomastie ; risque de CANCER DU SEIN ×20–50.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Turner : conseil génétique RASSURANT (récurrence faible) si 45,X, mosaïque, anneau ou </w:t>
      </w:r>
      <w:r w:rsidRPr="00DC5459">
        <w:rPr>
          <w:rFonts w:ascii="LMRoman10" w:hAnsi="LMRoman10"/>
        </w:rPr>
        <w:t>isochromosome X.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Turner = X manquant (monosomie) ; Klinefelter = X surnuméraire. Le cancer du sein masculin oriente vers Klinefelter.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Conseil NON rassurant si Turner secondaire à un remaniement parental.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Q40/Q48, Mai24 Q45/Q46, Mai23 Q49, N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G17 Q32/Q34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de l'X fragile (Martin-Bell)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Triade : dysmorphie faciale (visage long, grandes oreilles) + macro-orchidie À LA PUBERTÉ + retard mental (1re cause héréditaire de déficience intellectuelle).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Anomalie moléculaire : EXPANSION du triplet CGG du gène FMR1 (mutation instable).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lastRenderedPageBreak/>
        <w:t>Caryotype standard normal → 2e intention = méthyl-PCR / étude de FMR1 (le caryotype ne voit pas l'expansion).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macro-orchidie « congénitale » → elle apparaît À LA PUB</w:t>
      </w:r>
      <w:r w:rsidRPr="00DC5459">
        <w:rPr>
          <w:rFonts w:ascii="LMRoman10" w:hAnsi="LMRoman10"/>
          <w:i/>
          <w:iCs/>
          <w:color w:val="B45309"/>
        </w:rPr>
        <w:t>ERTÉ.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duplication ou mutation faux-sens de FMR1 → c'est une EXPANSION de triplet CGG.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Q41/Q42, NG17 Q31/Q37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Anomalies de STRUCTURE vs de NOMBRE — définitions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Sur UN SEUL chromosome : délétion (terminale/interstitielle), duplication, </w:t>
      </w:r>
      <w:r w:rsidRPr="00DC5459">
        <w:rPr>
          <w:rFonts w:ascii="LMRoman10" w:hAnsi="LMRoman10"/>
        </w:rPr>
        <w:t>inversion (péri/paracentrique), isochromosome, anneau.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Sur DEUX chromosomes : translocation réciproque et translocation robertsonienne.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Robertsonienne → uniquement chromosomes ACROCENTRIQUES : 13, 14, 15, 21, 22 (groupes D et G).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Aneuploïdie = nombre anorm</w:t>
      </w:r>
      <w:r w:rsidRPr="00DC5459">
        <w:rPr>
          <w:rFonts w:ascii="LMRoman10" w:hAnsi="LMRoman10"/>
        </w:rPr>
        <w:t>al non multiple de n (47,+18 ; 45,X). Polyploïdie = 69 (triploïde) / 92 (tétraploïde).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Clé officielle discutable (N25 Q47) : une translocation réciproque implique DEUX chromosomes — ne pas la classer « sur un seul chromosome ». Retenir la règle académiqu</w:t>
      </w:r>
      <w:r w:rsidRPr="00DC5459">
        <w:rPr>
          <w:rFonts w:ascii="LMRoman10" w:hAnsi="LMRoman10"/>
          <w:i/>
          <w:iCs/>
          <w:color w:val="B45309"/>
        </w:rPr>
        <w:t>e ci-dessus.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69,XXX et 92,XXYY ne sont PAS des aneuploïdies (= polyploïdies).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Q47, Sep24/Nov24 Q46, Sep24/Nov24 Q48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Quand demander le caryotype des PARENTS (enfant malade)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Devant un remaniement de STRUCTURE : der(14;21)+21, der(21;21</w:t>
      </w:r>
      <w:r w:rsidRPr="00DC5459">
        <w:rPr>
          <w:rFonts w:ascii="LMRoman10" w:hAnsi="LMRoman10"/>
        </w:rPr>
        <w:t>)+21, del(4)(p16), t(15;21)… → recherche d'un parent porteur équilibré.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der(21;21) homologue chez un parent → 100 % de gamètes déséquilibrés (aucun enfant sain possible).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trisomie libre 47,+21 / 47,+13 de novo ou 47,XXY ne nécessitent PAS le caryo</w:t>
      </w:r>
      <w:r w:rsidRPr="00DC5459">
        <w:rPr>
          <w:rFonts w:ascii="LMRoman10" w:hAnsi="LMRoman10"/>
          <w:i/>
          <w:iCs/>
          <w:color w:val="B45309"/>
        </w:rPr>
        <w:t>type parental.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Q43, Mai24 Q47, Mai23 Q48, NG17 Q20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2] MODES DE TRANSMISSION DES MALADIES HÉRÉDITAIRES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Génétique  •  ~5.19 Q/examen (n°2 — 10,6 %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Génétique AIO (412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Risque de récurrence — règles mendéliennes (le cœur du sujet)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AR, 2 parents hétérozygotes → 1/4 (25 %) à CHAQUE grossesse (indépendant du nombre d'enfants déjà atteints).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Deux sujets ATTEINTS d'une AR (homozygotes) → 100 % d'enfants atteints (ex : drépan</w:t>
      </w:r>
      <w:r w:rsidRPr="00DC5459">
        <w:rPr>
          <w:rFonts w:ascii="LMRoman10" w:hAnsi="LMRoman10"/>
        </w:rPr>
        <w:t>ocytose × drépanocytose).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AD, 1 parent atteint hétérozygote × sain → 1/2 (50 %) (ex : achondroplasie).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Récessive LIÉE À L'X : mère conductrice → 1/2 des garçons atteints ; père atteint → TOUTES les filles conductrices, TOUS les garçons sains.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grossesses sont indépendantes : 2-3 enfants déjà atteints d'une AR ne changent pas le 1/4.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X récessive : pas de transmission père→fils (l'homme atteint transmet son X à ses filles).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Q36, Mai24 Q40/Q41, R22 Q42, récurrent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Hardy-Weinberg — 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fréquence des hétérozygotes à partir de l'incidence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Incidence (homozygotes atteints) = q² → q = √incidence ; fréquence hétérozygotes = 2pq </w:t>
      </w:r>
      <w:r w:rsidRPr="00DC5459">
        <w:rPr>
          <w:rFonts w:ascii="Courier New" w:hAnsi="Courier New" w:cs="Courier New"/>
        </w:rPr>
        <w:t>≈</w:t>
      </w:r>
      <w:r w:rsidRPr="00DC5459">
        <w:rPr>
          <w:rFonts w:ascii="LMRoman10" w:hAnsi="LMRoman10"/>
        </w:rPr>
        <w:t xml:space="preserve"> 2q.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Mucoviscidose 1/2500 → q = 1/50 → hétérozygotes </w:t>
      </w:r>
      <w:r w:rsidRPr="00DC5459">
        <w:rPr>
          <w:rFonts w:ascii="Courier New" w:hAnsi="Courier New" w:cs="Courier New"/>
        </w:rPr>
        <w:t>≈</w:t>
      </w:r>
      <w:r w:rsidRPr="00DC5459">
        <w:rPr>
          <w:rFonts w:ascii="LMRoman10" w:hAnsi="LMRoman10"/>
        </w:rPr>
        <w:t xml:space="preserve"> 1/25.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Maladie AR 1/1 000 000 → q = 1/1000 → hétérozygotes </w:t>
      </w:r>
      <w:r w:rsidRPr="00DC5459">
        <w:rPr>
          <w:rFonts w:ascii="Courier New" w:hAnsi="Courier New" w:cs="Courier New"/>
        </w:rPr>
        <w:t>≈</w:t>
      </w:r>
      <w:r w:rsidRPr="00DC5459">
        <w:rPr>
          <w:rFonts w:ascii="LMRoman10" w:hAnsi="LMRoman10"/>
        </w:rPr>
        <w:t xml:space="preserve"> 1/500.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Conditions : population large, pas de migration, pas de mutation, panmixie (unions au hasard), pas de sélection.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« effectif limité » ou « présence de sélection » → ce sont les conditions qui INVALIDENT Hardy-Weinberg.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Q39, N21 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Q37, Mai23 Q40, N25 Q45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Consanguinité et coefficient de parenté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La consanguinité augmente le risque de maladies AUTOSOMIQUES RÉCESSIVES.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Coefficient de parenté entre 2 cousins germains = 1/8.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Hétérozygote connu × cousin(e) germain(e), maladie AR : risque = 1 × 1/8 × 1/4 = 1/32.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la consanguinité n'augmente PAS le risque d'AD (clé erronée à ce sujet dans une session ; retenir AR).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Q50, N25 Q38, N22 Q41, N21 Q38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Hérédité mit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ochondriale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Transmission EXCLUSIVEMENT maternelle (mitochondries apportées par l'ovocyte).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Hétéroplasmie = mélange d'ADNmt muté et sain ; la gravité dépend de la PROPORTION mutée (effet de seuil).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Tous les enfants d'une mère atteinte peuvent être touchés</w:t>
      </w:r>
      <w:r w:rsidRPr="00DC5459">
        <w:rPr>
          <w:rFonts w:ascii="LMRoman10" w:hAnsi="LMRoman10"/>
        </w:rPr>
        <w:t xml:space="preserve"> ; un PÈRE atteint ne transmet PAS.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transmission père→fils → impossible.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 « mélange muté + sain » = HÉTÉROplasmie (pas homoplasmie).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N21 Q42, Sep24 Q50, NG17 Q41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Hémophilie (X récessive) et conductrices obligatoires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Conductrice OBLIG</w:t>
      </w:r>
      <w:r w:rsidRPr="00DC5459">
        <w:rPr>
          <w:rFonts w:ascii="LMRoman10" w:hAnsi="LMRoman10"/>
        </w:rPr>
        <w:t>ATOIRE = femme ayant un frère atteint ET un fils atteint ; ou toute fille d'un homme hémophile.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Hémophilie A/B = récessives liées à l'X (atteignent surtout les garçons).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« toutes les tantes maternelles » ou « toutes les sœurs » d'un hémophile ne sont PAS obligatoirement conductrices (seulement à risque).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Mai23 Q47, R22 Q42, Sep24/Nov24 Q39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Hétérozygote composite, hémizygote, hétérogénéité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Hétérozygote comp</w:t>
      </w:r>
      <w:r w:rsidRPr="00DC5459">
        <w:rPr>
          <w:rFonts w:ascii="LMRoman10" w:hAnsi="LMRoman10"/>
        </w:rPr>
        <w:t>osite = 2 allèles mutés DIFFÉRENTS sur les 2 loci homologues (même gène).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État hémizygote = gènes portés par l'X chez le sexe MASCULIN (un seul allèle).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Hétérogénéité ALLÉLIQUE = mutations différentes d'un MÊME gène (intralocus) ; hétérogénéité de LOCUS = </w:t>
      </w:r>
      <w:r w:rsidRPr="00DC5459">
        <w:rPr>
          <w:rFonts w:ascii="LMRoman10" w:hAnsi="LMRoman10"/>
        </w:rPr>
        <w:t>gènes différents (interlocus).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Hétérozygote composite </w:t>
      </w:r>
      <w:r w:rsidRPr="00DC5459">
        <w:rPr>
          <w:rFonts w:ascii="Courier New" w:hAnsi="Courier New" w:cs="Courier New"/>
          <w:i/>
          <w:iCs/>
          <w:color w:val="B45309"/>
        </w:rPr>
        <w:t>≠</w:t>
      </w:r>
      <w:r w:rsidRPr="00DC5459">
        <w:rPr>
          <w:rFonts w:ascii="LMRoman10" w:hAnsi="LMRoman10"/>
          <w:i/>
          <w:iCs/>
          <w:color w:val="B45309"/>
        </w:rPr>
        <w:t xml:space="preserve"> 2 mutations sur le m</w:t>
      </w:r>
      <w:r w:rsidRPr="00DC5459">
        <w:rPr>
          <w:rFonts w:ascii="LMRoman10" w:hAnsi="LMRoman10" w:cs="LMRoman10"/>
          <w:i/>
          <w:iCs/>
          <w:color w:val="B45309"/>
        </w:rPr>
        <w:t>ê</w:t>
      </w:r>
      <w:r w:rsidRPr="00DC5459">
        <w:rPr>
          <w:rFonts w:ascii="LMRoman10" w:hAnsi="LMRoman10"/>
          <w:i/>
          <w:iCs/>
          <w:color w:val="B45309"/>
        </w:rPr>
        <w:t>me all</w:t>
      </w:r>
      <w:r w:rsidRPr="00DC5459">
        <w:rPr>
          <w:rFonts w:ascii="LMRoman10" w:hAnsi="LMRoman10" w:cs="LMRoman10"/>
          <w:i/>
          <w:iCs/>
          <w:color w:val="B45309"/>
        </w:rPr>
        <w:t>è</w:t>
      </w:r>
      <w:r w:rsidRPr="00DC5459">
        <w:rPr>
          <w:rFonts w:ascii="LMRoman10" w:hAnsi="LMRoman10"/>
          <w:i/>
          <w:iCs/>
          <w:color w:val="B45309"/>
        </w:rPr>
        <w:t>le ; les 2 all</w:t>
      </w:r>
      <w:r w:rsidRPr="00DC5459">
        <w:rPr>
          <w:rFonts w:ascii="LMRoman10" w:hAnsi="LMRoman10" w:cs="LMRoman10"/>
          <w:i/>
          <w:iCs/>
          <w:color w:val="B45309"/>
        </w:rPr>
        <w:t>è</w:t>
      </w:r>
      <w:r w:rsidRPr="00DC5459">
        <w:rPr>
          <w:rFonts w:ascii="LMRoman10" w:hAnsi="LMRoman10"/>
          <w:i/>
          <w:iCs/>
          <w:color w:val="B45309"/>
        </w:rPr>
        <w:t>les mut</w:t>
      </w:r>
      <w:r w:rsidRPr="00DC5459">
        <w:rPr>
          <w:rFonts w:ascii="LMRoman10" w:hAnsi="LMRoman10" w:cs="LMRoman10"/>
          <w:i/>
          <w:iCs/>
          <w:color w:val="B45309"/>
        </w:rPr>
        <w:t>é</w:t>
      </w:r>
      <w:r w:rsidRPr="00DC5459">
        <w:rPr>
          <w:rFonts w:ascii="LMRoman10" w:hAnsi="LMRoman10"/>
          <w:i/>
          <w:iCs/>
          <w:color w:val="B45309"/>
        </w:rPr>
        <w:t>s sont diff</w:t>
      </w:r>
      <w:r w:rsidRPr="00DC5459">
        <w:rPr>
          <w:rFonts w:ascii="LMRoman10" w:hAnsi="LMRoman10" w:cs="LMRoman10"/>
          <w:i/>
          <w:iCs/>
          <w:color w:val="B45309"/>
        </w:rPr>
        <w:t>é</w:t>
      </w:r>
      <w:r w:rsidRPr="00DC5459">
        <w:rPr>
          <w:rFonts w:ascii="LMRoman10" w:hAnsi="LMRoman10"/>
          <w:i/>
          <w:iCs/>
          <w:color w:val="B45309"/>
        </w:rPr>
        <w:t>rents mais sur le m</w:t>
      </w:r>
      <w:r w:rsidRPr="00DC5459">
        <w:rPr>
          <w:rFonts w:ascii="LMRoman10" w:hAnsi="LMRoman10" w:cs="LMRoman10"/>
          <w:i/>
          <w:iCs/>
          <w:color w:val="B45309"/>
        </w:rPr>
        <w:t>ê</w:t>
      </w:r>
      <w:r w:rsidRPr="00DC5459">
        <w:rPr>
          <w:rFonts w:ascii="LMRoman10" w:hAnsi="LMRoman10"/>
          <w:i/>
          <w:iCs/>
          <w:color w:val="B45309"/>
        </w:rPr>
        <w:t>me locus.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NG17 Q4/Q5, N19 Q40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3] LES HYPERSENSIBILITÉS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Immunopathologie  •  ~4.38 Q/examen (n°3 — 8,9</w:t>
      </w: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Immunopathologie AIO (383 p.) · classification de Gell &amp; Coombs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Les 4 types de Gell &amp; Coombs (à savoir classer +++):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Type I (immédiate, IgE) : asthme, rhinite, urticaire, choc anaphylactique, dermatite atopique. Sensibilisation = production d'IgE spécifiques fixées sur mastocytes/basophiles.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Type II (cytotoxique, IgG/IgM anti-membrane) : accident transfusionnel, incompat</w:t>
      </w:r>
      <w:r w:rsidRPr="00DC5459">
        <w:rPr>
          <w:rFonts w:ascii="LMRoman10" w:hAnsi="LMRoman10"/>
        </w:rPr>
        <w:t>ibilité fœto-maternelle Rhésus (allo-immunisation), cytopénies auto-immunes, Basedow.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Type III (complexes immuns) : maladie sérique, cryoglobulinémie, néphrite lupique, GN post-infectieuse, alvéolite allergique extrinsèque (maladie des éleveurs d'oiseaux).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Type IV (retardée, lymphocytes T) : eczéma/dermite de contact, tuberculose (IDR), toxidermies médicamenteuses, rejet de greffe.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lastRenderedPageBreak/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Incompatibilité Rhésus &amp; accident transfusionnel = type II (pas III) ; maladie sérique &amp; cryoglobulinémie = type III (pas II)</w:t>
      </w:r>
      <w:r w:rsidRPr="00DC5459">
        <w:rPr>
          <w:rFonts w:ascii="LMRoman10" w:hAnsi="LMRoman10"/>
          <w:i/>
          <w:iCs/>
          <w:color w:val="B45309"/>
        </w:rPr>
        <w:t>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Q24/Q25/Q26, Mai24 Q22, Déc24 Q22, R19 Q28/Q30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Type I — phases, cytokines et exploration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Phase de sensibilisation (1er contact, asymptomatique) → phase effectrice (réintroduction, dégranulation, manifestations en 15–30 min).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Cytokines PRO-a</w:t>
      </w:r>
      <w:r w:rsidRPr="00DC5459">
        <w:rPr>
          <w:rFonts w:ascii="LMRoman10" w:hAnsi="LMRoman10"/>
        </w:rPr>
        <w:t>llergiques (Th2) : IL-4, IL-5, IL-9, IL-13. Cytokine ANTI-allergique : IFN-</w:t>
      </w:r>
      <w:r w:rsidRPr="00DC5459">
        <w:rPr>
          <w:rFonts w:ascii="Courier New" w:hAnsi="Courier New" w:cs="Courier New"/>
        </w:rPr>
        <w:t>γ</w:t>
      </w:r>
      <w:r w:rsidRPr="00DC5459">
        <w:rPr>
          <w:rFonts w:ascii="LMRoman10" w:hAnsi="LMRoman10"/>
        </w:rPr>
        <w:t xml:space="preserve"> (Th1).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Exploration d'une allergie IgE-dépendante : clinique + prick-tests (tests cutanés) + IgE SPÉCIFIQUES (± test d'activation des basophiles). Les IgE spécifiques confirment un</w:t>
      </w:r>
      <w:r w:rsidRPr="00DC5459">
        <w:rPr>
          <w:rFonts w:ascii="LMRoman10" w:hAnsi="LMRoman10"/>
        </w:rPr>
        <w:t>e sensibilisation à un allergène suspecté.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IgE TOTALES seules ne suffisent pas au diagnostic d'allergie (élevées aussi dans parasitoses, atopie, hyper-IgE).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Q22/Q23, Sep24/Nov24 Q20/Q21, Déc24 Q20/Q21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Choc anaphylactique vs anaphylactoïde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Anaphylactique : IgE-dépendant, activation SPÉCIFIQUE mastocyte/basophile, ↑ tryptasémie, urgence → adrénaline immédiate.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Anaphylactoïde : NON IgE-dépendant, induit par les anaphylatoxines (C3a, C5a) ou histamino-lib</w:t>
      </w:r>
      <w:r w:rsidRPr="00DC5459">
        <w:rPr>
          <w:rFonts w:ascii="LMRoman10" w:hAnsi="LMRoman10"/>
        </w:rPr>
        <w:t>ération directe ; mime cliniquement l'anaphylaxie ; urgence.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Désensibilisation/immunothérapie allergénique : réservée au type I IgE-médié.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l'anaphylactoïde nécessite une désensibilisation → non (il n'est pas IgE-dépendant).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Q21, Mai2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3 Q21, N22 Q20, R19 Q27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Type IV : toxidermies médicamenteuses et tuberculose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Médiée par les lymphocytes T ; lésions à 48–72 h (pas 30 min) ; phase de sensibilisation asymptomatique.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Toxidermies : DRESS (éosinophilie, Th2), AGEP (LTh17 + PNN), Stevens-Johnson / Lyell-NET (LT CD8 cytotoxiques).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Test IGRA (QuantiFERON) : libération in vitro d'IFN-</w:t>
      </w:r>
      <w:r w:rsidRPr="00DC5459">
        <w:rPr>
          <w:rFonts w:ascii="Courier New" w:hAnsi="Courier New" w:cs="Courier New"/>
        </w:rPr>
        <w:t>γ</w:t>
      </w:r>
      <w:r w:rsidRPr="00DC5459">
        <w:rPr>
          <w:rFonts w:ascii="LMRoman10" w:hAnsi="LMRoman10"/>
        </w:rPr>
        <w:t xml:space="preserve"> par les LT m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>moires apr</w:t>
      </w:r>
      <w:r w:rsidRPr="00DC5459">
        <w:rPr>
          <w:rFonts w:ascii="LMRoman10" w:hAnsi="LMRoman10" w:cs="LMRoman10"/>
        </w:rPr>
        <w:t>è</w:t>
      </w:r>
      <w:r w:rsidRPr="00DC5459">
        <w:rPr>
          <w:rFonts w:ascii="LMRoman10" w:hAnsi="LMRoman10"/>
        </w:rPr>
        <w:t>s stimulation par des Ag sp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>cifiques de M. tuberculosis ; d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 xml:space="preserve">piste </w:t>
      </w:r>
      <w:r w:rsidRPr="00DC5459">
        <w:rPr>
          <w:rFonts w:ascii="LMRoman10" w:hAnsi="LMRoman10"/>
        </w:rPr>
        <w:t>la tuberculose LATENTE ; systématique avant biothérapie anti-TNF</w:t>
      </w:r>
      <w:r w:rsidRPr="00DC5459">
        <w:rPr>
          <w:rFonts w:ascii="Courier New" w:hAnsi="Courier New" w:cs="Courier New"/>
        </w:rPr>
        <w:t>α</w:t>
      </w:r>
      <w:r w:rsidRPr="00DC5459">
        <w:rPr>
          <w:rFonts w:ascii="LMRoman10" w:hAnsi="LMRoman10"/>
        </w:rPr>
        <w:t>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Avantage clé de l'IGRA : NON faussement positivé par le BCG (contrairement à l'IDR).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L'IGRA peut être positif dans une mycobactériose non tuberculeuse ; il ne distingue pas latente/acti</w:t>
      </w:r>
      <w:r w:rsidRPr="00DC5459">
        <w:rPr>
          <w:rFonts w:ascii="LMRoman10" w:hAnsi="LMRoman10"/>
          <w:i/>
          <w:iCs/>
          <w:color w:val="B45309"/>
        </w:rPr>
        <w:t>ve.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Q27, Mai24 Q23/Q24, Déc24 Q23/Q24, R19 Q31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Cryoglobulinémie (type III)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Ig qui précipitent au froid et se resolubilisent à 37 °C ; prélèvement à 37 °C strict.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Associée/révélatrice : hépatite virale C (+++), hémopathies malignes, maladies a</w:t>
      </w:r>
      <w:r w:rsidRPr="00DC5459">
        <w:rPr>
          <w:rFonts w:ascii="LMRoman10" w:hAnsi="LMRoman10"/>
        </w:rPr>
        <w:t>uto-immunes.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Exploration d'une maladie à complexes immuns : dosage du complément (C3/C4 abaissés), recherche de cryoglobulines, complexes immuns circulants.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 test de Coombs (direct/indirect) explore le type II, pas le type III.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Mai23 Q23, Sep24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/Nov24/Déc24 Q22, R19 Q29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4] AUTO-IMMUNITÉ ET MALADIE AUTO-IMMUNE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Immunopathologie  •  ~2.56 Q/examen (n°4 — 5,2 %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Immunopathologie AIO (383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Tolérance immunitaire — centrale vs périphérique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lastRenderedPageBreak/>
        <w:t>Tolérance CENTRALE (thymus pour T, moelle pour B) : délétion clonale des clones auto-réactifs de forte affinité ; pour les B, receptor editing (BCR editing).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Tolérance PÉRIPHÉRIQUE : anergie (inhibition du 2e signal, ex. CTLA-4), ignorance immunologique (A</w:t>
      </w:r>
      <w:r w:rsidRPr="00DC5459">
        <w:rPr>
          <w:rFonts w:ascii="LMRoman10" w:hAnsi="LMRoman10"/>
        </w:rPr>
        <w:t>g des sites privilégiés — œil, testicule), suppression par Treg, apoptose (AICD/Fas).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CTLA-4 inhibe CD28 → anergie ; ophtalmie sympathique = rupture de l'ignorance immunologique.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 receptor editing est un mécanisme CENTRAL (B), pas périphérique.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L'anergie est RÉVERSIBLE et n'est pas une immunosuppression au sens des Treg.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Q28, Mai23 Q26, N22 Q26, R22 Q24, N20 Q18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Auto-anticorps </w:t>
      </w:r>
      <w:r w:rsidRPr="00DC5459">
        <w:rPr>
          <w:rFonts w:ascii="Courier New" w:hAnsi="Courier New" w:cs="Courier New"/>
          <w:b/>
          <w:bCs/>
          <w:color w:val="8B0000"/>
          <w:sz w:val="22"/>
          <w:szCs w:val="22"/>
          <w:u w:val="single"/>
        </w:rPr>
        <w:t>↔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maladie (carte </w:t>
      </w:r>
      <w:r w:rsidRPr="00DC5459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à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m</w:t>
      </w:r>
      <w:r w:rsidRPr="00DC5459">
        <w:rPr>
          <w:rFonts w:ascii="LMRoman10" w:hAnsi="LMRoman10" w:cs="LMRoman10"/>
          <w:b/>
          <w:bCs/>
          <w:color w:val="8B0000"/>
          <w:sz w:val="22"/>
          <w:szCs w:val="22"/>
          <w:u w:val="single"/>
        </w:rPr>
        <w:t>é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moriser +++):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Anti-récepteur de la TSH (stimulant) → Basedow (TSH basse, T3/T4 hautes). </w:t>
      </w:r>
      <w:r w:rsidRPr="00DC5459">
        <w:rPr>
          <w:rFonts w:ascii="LMRoman10" w:hAnsi="LMRoman10"/>
        </w:rPr>
        <w:t>Anti-récepteur de l'acétylcholine → myasthénie. Anti-membrane basale glomérulaire → Goodpasture.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Anti-ADN natif (double brin) IgG → LES (corrèle à l'atteinte rénale) ; anti-Sm → LES (spécifique). AAN → dépistage de toutes les connectivites.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Anti-Scl70 (ant</w:t>
      </w:r>
      <w:r w:rsidRPr="00DC5459">
        <w:rPr>
          <w:rFonts w:ascii="LMRoman10" w:hAnsi="LMRoman10"/>
        </w:rPr>
        <w:t>i-topo-isomérase I) → sclérodermie diffuse ; anti-centromère → forme limitée/CREST. Anti-Jo1 → myosites (antisynthétases). ANCA → vascularites.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Clé officielle erronée (Mai24 Q27) : c'est l'anti-Sm (et l'anti-ADNn) qui est spécifique du LES — l'anti-CCP e</w:t>
      </w:r>
      <w:r w:rsidRPr="00DC5459">
        <w:rPr>
          <w:rFonts w:ascii="LMRoman10" w:hAnsi="LMRoman10"/>
          <w:i/>
          <w:iCs/>
          <w:color w:val="B45309"/>
        </w:rPr>
        <w:t>st le marqueur de la POLYARTHRITE RHUMATOÏDE, pas du lupus.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Q25/Q26/Q27, Sep24/Nov24/Déc24 Q24-Q28, N21 Q26, R21 Q26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Maladies AI spécifiques d'organe vs systémiques ; techniques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Spécifiques d'organe : pemphigus, diabète de type 1, hépatite </w:t>
      </w:r>
      <w:r w:rsidRPr="00DC5459">
        <w:rPr>
          <w:rFonts w:ascii="LMRoman10" w:hAnsi="LMRoman10"/>
        </w:rPr>
        <w:t>auto-immune, thyroïdite auto-immune, myasthénie, Goodpasture.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Systémiques (non spécifiques d'organe) : lupus, sclérodermie, Sjögren, polyarthrite rhumatoïde.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Technique de RÉFÉRENCE pour les AAN = immunofluorescence indirecte (IFI sur cellules HEp-2) ; puis</w:t>
      </w:r>
      <w:r w:rsidRPr="00DC5459">
        <w:rPr>
          <w:rFonts w:ascii="LMRoman10" w:hAnsi="LMRoman10"/>
        </w:rPr>
        <w:t xml:space="preserve"> identification des spécificités (anti-ENA, anti-ADNn).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Maladie cœliaque (1re intention) : anti-transglutaminase IgA + dosage pondéral des IgA (éliminer un déficit en IgA) ; confirmation par anti-endomysium IgA.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 LES n'est PAS spécifique d'organe (mala</w:t>
      </w:r>
      <w:r w:rsidRPr="00DC5459">
        <w:rPr>
          <w:rFonts w:ascii="LMRoman10" w:hAnsi="LMRoman10"/>
          <w:i/>
          <w:iCs/>
          <w:color w:val="B45309"/>
        </w:rPr>
        <w:t>die systémique).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Anti-CCP, anti-TPO, anti-tTG, facteur rhumatoïde = dosés par ELISA, pas par IFI.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R22 Q25, R21 Q27, N20 Q20, Mai23 Q27, N22 Q27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Mécanismes des cytopénies auto-immunes et facteurs favorisants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Cytopénies auto-immunes (AHAI, PTI) :</w:t>
      </w:r>
      <w:r w:rsidRPr="00DC5459">
        <w:rPr>
          <w:rFonts w:ascii="LMRoman10" w:hAnsi="LMRoman10"/>
        </w:rPr>
        <w:t xml:space="preserve"> cytotoxicité dépendante des anticorps (ADCC) + cytotoxicité dépendante du complément (CDC).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Facteurs favorisant l'auto-immunité : génétiques (HLA), hormonaux (femme ++, œstrogènes), environnementaux (infections, médicaments, UV), immunologiques.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Une cyt</w:t>
      </w:r>
      <w:r w:rsidRPr="00DC5459">
        <w:rPr>
          <w:rFonts w:ascii="LMRoman10" w:hAnsi="LMRoman10"/>
          <w:i/>
          <w:iCs/>
          <w:color w:val="B45309"/>
        </w:rPr>
        <w:t>opénie auto-immune n'est PAS due à des anticorps anti-récepteurs ni à des dépôts de complexes immuns (mécanisme = ADCC + CDC).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R19 Q19, N19 Q18, N19 Q19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5] IMMUNO-INTERVENTION (VACCINS, AC MONOCLONAUX, IMMUNOSUPPRESSEURS)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Immunopathologie  •  ~2.56 Q/examen (n°5 — 5,2 %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Immunopathologie AIO (383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Anticorps monoclonaux — nomenclature par le suffixe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-momab = murin ; -ximab = CHIMÉRIQUE (Infliximab, Rituximab, Cetuximab) ; -zumab = humanisé (Tocilizumab, Natalizumab, Alemtuzumab) ; -umab = humain (Adalimumab, Nivolumab, Certolizumab).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lastRenderedPageBreak/>
        <w:t>Anti-tumoraux : Rituximab (anti-CD20), Cetuximab (anti-EGFR), Trastu</w:t>
      </w:r>
      <w:r w:rsidRPr="00DC5459">
        <w:rPr>
          <w:rFonts w:ascii="LMRoman10" w:hAnsi="LMRoman10"/>
        </w:rPr>
        <w:t>zumab (anti-HER2), Bevacizumab (anti-VEGF).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Immunomodulateurs (maladies inflammatoires) : anti-TNF</w:t>
      </w:r>
      <w:r w:rsidRPr="00DC5459">
        <w:rPr>
          <w:rFonts w:ascii="Courier New" w:hAnsi="Courier New" w:cs="Courier New"/>
        </w:rPr>
        <w:t>α</w:t>
      </w:r>
      <w:r w:rsidRPr="00DC5459">
        <w:rPr>
          <w:rFonts w:ascii="LMRoman10" w:hAnsi="LMRoman10"/>
        </w:rPr>
        <w:t xml:space="preserve"> (Adalimumab, Infliximab, Certolizumab), Natalizumab, Tocilizumab.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Produits par la technique de l'HYBRIDOME.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Infliximab = chimérique (-ximab) ; Adalimumab/</w:t>
      </w:r>
      <w:r w:rsidRPr="00DC5459">
        <w:rPr>
          <w:rFonts w:ascii="LMRoman10" w:hAnsi="LMRoman10"/>
          <w:i/>
          <w:iCs/>
          <w:color w:val="B45309"/>
        </w:rPr>
        <w:t>Nivolumab = humains (-umab). Le suffixe donne l'origine.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Q31, Mai24 Q34, Sep24/Nov24/Déc24 Q34, N21 Q33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Types de vaccins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Vivants atténués : BCG, ROR, fièvre jaune, varicelle — CONTRE-INDIQUÉS chez l'immunodéprimé et la femme enceinte.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Polysac</w:t>
      </w:r>
      <w:r w:rsidRPr="00DC5459">
        <w:rPr>
          <w:rFonts w:ascii="LMRoman10" w:hAnsi="LMRoman10"/>
        </w:rPr>
        <w:t>charidiques NON conjugués : thymo-INDÉPENDANTS, IgM, sans mémoire, INEFFICACES avant 2 ans.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Polysaccharidiques CONJUGUÉS (à une protéine) : deviennent thymo-DÉPENDANTS → font intervenir les LT → mémoire B et T, anticorps de différentes classes → EFFICACES </w:t>
      </w:r>
      <w:r w:rsidRPr="00DC5459">
        <w:rPr>
          <w:rFonts w:ascii="LMRoman10" w:hAnsi="LMRoman10"/>
        </w:rPr>
        <w:t>chez le nourrisson contre les germes encapsulés (pneumocoque, Hib, méningocoque).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Vaccin HPV : pseudo-particules virales (VLP) → anticorps neutralisants → prévient le cancer du col.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Cancers évitables par vaccination : carcinome hépatocellulaire (VHB) et </w:t>
      </w:r>
      <w:r w:rsidRPr="00DC5459">
        <w:rPr>
          <w:rFonts w:ascii="LMRoman10" w:hAnsi="LMRoman10"/>
          <w:i/>
          <w:iCs/>
          <w:color w:val="B45309"/>
        </w:rPr>
        <w:t>cancer du col (HPV).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Patient immunodéprimé/maladie chronique → vacciner précocement (grippe, pneumocoque) avec des vaccins INACTIVÉS, pas vivants.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Q30, Mai24 Q31/Q32, R22 Q30/Q32, N20 Q32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Adjuvants et immunosuppresseurs — classes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Adjuvants </w:t>
      </w:r>
      <w:r w:rsidRPr="00DC5459">
        <w:rPr>
          <w:rFonts w:ascii="LMRoman10" w:hAnsi="LMRoman10"/>
        </w:rPr>
        <w:t>: améliorent l'immunogénicité, retardent l'élimination de l'Ag, activent les CPA ; souvent dans les vaccins inactivés (pas nécessaires aux vivants).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Anti-calcineurines : Ciclosporine, Tacrolimus. Anti-métabolites : Azathioprine, Mycophénolate mofétil, Méth</w:t>
      </w:r>
      <w:r w:rsidRPr="00DC5459">
        <w:rPr>
          <w:rFonts w:ascii="LMRoman10" w:hAnsi="LMRoman10"/>
        </w:rPr>
        <w:t>otrexate. Anti-mitotique (alkylant) : Cyclophosphamide (Endoxan). Anti-mTOR : Sirolimus, Évérolimus. Déplétant : sérum anti-lymphocytaire (thymoglobuline).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Méthotrexate = anti-métabolite ; Endoxan = anti-mitotique/alkylant ; Ciclosporine/Tacrolimus = ant</w:t>
      </w:r>
      <w:r w:rsidRPr="00DC5459">
        <w:rPr>
          <w:rFonts w:ascii="LMRoman10" w:hAnsi="LMRoman10"/>
          <w:i/>
          <w:iCs/>
          <w:color w:val="B45309"/>
        </w:rPr>
        <w:t>i-calcineurines. Ne pas mélanger les classes.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immunoglobulines polyvalentes ne sont PAS des immunosuppresseurs.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Q33, Déc24 Q33, N22 Q33, R21 Q33, N21 Q31/Q32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Immunoglobulines polyvalentes, CAR-T et BCG-thérapie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Ig polyvalentes : issues de pools de plasma (PAS hybridome), majoritairement IgG ; visées substitutive (déficits humoraux), immunomodulatrice/anti-inflammatoire (PTI, Kawasaki), anti-idiotypique.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CAR-T : réinjection de lymphocytes T AUTOLOGUES génétiquement modifiés (récepteur chimérique anti-Ag tumoral).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BCG-thérapie : immunothérapie du cancer urothélial vésical non invasif (instillation intravésicale).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Ig polyvalentes ne sont ni anti-tumora</w:t>
      </w:r>
      <w:r w:rsidRPr="00DC5459">
        <w:rPr>
          <w:rFonts w:ascii="LMRoman10" w:hAnsi="LMRoman10"/>
          <w:i/>
          <w:iCs/>
          <w:color w:val="B45309"/>
        </w:rPr>
        <w:t>les ni produites par hybridome.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CAR-T </w:t>
      </w:r>
      <w:r w:rsidRPr="00DC5459">
        <w:rPr>
          <w:rFonts w:ascii="Courier New" w:hAnsi="Courier New" w:cs="Courier New"/>
          <w:i/>
          <w:iCs/>
          <w:color w:val="B45309"/>
        </w:rPr>
        <w:t>≠</w:t>
      </w:r>
      <w:r w:rsidRPr="00DC5459">
        <w:rPr>
          <w:rFonts w:ascii="LMRoman10" w:hAnsi="LMRoman10"/>
          <w:i/>
          <w:iCs/>
          <w:color w:val="B45309"/>
        </w:rPr>
        <w:t xml:space="preserve"> vaccin antitumoral ni anti-checkpoint : c'est un transfert de LT modifi</w:t>
      </w:r>
      <w:r w:rsidRPr="00DC5459">
        <w:rPr>
          <w:rFonts w:ascii="LMRoman10" w:hAnsi="LMRoman10" w:cs="LMRoman10"/>
          <w:i/>
          <w:iCs/>
          <w:color w:val="B45309"/>
        </w:rPr>
        <w:t>é</w:t>
      </w:r>
      <w:r w:rsidRPr="00DC5459">
        <w:rPr>
          <w:rFonts w:ascii="LMRoman10" w:hAnsi="LMRoman10"/>
          <w:i/>
          <w:iCs/>
          <w:color w:val="B45309"/>
        </w:rPr>
        <w:t>s.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Q30, N22 Q31/Q32, R22 Q33, N20 Q33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6] LUPUS ÉRYTHÉMATEUX SYSTÉMIQUE (LES)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~2.44 Q/examen (n°6 — 5,</w:t>
      </w: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0 %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 · critères ACR/EULAR 2019 · classes ISN/RPS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Terrain, mécanisme et manifestations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Femme jeune en âge de procréer ; facteurs déclenchants : œstroprogestatifs, grossesse, UV.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lastRenderedPageBreak/>
        <w:t>Mécanisme : dépôt de CO</w:t>
      </w:r>
      <w:r w:rsidRPr="00DC5459">
        <w:rPr>
          <w:rFonts w:ascii="LMRoman10" w:hAnsi="LMRoman10"/>
        </w:rPr>
        <w:t>MPLEXES IMMUNS (hypersensibilité de type III) + auto-anticorps.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Atteintes : polyarthrite inflammatoire non érosive (peut mimer une PR au début), rash malaire/photosensibilité, sérites (PÉRICARDITE = atteinte cardiaque la plus fréquente, souvent bénigne, ré</w:t>
      </w:r>
      <w:r w:rsidRPr="00DC5459">
        <w:rPr>
          <w:rFonts w:ascii="LMRoman10" w:hAnsi="LMRoman10"/>
        </w:rPr>
        <w:t>vélatrice possible), cytopénies auto-immunes (anémie hémolytique, leuco/lymphopénie, thrombopénie), néphropathie.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La péricardite est rarement compliquée de tamponnade et n'est PAS corticorésistante.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Endocardite de Libman-Sacks (verruqueuse aseptique) à</w:t>
      </w:r>
      <w:r w:rsidRPr="00DC5459">
        <w:rPr>
          <w:rFonts w:ascii="LMRoman10" w:hAnsi="LMRoman10"/>
          <w:i/>
          <w:iCs/>
          <w:color w:val="B45309"/>
        </w:rPr>
        <w:t xml:space="preserve"> connaître.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Q1, N22 Q1-Q5, R21 Q1-Q6, N20 Q1-Q6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Biologie et immunologie (très discriminant)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Dissociation VS–CRP : VS élevée mais CRP normale/basse (sauf sérite ou infection) — très caractéristique.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AAN (dépistage par IFI, quasi constants) ; anti-ADN natif IgG (spécifique, corrèle à l'activité et à l'atteinte rénale) ; anti-Sm (très spécifique) ; anti-nucléosome ; hypocomplémentémie C3/C4.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Démarche : IFI (AAN) → spécificités anti-ADNn/anti-Sm/anti-nuc</w:t>
      </w:r>
      <w:r w:rsidRPr="00DC5459">
        <w:rPr>
          <w:rFonts w:ascii="LMRoman10" w:hAnsi="LMRoman10"/>
        </w:rPr>
        <w:t>léosome → C3/C4 → confrontation clinico-immunologique.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Pas d'hyperleucocytose ni de thrombocytose (au contraire : cytopénies).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Anti-CCP = polyarthrite rhumatoïde ; anti-Scl70/anti-centromère = sclérodermie ; ANCA = vascularites — pas le lupus.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Déc24 Q1/Q2, Sep24/Nov24 Q1/Q2, R20 Q20, N19 Q20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Néphropathie lupique et bilan d'extension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Classes ISN/RPS I→VI ; la classe IV (proliférative diffuse) est la plus grave et la plus fréquente.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Bilan d'extension : échographie cardiaque (sérite), protéinurie des 24 h + sédiment urinaire (atteinte rénale).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La capillaroscopie et l'EFR ne sont pas systématiques dans le LES (capillaroscopie → sclérodermie/Raynaud).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Q1, Sep24/Nov24 Q3/Q4,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N22 Q5, R21 Q6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Hydroxychloroquine (Plaquenil) : traitement de fond quasi systématique chez tout lupique (réduit les poussées, bénéfice de survie).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Néphropathie proliférative active (classe III/IV) — induction : mycophénolate mofétil OU cyclop</w:t>
      </w:r>
      <w:r w:rsidRPr="00DC5459">
        <w:rPr>
          <w:rFonts w:ascii="LMRoman10" w:hAnsi="LMRoman10"/>
        </w:rPr>
        <w:t>hosphamide + bolus de méthylprednisolone.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 rituximab/bélimumab sont réservés aux formes sévères ou réfractaires (pas d'emblée en routine).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Q2, N20 Q6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7] PHÉNOMÈNE DE RAYNAUD (ET SCLÉRODERMIE)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~2.44 Q/examen (n°7 —</w:t>
      </w: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 5,0 %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Phénomène de Raynaud : phases et définition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Trouble vasomoteur paroxystique des extrémités déclenché par le froid/l'émotion.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Triphasique : 1) phase SYNCOPALE (pâleur) — OBLIGATOIRE, vasoconstriction/ischémie digitale ; 2) phase asphyxique (cyanose) — stase capillaire ; 3) phase érythermalgique/hyperhémique (rougeur) — vasodilatation réflexe, brûlure, dure 5–10 min.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La phase de p</w:t>
      </w:r>
      <w:r w:rsidRPr="00DC5459">
        <w:rPr>
          <w:rFonts w:ascii="LMRoman10" w:hAnsi="LMRoman10"/>
        </w:rPr>
        <w:t>âleur (syncopale) est la seule phase constante exigée au diagnostic.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phases asphyxique et érythermalgique sont INCONSTANTES ; seule la pâleur est obligatoire.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Q3, Mai23 Q3, N20 Q15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Maladie de Raynaud (primitive) vs Raynaud secondaire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Ma</w:t>
      </w:r>
      <w:r w:rsidRPr="00DC5459">
        <w:rPr>
          <w:rFonts w:ascii="LMRoman10" w:hAnsi="LMRoman10"/>
        </w:rPr>
        <w:t xml:space="preserve">ladie de Raynaud (primitive) : femme jeune, bilatéral et symétrique, pas de troubles trophiques, bilan étiologique négatif, AAN négatifs, capillaroscopie NORMALE, recul </w:t>
      </w:r>
      <w:r w:rsidRPr="00DC5459">
        <w:rPr>
          <w:rFonts w:ascii="Courier New" w:hAnsi="Courier New" w:cs="Courier New"/>
        </w:rPr>
        <w:t>≥</w:t>
      </w:r>
      <w:r w:rsidRPr="00DC5459">
        <w:rPr>
          <w:rFonts w:ascii="LMRoman10" w:hAnsi="LMRoman10"/>
        </w:rPr>
        <w:t xml:space="preserve"> 2 ans.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Raynaud SECONDAIRE : unilatéral/asymétrique, troubles trophiques (ulcérations </w:t>
      </w:r>
      <w:r w:rsidRPr="00DC5459">
        <w:rPr>
          <w:rFonts w:ascii="LMRoman10" w:hAnsi="LMRoman10"/>
        </w:rPr>
        <w:t>pulpaires, gangrène), AAN+, MÉGACAPILLAIRES à la capillaroscopie.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Étiologies : sclérodermie (++), lupus, dermatomyosite, Sjögren ; médicaments (bêtabloquants) ; maladie des engins vibrants, défilé thoraco-brachial ; cryoglobulinémie ; hypothyroïdie.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La c</w:t>
      </w:r>
      <w:r w:rsidRPr="00DC5459">
        <w:rPr>
          <w:rFonts w:ascii="LMRoman10" w:hAnsi="LMRoman10"/>
          <w:i/>
          <w:iCs/>
          <w:color w:val="B45309"/>
        </w:rPr>
        <w:t>apillaroscopie périunguéale est l'examen clé : mégacapillaires → sclérodermie ; normale → forme primitive.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Q16, Mai24 Q3/Q4, Mai23 Q4, R22 Q12, N21 Q11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du phénomène de Raynaud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Mesures : protection du froid, arrêt du tabac, éviction des vasoconstricteurs (bêtabloquants).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1re intention médicamenteuse : INHIBITEURS CALCIQUES (nifédipine).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Formes sévères/ulcères : analogues de la prostacycline (iloprost), inhibiteurs de la PDE5.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</w:t>
      </w:r>
      <w:r w:rsidRPr="00DC5459">
        <w:rPr>
          <w:rFonts w:ascii="LMRoman10" w:hAnsi="LMRoman10"/>
          <w:i/>
          <w:iCs/>
          <w:color w:val="B45309"/>
        </w:rPr>
        <w:t>AUX : bêtabloquants (aggravent) ou corticothérapie en 1re intention.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Q4, R22 Q8, R20 Q14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Sclérodermie systémique (continuum à partir du Raynaud)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Raynaud + sclérodactylie + ulcérations pulpaires + télangiectasies ; CREST = Calcinose, Raynaud, </w:t>
      </w:r>
      <w:r w:rsidRPr="00DC5459">
        <w:rPr>
          <w:rFonts w:ascii="LMRoman10" w:hAnsi="LMRoman10"/>
        </w:rPr>
        <w:t>atteinte Œsophagienne, Sclérodactylie, Télangiectasies.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1re cause de MORTALITÉ = pneumopathie interstitielle diffuse (fibrose pulmonaire) → traitement : mycophénolate mofétil ou cyclophosphamide.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HTAP : dépistée par échocardiographie, CONFIRMÉE par cathété</w:t>
      </w:r>
      <w:r w:rsidRPr="00DC5459">
        <w:rPr>
          <w:rFonts w:ascii="LMRoman10" w:hAnsi="LMRoman10"/>
        </w:rPr>
        <w:t>risme cardiaque droit → prostacycline, antagonistes des récepteurs de l'endothéline (bosentan), inhibiteurs PDE5.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Crise rénale : HTA maligne + IRA (atteinte vasculaire) → les IEC (captopril) améliorent la survie.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Anti-Scl70 → fibrose pulmonaire ; anti-AR</w:t>
      </w:r>
      <w:r w:rsidRPr="00DC5459">
        <w:rPr>
          <w:rFonts w:ascii="LMRoman10" w:hAnsi="LMRoman10"/>
          <w:i/>
          <w:iCs/>
          <w:color w:val="B45309"/>
        </w:rPr>
        <w:t>N-polymérase III → crise rénale ; anti-centromère → forme limitée/HTAP. Ne pas attribuer la crise rénale à l'anti-Scl70.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L'HTAP de la sclérodermie ne se traite PAS par inhibiteurs calciques (réservés au Raynaud).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Q5/Q6, Mai23 Q14-Q17, N22 Q6/Q7, R20 Q5-Q9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8] GÉNÉRALITÉS EN GÉNÉTIQUE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Génétique  •  ~2.31 Q/examen (n°8 — 4,7 %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Génétique AIO (412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Vocabulaire fondamental (questions de cours répétées presque chaque session)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</w:t>
      </w:r>
      <w:r w:rsidRPr="00DC5459">
        <w:rPr>
          <w:rFonts w:ascii="LMRoman10" w:hAnsi="LMRoman10"/>
        </w:rPr>
        <w:t>hénotype = manifestation apparente (la maladie observée).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Génotype = constitution génétique du gamète/zygote/individu.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Allèle = forme/version différente d'un gène.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Locus = position d'un gène sur le chromosome ; Gène = unité d'hérédité ; Génome = ensemble d</w:t>
      </w:r>
      <w:r w:rsidRPr="00DC5459">
        <w:rPr>
          <w:rFonts w:ascii="LMRoman10" w:hAnsi="LMRoman10"/>
        </w:rPr>
        <w:t>u matériel génétique.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Ne pas confondre : « manifestation apparente » = phénotype ; « constitution génétique » = génotype ; « forme différente d'un gène » = allèle.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Q34, Mai24 Q35/Q36, N22 Q34/Q35, récurrent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Facteurs de risque liés à l'âge par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ental et à la consanguinité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Âge MATERNEL avancé → maladies CHROMOSOMIQUES (trisomies, non-disjonction).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Âge PATERNEL avancé → maladies autosomiques DOMINANTES (nouvelles mutations).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Consanguinité → maladies autosomiques RÉCESSIVES.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Triade à mémoriser : Mère→chromosomique ; Père→AD ; Consanguinité→AR.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Q35, R22 Q36, N22 Q36, N21 Q35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Triploïdie et formules de polyploïdie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Triploïdie = 69 chromosomes : 69,XXX / 69,XXY / 69,XYY.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Tétraploïdie = 92 chromosomes (92,XXYY).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46,XX = normal ; 47,+21 = aneuploïdie (trisomie), pas une triploïdie.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R22 Q35, NG18 Q2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9] LES DÉFICITS IMMUNITAIRES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Immunopathologie  •  ~2.12 Q/examen (n°9 — 4,3 %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Immunopathologie AIO (383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DI humoral primiti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f vs déficit immunitaire combiné sévère (DICS/SCID)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DI HUMORAL : agammaglobulinémie de Bruton (liée à l'X, BTK), DICV, syndrome hyper-IgM (défaut de coopération B-T, CD40L), déficit sélectif en IgA. Révélé APRÈS 6 mois (protection par les IgG maternelles</w:t>
      </w:r>
      <w:r w:rsidRPr="00DC5459">
        <w:rPr>
          <w:rFonts w:ascii="LMRoman10" w:hAnsi="LMRoman10"/>
        </w:rPr>
        <w:t>) ; infections à germes ENCAPSULÉS (ORL/respiratoires récidivantes).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DICS/SCID : urgence pédiatrique, révélé TÔT (&lt; 6 mois), infections sévères à germes INTRACELLULAIRES/opportunistes, lymphopénie profonde, retard de croissance ; nécessite une GREFFE de CS</w:t>
      </w:r>
      <w:r w:rsidRPr="00DC5459">
        <w:rPr>
          <w:rFonts w:ascii="LMRoman10" w:hAnsi="LMRoman10"/>
        </w:rPr>
        <w:t>H précoce.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Diagnostic : éliminer d'abord un déficit ACQUIS (sérologie VIH) ; puis dosage pondéral des Ig + EPP (adulte) + immunophénotypage lymphocytaire.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Devant un nourrisson &lt; 6 mois avec infections sévères + lymphopénie profonde → penser DICS en premi</w:t>
      </w:r>
      <w:r w:rsidRPr="00DC5459">
        <w:rPr>
          <w:rFonts w:ascii="LMRoman10" w:hAnsi="LMRoman10"/>
          <w:i/>
          <w:iCs/>
          <w:color w:val="B45309"/>
        </w:rPr>
        <w:t>er (pas un déficit humoral).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Un déficit humoral est rarement révélé avant 6 mois (IgG maternelles).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N21 Q19/Q20, R22 Q18, N20 Q21, R19 Q22/Q23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génétique du SCID (par phénotype lymphocytaire)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T-B+NK- : déficit en chaîne </w:t>
      </w:r>
      <w:r w:rsidRPr="00DC5459">
        <w:rPr>
          <w:rFonts w:ascii="Courier New" w:hAnsi="Courier New" w:cs="Courier New"/>
        </w:rPr>
        <w:t>γ</w:t>
      </w:r>
      <w:r w:rsidRPr="00DC5459">
        <w:rPr>
          <w:rFonts w:ascii="LMRoman10" w:hAnsi="LMRoman10"/>
        </w:rPr>
        <w:t>c (IL2RG,</w:t>
      </w:r>
      <w:r w:rsidRPr="00DC5459">
        <w:rPr>
          <w:rFonts w:ascii="LMRoman10" w:hAnsi="LMRoman10"/>
        </w:rPr>
        <w:t xml:space="preserve"> lié à l'X — le plus fréquent), déficit en Jak3.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T-B-NK+ : déficit en RAG1/RAG2, déficit en Artemis (défaut de recombinaison V(D)J).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T-B-NK- : déficit en ADA (adénosine désaminase), dysgénésie réticulaire.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Clé officielle erronée (Mai23 Q18) : le déficit en ADA est T-B-NK- (toutes les lignées touchées), PAS T-B-NK+. Le phénotype T-B-NK+ correspond à RAG/Artemis (confirmé en R19 Q24).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Mai23 Q18, N22 Q17, R19 Q24, N19 Q23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Déficits des phagocytes et du complément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Phagocytes : granulomatose septique chronique (NADPH oxydase → burst test/explosion oxydative anormale, infections à germes catalase+ et aspergillus), Chediak-Higashi, Kostmann (neutropénie congénitale), déficit d</w:t>
      </w:r>
      <w:r w:rsidRPr="00DC5459">
        <w:rPr>
          <w:rFonts w:ascii="LMRoman10" w:hAnsi="LMRoman10"/>
        </w:rPr>
        <w:t>'adhérence leucocytaire (LAD).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Complément : déficits terminaux (C5-C9) → infections à Neisseria/méningocoque à répétition ; exploration par CH50, C3, C4.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Signes d'alarme à relier : lymphopénie → cellulaire ; hypogammaglobulinémie → humoral ; neutropénie </w:t>
      </w:r>
      <w:r w:rsidRPr="00DC5459">
        <w:rPr>
          <w:rFonts w:ascii="LMRoman10" w:hAnsi="LMRoman10"/>
          <w:i/>
          <w:iCs/>
          <w:color w:val="B45309"/>
        </w:rPr>
        <w:t>→ phagocytes ; méningocoque récidivant → complément.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N22 Q18, R22 Q19, R20 Q22, R19 Q25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10] DIAGNOSTIC ANTÉNATAL ET CARYOTYPE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Génétique  •  ~1.88 Q/examen (n°10 — 3,8 %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Génétique AIO (412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Le caryotype : technique et 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limites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lastRenderedPageBreak/>
        <w:t>Obtenu au stade de MÉTAPHASE (ou prométaphase) — chromosomes condensés.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Met en évidence les anomalies de NOMBRE et de STRUCTURE ; classement par taille, indice centromérique et bandes.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Sources anténatales : amniocytes (amniocentèse, 15–17 SA) ; t</w:t>
      </w:r>
      <w:r w:rsidRPr="00DC5459">
        <w:rPr>
          <w:rFonts w:ascii="LMRoman10" w:hAnsi="LMRoman10"/>
        </w:rPr>
        <w:t>rophoblastes/villosités choriales (12–14 SA, risque de fausse couche 1–2 %).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caryotype obtenu en télophase/interphase → c'est la MÉTAPHASE.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le caryotype détecte les mutations géniques (ponctuelles) → NON, seulement nombre et structure.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Déc24 Q42, R19 Q47, NG18 Q29/Q37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Indications du caryotype CONSTITUTIONNEL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Nouveau-né / enfant : anomalie de la différenciation sexuelle, syndrome dysmorphique, syndrome malformatif, retard mental.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Adulte : aménorrhée primaire, azoospermie/oligosper</w:t>
      </w:r>
      <w:r w:rsidRPr="00DC5459">
        <w:rPr>
          <w:rFonts w:ascii="LMRoman10" w:hAnsi="LMRoman10"/>
        </w:rPr>
        <w:t>mie sévère, ménopause précoce, fausses couches à répétition (maladie abortive), parents d'enfant porteur d'une anomalie chromosomique.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Anténatal : âge maternel &gt; 38 ans, signes d'appel échographiques, remaniement équilibré chez un parent, antécédent d'enfant porteur d'anomalie chromosomique, diagnostic de sexe (maladies liées à l'X).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hypogonadisme d'origine HAUTE (central) → ce n</w:t>
      </w:r>
      <w:r w:rsidRPr="00DC5459">
        <w:rPr>
          <w:rFonts w:ascii="LMRoman10" w:hAnsi="LMRoman10"/>
          <w:i/>
          <w:iCs/>
          <w:color w:val="B45309"/>
        </w:rPr>
        <w:t>'est PAS une indication de caryotype.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antécédent d'enfant avec maladie AUTOSOMIQUE DOMINANTE → relève du diagnostic moléculaire, pas du caryotype.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Q49, Mai24 Q43, N21 Q47/Q50, NG18 Q44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 anténatal (DPN) : nature et moyens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Acte de médecine PRÉDICTIVE : dépistage in utero d'anomalies géniques/chromosomiques ; doit être PRÉCÉDÉ d'un conseil génétique.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Permet de rassurer un couple à risque (résultat normal), de planifier l'accouchement/la prise en charge néonatale et de prépare</w:t>
      </w:r>
      <w:r w:rsidRPr="00DC5459">
        <w:rPr>
          <w:rFonts w:ascii="LMRoman10" w:hAnsi="LMRoman10"/>
        </w:rPr>
        <w:t>r psychologiquement.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Moyens biologiques (caryotype, biologie moléculaire) OU radiologiques (échographie).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Diagnostic moléculaire DIRECT : maladies monogéniques, si gène localisé ET identifié et mutation connue dans la famille.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« acte de médecine p</w:t>
      </w:r>
      <w:r w:rsidRPr="00DC5459">
        <w:rPr>
          <w:rFonts w:ascii="LMRoman10" w:hAnsi="LMRoman10"/>
          <w:i/>
          <w:iCs/>
          <w:color w:val="B45309"/>
        </w:rPr>
        <w:t>réventive » et « traitement in utero pour TOUTES les pathologies » → non.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moléculaire direct si « gène localisé mais NON identifié » → on passe alors à l'analyse indirecte (liaison).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Q49, N22 Q48, N21 Q45, NG18 Q43/Q45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11] VASC</w:t>
      </w:r>
      <w:r w:rsidRPr="00DC5459">
        <w:rPr>
          <w:rFonts w:ascii="LMRoman10" w:hAnsi="LMRoman10"/>
        </w:rPr>
        <w:t>ULARITES SYSTÉMIQUES ET HORTON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~1.56 Q/examen (n°11 — 3,2 %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 · classification de Chapel Hill 2012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Classification de Chapel Hill 2012 (par calibre des vaisseaux)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Gros vaisseaux : a</w:t>
      </w:r>
      <w:r w:rsidRPr="00DC5459">
        <w:rPr>
          <w:rFonts w:ascii="LMRoman10" w:hAnsi="LMRoman10"/>
        </w:rPr>
        <w:t>rtérite à cellules géantes (Horton), maladie de Takayasu.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Moyens vaisseaux : périartérite noueuse, Kawasaki.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Petits vaisseaux ANCA+ : GPA (Wegener), polyangéite microscopique, granulomatose éosinophilique (Churg-Strauss).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Calibre variable (artères ET veines) : maladie de Behçet.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vascularites se classent selon le CALIBRE, l'histologie et le caractère primitif/secondaire — pas selon l'organe ni la fièvre.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Q15, R22 Q13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Artérite à cellules géantes (Horton) — c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linique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Sujet ÂGÉ &gt; 50 ans (souvent &gt; 70) ; vascularite des gros vaisseaux (artères crâniennes, aorte).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Céphalées temporales inhabituelles, hyperesthésie du cuir chevelu, claudication de la mâchoire (très évocatrice), abolition du pouls temporal, pseudo-</w:t>
      </w:r>
      <w:r w:rsidRPr="00DC5459">
        <w:rPr>
          <w:rFonts w:ascii="LMRoman10" w:hAnsi="LMRoman10"/>
        </w:rPr>
        <w:t>polyarthrite rhizomélique associée.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Atteinte oculaire = neuropathie optique ischémique antérieure aiguë → risque de CÉCITÉ (urgence).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L'atteinte oculaire n'est PAS un glaucome ; c'est une NOIAA potentiellement cécitante.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Q13, Sep24 Q16, R22 Q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14, N21 Q17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Horton — histologie, biologie, traitement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Histologie (biopsie d'artère temporale) : infiltrat à cellules géantes/macrophages, atteinte segmentaire et PLURIFOCALE, DESTRUCTION de la limitante élastique interne.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Biologie : syndrome inflammatoire majeur (VS, CRP), bilan immunologique NÉGATIF (AAN-, ANCA-).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Traitement : CORTICOTHÉRAPIE en urgence (IV/bolus si atteinte oculaire, sans attendre la biopsie) ; méthotrexate ou tocilizumab en épargne/rechute.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Pas de nécr</w:t>
      </w:r>
      <w:r w:rsidRPr="00DC5459">
        <w:rPr>
          <w:rFonts w:ascii="LMRoman10" w:hAnsi="LMRoman10"/>
          <w:i/>
          <w:iCs/>
          <w:color w:val="B45309"/>
        </w:rPr>
        <w:t>ose fibrinoïde dans Horton (ça oriente vers PAN/vascularite à ANCA).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AINS ou antibiotiques en 1re intention ; le traitement est corticoïde et urgent.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Q14, R22 Q16/Q17, R21 Q12, N20 Q12/Q13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Maladie de Takayasu (gros vaisseaux du sujet j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eune)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Femme jeune &lt; 40 ans ; atteinte de l'aorte, ses branches et les artères pulmonaires ; « maladie des femmes sans pouls ».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HTA rénovasculaire (sténose d'artère rénale) — facteur de mauvais pronostic ; claudication des membres, asymétrie tensionnelle,</w:t>
      </w:r>
      <w:r w:rsidRPr="00DC5459">
        <w:rPr>
          <w:rFonts w:ascii="LMRoman10" w:hAnsi="LMRoman10"/>
        </w:rPr>
        <w:t xml:space="preserve"> AVC, atteinte coronaire.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Complications : dissection/anévrisme aortique, artériopathie oblitérante des membres.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Horton = sujet âgé, cécité ; Takayasu = femme jeune, abolition de pouls/HTA. L'âge est le grand discriminant.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N21 Q15/Q16, R21 Q11, Ma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i23 Q7/Q8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12] GRANULOMATOSE AVEC POLYANGÉITE (WEGENER / GPA)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~1.56 Q/examen (n°12 — 3,2 %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 · vascularite à ANCA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Présentation et triade d'atteinte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Vascularite des PETITS vaisseaux, granulomateuse nécrosante, à ANCA.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3 sites de prédilection : ORL (rhinorrhée purulente/croûteuse, sinusite, nez en selle), PULMONAIRE (nodules, hémorragie alvéolaire), RÉNAL (glomérulonéphrite).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Terrain : adulte, fièvre pr</w:t>
      </w:r>
      <w:r w:rsidRPr="00DC5459">
        <w:rPr>
          <w:rFonts w:ascii="LMRoman10" w:hAnsi="LMRoman10"/>
        </w:rPr>
        <w:t>olongée, purpura vasculaire, arthralgies.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Atteinte HÉPATIQUE et « articulaire » ne font PAS partie des 3 sites de prédilection (ORL-poumon-rein).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Q14/Q15, N22 Q13/Q14, N21 Q7/Q8, R20 Q1-Q3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Marqueur immunologique et atteinte rénale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Marqueu</w:t>
      </w:r>
      <w:r w:rsidRPr="00DC5459">
        <w:rPr>
          <w:rFonts w:ascii="LMRoman10" w:hAnsi="LMRoman10"/>
        </w:rPr>
        <w:t>r : c-ANCA anti-PR3 (protéinase 3). (MPA et formes rénales → p-ANCA anti-MPO.)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Atteinte rénale : glomérulonéphrite rapidement progressive (GNRP) extracapillaire à croissants, PAUCI-IMMUNE (peu de dépôts), de mauvais pronostic.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L'atteinte rénale n'est PAS tubulo-interstitielle ni purement vasculaire : c'est une GNRP pauci-immune.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Ne pas confondre c-ANCA/PR3 (GPA) et p-ANCA/MPO (MPA, EGPA).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Q16/Q17, N22 Q15/Q16, N21 Q9, R20 Q4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Induction : corticothérap</w:t>
      </w:r>
      <w:r w:rsidRPr="00DC5459">
        <w:rPr>
          <w:rFonts w:ascii="LMRoman10" w:hAnsi="LMRoman10"/>
        </w:rPr>
        <w:t>ie + cyclophosphamide (Endoxan) ou rituximab ; entretien : rituximab/azathioprine.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colchicine ou antipaludéens de synthèse pour une vascularite à ANCA — ce sont corticoïdes + immunosuppresseur.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N21 Q10, N19 Q8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13] IMMUNITÉ ANTI-INFEC</w:t>
      </w:r>
      <w:r w:rsidRPr="00DC5459">
        <w:rPr>
          <w:rFonts w:ascii="LMRoman10" w:hAnsi="LMRoman10"/>
        </w:rPr>
        <w:t>TIEUSE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Immunopathologie  •  ~1.56 Q/examen (n°13 — 3,2 %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Immunopathologie AIO (383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Acteurs immunitaires selon le pathogène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Bactéries EXTRA-cellulaires : phagocytes (PNN), anticorps (opsonisation/neutralisation), complément.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Bactéries INTRA-cellulaires (mycobactéries, Listeria) : Th1 (IFN-</w:t>
      </w:r>
      <w:r w:rsidRPr="00DC5459">
        <w:rPr>
          <w:rFonts w:ascii="Courier New" w:hAnsi="Courier New" w:cs="Courier New"/>
        </w:rPr>
        <w:t>γ</w:t>
      </w:r>
      <w:r w:rsidRPr="00DC5459">
        <w:rPr>
          <w:rFonts w:ascii="LMRoman10" w:hAnsi="LMRoman10"/>
        </w:rPr>
        <w:t xml:space="preserve"> </w:t>
      </w:r>
      <w:r w:rsidRPr="00DC5459">
        <w:rPr>
          <w:rFonts w:ascii="LMRoman10" w:hAnsi="LMRoman10" w:cs="LMRoman10"/>
        </w:rPr>
        <w:t>→</w:t>
      </w:r>
      <w:r w:rsidRPr="00DC5459">
        <w:rPr>
          <w:rFonts w:ascii="LMRoman10" w:hAnsi="LMRoman10"/>
        </w:rPr>
        <w:t xml:space="preserve"> active les macrophages) + LT cytotoxiques. Le Th1 est l'acteur principal.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Virus : IFN </w:t>
      </w:r>
      <w:r w:rsidRPr="00DC5459">
        <w:rPr>
          <w:rFonts w:ascii="Courier New" w:hAnsi="Courier New" w:cs="Courier New"/>
        </w:rPr>
        <w:t>α</w:t>
      </w:r>
      <w:r w:rsidRPr="00DC5459">
        <w:rPr>
          <w:rFonts w:ascii="LMRoman10" w:hAnsi="LMRoman10"/>
        </w:rPr>
        <w:t>/</w:t>
      </w:r>
      <w:r w:rsidRPr="00DC5459">
        <w:rPr>
          <w:rFonts w:ascii="Courier New" w:hAnsi="Courier New" w:cs="Courier New"/>
        </w:rPr>
        <w:t>β</w:t>
      </w:r>
      <w:r w:rsidRPr="00DC5459">
        <w:rPr>
          <w:rFonts w:ascii="LMRoman10" w:hAnsi="LMRoman10"/>
        </w:rPr>
        <w:t xml:space="preserve"> (inn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>e) + cellules NK (inn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>e) + LT CD8 cytotoxiques + anticorps neutralisants.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Parasites/helminth</w:t>
      </w:r>
      <w:r w:rsidRPr="00DC5459">
        <w:rPr>
          <w:rFonts w:ascii="LMRoman10" w:hAnsi="LMRoman10"/>
        </w:rPr>
        <w:t>es : IgE, éosinophiles, Th2.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Contre les mycobactéries, ce sont les macrophages activés (Th1) et les CTL — pas les anticorps neutralisants ni le complément.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Q29, Mai23 Q29, N20 Q28, R19 Q32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Échappement viral : Drift vs Shift ; datation d'une i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nfection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Drift (glissement) : mutations PONCTUELLES de l'hémagglutinine/neuraminidase → grippe humaine saisonnière, baisse d'efficacité des anticorps anti-H → échec vaccinal (reformulation annuelle).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Shift (cassure) : RÉASSORTIMENT (échange de segments) </w:t>
      </w:r>
      <w:r w:rsidRPr="00DC5459">
        <w:rPr>
          <w:rFonts w:ascii="LMRoman10" w:hAnsi="LMRoman10"/>
        </w:rPr>
        <w:t>entre 2 souches → nouveaux sous-types → pandémies (grippe aviaire/porcine). Drift et Shift = VIRUS uniquement.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Datation d'une infection : cinétique IgM/IgG spécifiques + AVIDITÉ des IgG (faible = récente ; forte = ancienne). Sujet immunisé/ancien : IgM- Ig</w:t>
      </w:r>
      <w:r w:rsidRPr="00DC5459">
        <w:rPr>
          <w:rFonts w:ascii="LMRoman10" w:hAnsi="LMRoman10"/>
        </w:rPr>
        <w:t>G+ de forte avidité.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Drift = mutations ponctuelles (H) ; Shift = réassortiment génétique. Ne pas confondre.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marqueurs d'inflammation et le dosage pondéral ne datent PAS une infection.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Q28/Q29, Mai23 Q30, R22 Q27, N22 Q29, R21 Q29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Super-antigènes et orage cytokinique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Super-antigène : pontage CMH-II/TCR hors site spécifique → activation POLYCLONALE massive des LT → libération d'IL-2, TNF (toxi-infection alimentaire à toxines staph, choc toxique).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Hyper-inflammation du COVID-19 (SDRA) : largage massif d'IL-1, IL-6, TNF</w:t>
      </w:r>
      <w:r w:rsidRPr="00DC5459">
        <w:rPr>
          <w:rFonts w:ascii="Courier New" w:hAnsi="Courier New" w:cs="Courier New"/>
        </w:rPr>
        <w:t>α</w:t>
      </w:r>
      <w:r w:rsidRPr="00DC5459">
        <w:rPr>
          <w:rFonts w:ascii="LMRoman10" w:hAnsi="LMRoman10"/>
        </w:rPr>
        <w:t>. Le TNF</w:t>
      </w:r>
      <w:r w:rsidRPr="00DC5459">
        <w:rPr>
          <w:rFonts w:ascii="Courier New" w:hAnsi="Courier New" w:cs="Courier New"/>
        </w:rPr>
        <w:t>α</w:t>
      </w:r>
      <w:r w:rsidRPr="00DC5459">
        <w:rPr>
          <w:rFonts w:ascii="LMRoman10" w:hAnsi="LMRoman10"/>
        </w:rPr>
        <w:t xml:space="preserve"> est impliqu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 xml:space="preserve"> dans le choc septique et l'hyperinflammation du COVID.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Un super-antigène active les LT (polyclonal), pas les LB ; il n'induit pas d'auto-anticorps.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Mimétism</w:t>
      </w:r>
      <w:r w:rsidRPr="00DC5459">
        <w:rPr>
          <w:rFonts w:ascii="LMRoman10" w:hAnsi="LMRoman10"/>
          <w:i/>
          <w:iCs/>
          <w:color w:val="B45309"/>
        </w:rPr>
        <w:t xml:space="preserve">e moléculaire (RAA post-streptococcique, Guillain-Barré) </w:t>
      </w:r>
      <w:r w:rsidRPr="00DC5459">
        <w:rPr>
          <w:rFonts w:ascii="Courier New" w:hAnsi="Courier New" w:cs="Courier New"/>
          <w:i/>
          <w:iCs/>
          <w:color w:val="B45309"/>
        </w:rPr>
        <w:t>≠</w:t>
      </w:r>
      <w:r w:rsidRPr="00DC5459">
        <w:rPr>
          <w:rFonts w:ascii="LMRoman10" w:hAnsi="LMRoman10"/>
          <w:i/>
          <w:iCs/>
          <w:color w:val="B45309"/>
        </w:rPr>
        <w:t xml:space="preserve"> super-antig</w:t>
      </w:r>
      <w:r w:rsidRPr="00DC5459">
        <w:rPr>
          <w:rFonts w:ascii="LMRoman10" w:hAnsi="LMRoman10" w:cs="LMRoman10"/>
          <w:i/>
          <w:iCs/>
          <w:color w:val="B45309"/>
        </w:rPr>
        <w:t>è</w:t>
      </w:r>
      <w:r w:rsidRPr="00DC5459">
        <w:rPr>
          <w:rFonts w:ascii="LMRoman10" w:hAnsi="LMRoman10"/>
          <w:i/>
          <w:iCs/>
          <w:color w:val="B45309"/>
        </w:rPr>
        <w:t>ne.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N22 Q28, R22 Q28, N21 Q28, N20 Q29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14] MYOPATHIE INFLAMMATOIRE (POLY/DERMATOMYOSITE)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~1.50 Q/examen (n°14 — 3,1 %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</w:t>
      </w:r>
      <w:r w:rsidRPr="00DC5459">
        <w:rPr>
          <w:rFonts w:ascii="LMRoman10" w:hAnsi="LMRoman10"/>
          <w:i/>
          <w:iCs/>
          <w:color w:val="404040"/>
        </w:rPr>
        <w:t>e système AIO (496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Atteinte musculaire et bilan diagnostique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Déficit moteur PROXIMAL, bilatéral et symétrique, des 4 membres + axial (se peigner, monter les escaliers, relever la tête) ± troubles de déglutition.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Bilan : CPK élevées (cytolyse musculai</w:t>
      </w:r>
      <w:r w:rsidRPr="00DC5459">
        <w:rPr>
          <w:rFonts w:ascii="LMRoman10" w:hAnsi="LMRoman10"/>
        </w:rPr>
        <w:t>re), EMG = tracé MYOGÈNE, biopsie musculaire (nécrose + régénération + infiltrat inflammatoire), IRM musculaire (guide la biopsie).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L'EMG montre un tracé myogène, PAS neurogène.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Atteinte distale et asymétrique → évoquer une myosite à inclusions (sujet </w:t>
      </w:r>
      <w:r w:rsidRPr="00DC5459">
        <w:rPr>
          <w:rFonts w:ascii="LMRoman10" w:hAnsi="LMRoman10"/>
          <w:i/>
          <w:iCs/>
          <w:color w:val="B45309"/>
        </w:rPr>
        <w:t>âgé, corticorésistante).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Q10/Q11, R22 Q1, N21 Q13, R19 Q15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Dermatomyosite : signes cutanés et auto-anticorps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Érythro-œdème lilacé/héliotrope des paupières « en lunettes » et papules/signe de Gottron (en regard des MCP/IPP) — évocateurs.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Forme</w:t>
      </w:r>
      <w:r w:rsidRPr="00DC5459">
        <w:rPr>
          <w:rFonts w:ascii="LMRoman10" w:hAnsi="LMRoman10"/>
        </w:rPr>
        <w:t>s : DM sine myositis (cutanée pure), DM sine dermatitis (musculaire pure).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Auto-anticorps : anti-Mi2 (DM classique), anti-MDA5 (DM amyopathique + PID rapide), anti-TIF1</w:t>
      </w:r>
      <w:r w:rsidRPr="00DC5459">
        <w:rPr>
          <w:rFonts w:ascii="Courier New" w:hAnsi="Courier New" w:cs="Courier New"/>
        </w:rPr>
        <w:t>γ</w:t>
      </w:r>
      <w:r w:rsidRPr="00DC5459">
        <w:rPr>
          <w:rFonts w:ascii="LMRoman10" w:hAnsi="LMRoman10"/>
        </w:rPr>
        <w:t xml:space="preserve"> (DM paran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>oplasique) ; anti-Jo1/anti-SRP dans les myosites.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L'aphtose bipolaire est un signe de Behçet, pas de myosite.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Q5, R22 Q1-Q3, Déc24 Q7-Q10, R19 Q14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Pronostic, néoplasie et traitement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Mauvais pronostic : atteinte cardiaque (troubles de conduction → mort subite), atteinte respiratoire (PID, m</w:t>
      </w:r>
      <w:r w:rsidRPr="00DC5459">
        <w:rPr>
          <w:rFonts w:ascii="LMRoman10" w:hAnsi="LMRoman10"/>
        </w:rPr>
        <w:t>uscles respiratoires, pneumopathie de déglutition), NÉOPLASIE associée (surtout DM de l'adulte).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Bilan carcinologique systématique : TDM thoraco-abdomino-pelvienne, mammographie, écho prostatique/pelvienne, coloscopie.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Traitement : CORTICOTHÉRAPIE 1re intention + immunosuppresseurs (MTX, azathioprine, MMF), IgIV (formes réfractaires/dysphagie), rééducation.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 taux de CPK ne préjuge pas du pronostic ; ce sont les atteintes viscérales et la néoplasie qui comptent.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</w:t>
      </w:r>
      <w:r w:rsidRPr="00DC5459">
        <w:rPr>
          <w:rFonts w:ascii="LMRoman10" w:hAnsi="LMRoman10"/>
          <w:i/>
          <w:iCs/>
          <w:color w:val="B45309"/>
        </w:rPr>
        <w:t>X : AINS ou chirurgie en traitement de la myosite.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Q12, R22 Q4/Q11, N21 Q14, R21 Q14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Syndrome des antisynthétases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Anti-Jo1 (++) ; tableau : myosite + PID + arthrite + « mains de mécanicien » (fissuration/hyperkératose des doigts) + Raynaud + </w:t>
      </w:r>
      <w:r w:rsidRPr="00DC5459">
        <w:rPr>
          <w:rFonts w:ascii="LMRoman10" w:hAnsi="LMRoman10"/>
        </w:rPr>
        <w:t>fièvre ; souvent résistant aux immunosuppresseurs (PID sévère).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Ce n'est PAS une entité du lupus ; les enzymes musculaires y sont généralement élevées.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R22 Q10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15] SYNDROME DE GOUGEROT-SJÖGREN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~1.31 Q/examen (n°15 — 2,7</w:t>
      </w: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 xml:space="preserve">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 · critères ACR/EULAR 2016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Tableau clinique et atteinte rénale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Exocrinopathie auto-immune → syndrome SEC (xérostomie + xérophtalmie/kérato-conjonctivite sèche) ; femme 40–60 ans ; primitif ou secon</w:t>
      </w:r>
      <w:r w:rsidRPr="00DC5459">
        <w:rPr>
          <w:rFonts w:ascii="LMRoman10" w:hAnsi="LMRoman10"/>
        </w:rPr>
        <w:t>daire (PR, lupus, sclérodermie).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Atteinte rénale la plus fréquente : tubulo-interstitielle CHRONIQUE → ACIDOSE TUBULAIRE DISTALE (type 1) avec hypokaliémie.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L'atteinte rénale n'est PAS d'abord glomérulaire ; le trouble électrolytique typique est l'acidose tubulaire distale (pas une hyperkaliémie).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Q7/Q8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lastRenderedPageBreak/>
        <w:t>Diagnostic immunologique et morphologique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Anti-SSA (anti-Ro) ++ et anti-SSB (anti-La) ; AAN+, </w:t>
      </w:r>
      <w:r w:rsidRPr="00DC5459">
        <w:rPr>
          <w:rFonts w:ascii="LMRoman10" w:hAnsi="LMRoman10"/>
        </w:rPr>
        <w:t>facteur rhumatoïde+, hypergammaglobulinémie polyclonale.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Test de Schirmer (sécheresse oculaire) ; biopsie des glandes salivaires accessoires : sialadénite lymphocytaire focale (score de Chisholm III–IV).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Anti-CCP, anti-ADN, anti-Sm, anti-topo-isomérase n</w:t>
      </w:r>
      <w:r w:rsidRPr="00DC5459">
        <w:rPr>
          <w:rFonts w:ascii="LMRoman10" w:hAnsi="LMRoman10"/>
          <w:i/>
          <w:iCs/>
          <w:color w:val="B45309"/>
        </w:rPr>
        <w:t>e sont PAS les marqueurs du Sjögren (ce sont anti-SSA/SSB).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Sep24/Nov24/Déc24 Q9/Q17, N22 Q8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Diagnostics différentiels du syndrome sec et complication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Différentiels d'un syndrome sec : VIH, hépatite C (VHC), sarcoïdose (dosage de l'enzyme de conv</w:t>
      </w:r>
      <w:r w:rsidRPr="00DC5459">
        <w:rPr>
          <w:rFonts w:ascii="LMRoman10" w:hAnsi="LMRoman10"/>
        </w:rPr>
        <w:t>ersion), médicaments, amylose.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Complication redoutée : LYMPHOME B (MALT) — risque nettement augmenté (surveillance).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Devant un syndrome sec, penser à éliminer VIH/VHC/sarcoïdose avant de retenir un Sjögren primitif.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Sep24/Nov24 Q8, N22 Q9/Q10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16] LE CONSEIL GÉNÉTIQUE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Génétique  •  ~1.31 Q/examen (n°16 — 2,7 %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Génétique AIO (412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Risque FACILE vs DIFFICILE à calculer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FACILE : maladies monogéniques mendéliennes (AD, AR, lié à l'X) avec diagnostic PRÉCIS ; trisomie</w:t>
      </w:r>
      <w:r w:rsidRPr="00DC5459">
        <w:rPr>
          <w:rFonts w:ascii="LMRoman10" w:hAnsi="LMRoman10"/>
        </w:rPr>
        <w:t>s libres et homogènes (21, 13, 18).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DIFFICILE : maladies par EXPANSION de triplets (anticipation), maladies MITOCHONDRIALES (hétéroplasmie), HÉTÉROGÉNÉITÉ génétique, diagnostic imprécis, maladies multifactorielles, cas isolés, maladies de l'empreinte.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Repère mnémotechnique : « triplets + mitochondries + hétérogénéité + imprécis » = DIFFICILE ; « mendélien précis + trisomie libre » = FACILE.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Q50, N22 Q47, R22 Q48, Mai23 Q50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et indications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Consultation de médecine PRÉDICTIVE : pré</w:t>
      </w:r>
      <w:r w:rsidRPr="00DC5459">
        <w:rPr>
          <w:rFonts w:ascii="LMRoman10" w:hAnsi="LMRoman10"/>
        </w:rPr>
        <w:t>ciser le diagnostic, le mode de transmission, le pronostic et estimer le risque de récurrence.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La décision dépend du risque estimé ET de la gravité de la maladie.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Conseil prénatal indispensable : anomalies à l'échographie fœtale, anomalies des marqueurs sé</w:t>
      </w:r>
      <w:r w:rsidRPr="00DC5459">
        <w:rPr>
          <w:rFonts w:ascii="LMRoman10" w:hAnsi="LMRoman10"/>
        </w:rPr>
        <w:t>riques maternels, remaniement équilibré parental, antécédent d'enfant atteint.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le conseil génétique se fait « en urgence » → non, c'est une consultation programmée.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R20 Q44, R19 Q42, N19 Q48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Possibilités offertes à un couple à risque (ex :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 xml:space="preserve"> translocation robertsonienne)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Ne pas avoir d'enfant ; adoption ; diagnostic préimplantatoire (DPI) ; diagnostic anténatal (DPN) avec IMG éventuelle ; avoir un enfant avec un autre partenaire ; ne pas tenir compte du conseil.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rob(13;13) ou rob(21;21) HOM</w:t>
      </w:r>
      <w:r w:rsidRPr="00DC5459">
        <w:rPr>
          <w:rFonts w:ascii="LMRoman10" w:hAnsi="LMRoman10"/>
        </w:rPr>
        <w:t>OLOGUE → 100 % de gamètes déséquilibrés : aucun enfant sain/équilibré possible (le DPN n'apporte rien).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Pour une robertsonienne HOMOLOGUE, l'option « enfant sain après DPN » est illusoire (tous les gamètes sont déséquilibrés).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N21 Q49, NG18 Q26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lastRenderedPageBreak/>
        <w:t>[</w:t>
      </w:r>
      <w:r w:rsidRPr="00DC5459">
        <w:rPr>
          <w:rFonts w:ascii="LMRoman10" w:hAnsi="LMRoman10"/>
        </w:rPr>
        <w:t>RANG 17] SYNDROME DES ANTIPHOSPHOLIPIDES (SAPL)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~1.25 Q/examen (n°17 — 2,5 %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 · critères de Sydney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Définition et critères biologiques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Thrombophilie ACQUISE auto-immune : thromboses (veineuses ET/OU artérielles) + morbidité obstétricale + anticorps antiphospholipides persistants.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Les 3 aPL : anticoagulant circulant de type lupique (allonge le TCA), anti-cardiolipine, anti-</w:t>
      </w:r>
      <w:r w:rsidRPr="00DC5459">
        <w:rPr>
          <w:rFonts w:ascii="Courier New" w:hAnsi="Courier New" w:cs="Courier New"/>
        </w:rPr>
        <w:t>β</w:t>
      </w:r>
      <w:r w:rsidRPr="00DC5459">
        <w:rPr>
          <w:rFonts w:ascii="LMRoman10" w:hAnsi="LMRoman10"/>
        </w:rPr>
        <w:t>2-glycoprot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 xml:space="preserve">ine I. Persistance </w:t>
      </w:r>
      <w:r w:rsidRPr="00DC5459">
        <w:rPr>
          <w:rFonts w:ascii="Courier New" w:hAnsi="Courier New" w:cs="Courier New"/>
        </w:rPr>
        <w:t>≥</w:t>
      </w:r>
      <w:r w:rsidRPr="00DC5459">
        <w:rPr>
          <w:rFonts w:ascii="LMRoman10" w:hAnsi="LMRoman10"/>
        </w:rPr>
        <w:t xml:space="preserve"> 12 semaines.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Primitif ou secondaire (au lupus ++).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Paradoxe : l'anticoagulant lupique allonge le TCA in vitro mais est THROMBO</w:t>
      </w:r>
      <w:r w:rsidRPr="00DC5459">
        <w:rPr>
          <w:rFonts w:ascii="LMRoman10" w:hAnsi="LMRoman10"/>
          <w:i/>
          <w:iCs/>
          <w:color w:val="B45309"/>
        </w:rPr>
        <w:t>SANT in vivo.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AAN et les ANCA ne font PAS partie des critères du SAPL.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Q7, Sep24/Nov24/Déc24 Q28, N21 Q12, R21 Q15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Manifestations et indications de recherche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Thromboses veineuses (parfois de siège inhabituel) et artérielles ; AVC isch</w:t>
      </w:r>
      <w:r w:rsidRPr="00DC5459">
        <w:rPr>
          <w:rFonts w:ascii="LMRoman10" w:hAnsi="LMRoman10"/>
        </w:rPr>
        <w:t>émique = principale manifestation neurologique ; valvulopathie (Libman-Sacks) ; livedo ; thrombopénie.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Quand chercher des aPL : thrombose veineuse de siège inhabituel, thrombose du sujet jeune, </w:t>
      </w:r>
      <w:r w:rsidRPr="00DC5459">
        <w:rPr>
          <w:rFonts w:ascii="Courier New" w:hAnsi="Courier New" w:cs="Courier New"/>
        </w:rPr>
        <w:t>≥</w:t>
      </w:r>
      <w:r w:rsidRPr="00DC5459">
        <w:rPr>
          <w:rFonts w:ascii="LMRoman10" w:hAnsi="LMRoman10"/>
        </w:rPr>
        <w:t xml:space="preserve"> 3 fausses couches pr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>coces (&lt; 10 SA), fausse s</w:t>
      </w:r>
      <w:r w:rsidRPr="00DC5459">
        <w:rPr>
          <w:rFonts w:ascii="LMRoman10" w:hAnsi="LMRoman10" w:cs="LMRoman10"/>
        </w:rPr>
        <w:t>é</w:t>
      </w:r>
      <w:r w:rsidRPr="00DC5459">
        <w:rPr>
          <w:rFonts w:ascii="LMRoman10" w:hAnsi="LMRoman10"/>
        </w:rPr>
        <w:t>rologie syphi</w:t>
      </w:r>
      <w:r w:rsidRPr="00DC5459">
        <w:rPr>
          <w:rFonts w:ascii="LMRoman10" w:hAnsi="LMRoman10"/>
        </w:rPr>
        <w:t>litique (VDRL+ / TPHA−).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rechercher des aPL devant un IDM du sujet âgé ou un athérome banal.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Fausse sérologie syphilitique = VDRL POSITIF / TPHA NÉGATIF (à connaître précisément).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Mai23 Q1/Q2, N22 Q11/Q12, R21 Q15/Q16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Traitement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Thromb</w:t>
      </w:r>
      <w:r w:rsidRPr="00DC5459">
        <w:rPr>
          <w:rFonts w:ascii="LMRoman10" w:hAnsi="LMRoman10"/>
        </w:rPr>
        <w:t>ose : héparine initiale puis relais par AVK, INR cible 2–3 (3–4 si thromboses artérielles récidivantes).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Prévention des pertes fœtales : aspirine faible dose + héparine (HBPM) + surveillance échographique mensuelle.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 xml:space="preserve">CAPS (SAPL catastrophique) : </w:t>
      </w:r>
      <w:r w:rsidRPr="00DC5459">
        <w:rPr>
          <w:rFonts w:ascii="Courier New" w:hAnsi="Courier New" w:cs="Courier New"/>
        </w:rPr>
        <w:t>≥</w:t>
      </w:r>
      <w:r w:rsidRPr="00DC5459">
        <w:rPr>
          <w:rFonts w:ascii="LMRoman10" w:hAnsi="LMRoman10"/>
        </w:rPr>
        <w:t xml:space="preserve"> 3 organes</w:t>
      </w:r>
      <w:r w:rsidRPr="00DC5459">
        <w:rPr>
          <w:rFonts w:ascii="LMRoman10" w:hAnsi="LMRoman10"/>
        </w:rPr>
        <w:t xml:space="preserve"> atteints en &lt; 1 semaine + microangiopathie histologique — urgence vitale.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aspirine seule ou corticoïdes/immunosuppresseurs en routine pour la thrombose obstétricale → c'est aspirine + héparine.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Q8, R19 Q17, N20 Q17, R20 Q17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18</w:t>
      </w:r>
      <w:r w:rsidRPr="00DC5459">
        <w:rPr>
          <w:rFonts w:ascii="LMRoman10" w:hAnsi="LMRoman10"/>
        </w:rPr>
        <w:t>] MALADIE DE BEHÇET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~0.94 Q/examen (n°18 — 1,9 %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Terrain et manifestations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Vascularite de calibre VARIABLE (artères + veines) ; homme jeune, bassin méditerranéen (Turquie/Maghreb), HLA-B51.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Aphtose BIPOLAIRE récidivante (buccale + génitale) ; atteinte oculaire = uvéite antérieure ET postérieure + vascularite rétinienne → risque d</w:t>
      </w:r>
      <w:r w:rsidRPr="00DC5459">
        <w:rPr>
          <w:rFonts w:ascii="LMRoman10" w:hAnsi="LMRoman10"/>
        </w:rPr>
        <w:t>e CÉCITÉ (mauvais pronostic).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Vasculaire : thromboses veineuses, thrombophlébite cérébrale (thrombose des sinus), anévrismes artériels ; neuro-Behçet (méningo-encéphalite, myélite). Pathergie cutanée.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L'atteinte n'est PAS exclusivement veineuse (atteinte</w:t>
      </w:r>
      <w:r w:rsidRPr="00DC5459">
        <w:rPr>
          <w:rFonts w:ascii="LMRoman10" w:hAnsi="LMRoman10"/>
          <w:i/>
          <w:iCs/>
          <w:color w:val="B45309"/>
        </w:rPr>
        <w:t xml:space="preserve"> artérielle possible) ; il n'y a pas d'auto-anticorps spécifiques (AAN-, ANCA-).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lastRenderedPageBreak/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Mai24 Q12, N21 Q1-Q4, N19 Q1-Q3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Biologie et traitement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Syndrome inflammatoire INCONSTANT (son absence n'élimine pas le diagnostic).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Aphtose/articulaire : COLCHICINE.</w:t>
      </w:r>
      <w:r w:rsidRPr="00DC5459">
        <w:rPr>
          <w:rFonts w:ascii="LMRoman10" w:hAnsi="LMRoman10"/>
        </w:rPr>
        <w:t xml:space="preserve"> Thrombose : anticoagulation (HBPM puis AVK) + immunosuppression. Atteinte grave (œil, neuro, vasculaire) : corticoïdes + immunosuppresseurs/anti-TNF.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Pas d'anti-DNA, pas de déficit en protéine C : ce ne sont pas des critères de Behçet.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N21 Q5/Q6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, N19 Q4/Q5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19] SCLÉRODERMIE SYSTÉMIQUE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~0.88 Q/examen (n°19 — 1,8 %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 · critères ACR/EULAR 2013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Formes, auto-anticorps et atteintes viscérales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Forme cutanée DIFFUSE (anti-Sc</w:t>
      </w:r>
      <w:r w:rsidRPr="00DC5459">
        <w:rPr>
          <w:rFonts w:ascii="LMRoman10" w:hAnsi="LMRoman10"/>
        </w:rPr>
        <w:t>l70/topo-isomérase I) vs LIMITÉE/CREST (anti-centromère). Le pronostic dépend de l'extension cutanée et viscérale ; surmortalité.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Atteinte pulmonaire : PID (1re cause de mortalité) → MMF/cyclophosphamide ; HTAP (surtout forme limitée) confirmée par cathété</w:t>
      </w:r>
      <w:r w:rsidRPr="00DC5459">
        <w:rPr>
          <w:rFonts w:ascii="LMRoman10" w:hAnsi="LMRoman10"/>
        </w:rPr>
        <w:t>risme droit.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Crise rénale sclérodermique : HTA maligne + IRA (atteinte vasculaire) → IEC (captopril) qui améliorent la survie.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Anti-Scl70 → fibrose pulmonaire ; anti-ARN-polymérase III → crise rénale ; anti-centromère → HTAP/forme limitée. Ne pas attribuer la crise rénale à l'anti-Scl70.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L'atteinte rénale est vasculaire (pas une glomérulonéphrite primitive).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Mai23 Q14-Q1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>7, N22 Q6/Q7, R20 Q5-Q9 (cf. n°7 Raynaud)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Bilan d'extension et traitement de fond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Bilan : échographie cardiaque, TDM thoracique (PID), EFR + DLCO, manométrie œsophagienne.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D-pénicillamine (Trolovol) : ancien traitement cutané ; effets indésirables : cyto</w:t>
      </w:r>
      <w:r w:rsidRPr="00DC5459">
        <w:rPr>
          <w:rFonts w:ascii="LMRoman10" w:hAnsi="LMRoman10"/>
        </w:rPr>
        <w:t>pénies, protéinurie, lupus induit.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L'HTAP sclérodermique ne se traite pas par inhibiteurs calciques (réservés au Raynaud).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N22 Q7, R20 Q8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20] IMMUNITÉ ANTI-TUMORALE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Immunopathologie  •  ~0.81 Q/examen (n°20 — 1,6 %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Immunopathologie AIO (383 p.)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Effecteurs et immunothérapie anti-tumorale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Effecteurs PRINCIPAUX : cellules NK (immunosurveillance, reconnaissance du « soi manquant » / perte du CMH-I, récepteurs activateurs) + LT cytotoxiques CD8. Aussi LT helper</w:t>
      </w:r>
      <w:r w:rsidRPr="00DC5459">
        <w:rPr>
          <w:rFonts w:ascii="LMRoman10" w:hAnsi="LMRoman10"/>
        </w:rPr>
        <w:t>, anticorps (ADCC), cytokines (rôle accessoire).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Immunothérapie : anti-checkpoints (anti-PD-1/PD-L1, anti-CTLA-4), transfert adoptif (TIL, CAR-T), vaccins antitumoraux.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Facteurs oncogènes : mutation de p53, mutation de ras, translocations chromosomiques, v</w:t>
      </w:r>
      <w:r w:rsidRPr="00DC5459">
        <w:rPr>
          <w:rFonts w:ascii="LMRoman10" w:hAnsi="LMRoman10"/>
        </w:rPr>
        <w:t>irus oncogènes (HPV, EBV, VHB/VHC).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L'immunothérapie ne repose PAS sur l'induction d'une anergie des CTL ni sur les Ig polyvalentes.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Mai23 Q31, R22 Q29, N21 Q29/Q30, N20 Q30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Inhibiteurs de points de contrôle (checkpoints)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lastRenderedPageBreak/>
        <w:t>Anticorps monoclonaux bloquant PD-1/PD-L1 (et CTLA-4) → DÉSINHIBITION / levée de l'inhibition des LT cytotoxiques contre la tumeur.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FAUX : les anti-checkpoints « inhibent directement la tumeur » ou « activent les NK par cytokines » → leur cible est le fr</w:t>
      </w:r>
      <w:r w:rsidRPr="00DC5459">
        <w:rPr>
          <w:rFonts w:ascii="LMRoman10" w:hAnsi="LMRoman10"/>
          <w:i/>
          <w:iCs/>
          <w:color w:val="B45309"/>
        </w:rPr>
        <w:t>ein des LT, pas la tumeur.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N25 Q32, Sep24/Nov24 Q30, R22 Q31, R21 Q31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21] DERMATOMYOSITE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~0.25 Q/examen (n°21 — 0,5 %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 · cf. n°14 Myopathie inflammatoire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L'essentiel (</w:t>
      </w: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sous-type de myopathie inflammatoire — voir aussi n°14)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Caractéristique clinique : éruption cutanée + faiblesse musculaire PROXIMALE.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Signes cutanés spécifiques : papules/signe de Gottron + érythème lilacé péri-orbitaire « en lunettes » (héliotrope).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Con</w:t>
      </w:r>
      <w:r w:rsidRPr="00DC5459">
        <w:rPr>
          <w:rFonts w:ascii="LMRoman10" w:hAnsi="LMRoman10"/>
        </w:rPr>
        <w:t>firmation : CPK élevées (+ EMG myogène, biopsie) ; traitement de 1re intention = corticoïdes.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DM de l'adulte = forme souvent PARANÉOPLASIQUE → bilan carcinologique systématique.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L'érythème en aile de papillon (joues) = lupus ; en dermatomyosite c'est l'h</w:t>
      </w:r>
      <w:r w:rsidRPr="00DC5459">
        <w:rPr>
          <w:rFonts w:ascii="LMRoman10" w:hAnsi="LMRoman10"/>
          <w:i/>
          <w:iCs/>
          <w:color w:val="B45309"/>
        </w:rPr>
        <w:t>éliotrope des paupières + Gottron.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Déc24 Q7-Q10</w:t>
      </w:r>
    </w:p>
    <w:p w:rsidR="004F0678" w:rsidRPr="00DC5459" w:rsidRDefault="00DC5459">
      <w:pPr>
        <w:pStyle w:val="Heading1"/>
        <w:pBdr>
          <w:bottom w:val="single" w:sz="12" w:space="4" w:color="1F3A5F"/>
        </w:pBdr>
        <w:rPr>
          <w:rFonts w:ascii="LMRoman10" w:hAnsi="LMRoman10"/>
        </w:rPr>
      </w:pPr>
      <w:r w:rsidRPr="00DC5459">
        <w:rPr>
          <w:rFonts w:ascii="LMRoman10" w:hAnsi="LMRoman10"/>
        </w:rPr>
        <w:t>[RANG 22] ARTÉRITE DE TAKAYASU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8B0000"/>
          <w:sz w:val="22"/>
          <w:szCs w:val="22"/>
        </w:rPr>
        <w:t>Médecine interne  •  ~0.12 Q/examen (n°22 — 0,2 % de l'examen)</w:t>
      </w:r>
    </w:p>
    <w:p w:rsidR="004F0678" w:rsidRPr="00DC5459" w:rsidRDefault="00DC5459">
      <w:pPr>
        <w:spacing w:before="40" w:after="4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</w:rPr>
        <w:t>📖</w:t>
      </w:r>
      <w:r w:rsidRPr="00DC5459">
        <w:rPr>
          <w:rFonts w:ascii="LMRoman10" w:hAnsi="LMRoman10"/>
          <w:i/>
          <w:iCs/>
          <w:color w:val="404040"/>
        </w:rPr>
        <w:t xml:space="preserve"> Cours Maladies de système AIO (496 p.) · cf. n°11 Vascularites</w:t>
      </w:r>
    </w:p>
    <w:p w:rsidR="004F0678" w:rsidRPr="00DC5459" w:rsidRDefault="00DC5459">
      <w:pPr>
        <w:spacing w:before="16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8B0000"/>
          <w:sz w:val="22"/>
          <w:szCs w:val="22"/>
          <w:u w:val="single"/>
        </w:rPr>
        <w:t>L'essentiel (vascularite des gros vaisseaux — voir aussi n°11)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Atteint l'aorte, ses branches principales et les artères pulmonaires ; femme jeune ; « maladie des femmes sans pouls ».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HTA = facteur de mauvais pronostic ; atteinte axillo-sous-clavière → cl</w:t>
      </w:r>
      <w:r w:rsidRPr="00DC5459">
        <w:rPr>
          <w:rFonts w:ascii="LMRoman10" w:hAnsi="LMRoman10"/>
        </w:rPr>
        <w:t>audication du membre supérieur ; diagnostic différentiel = athérome.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Traitement : corticothérapie (± immunosuppresseurs).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La complication principale de Takayasu n'est PAS la cécité (c'est Horton) ; ici dominent HTA, ischémie de membre, anévrisme/dissection.</w:t>
      </w:r>
    </w:p>
    <w:p w:rsidR="004F0678" w:rsidRPr="00DC5459" w:rsidRDefault="00DC5459">
      <w:pPr>
        <w:spacing w:before="2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i/>
          <w:iCs/>
          <w:color w:val="404040"/>
          <w:sz w:val="18"/>
          <w:szCs w:val="18"/>
        </w:rPr>
        <w:t>📋</w:t>
      </w:r>
      <w:r w:rsidRPr="00DC5459">
        <w:rPr>
          <w:rFonts w:ascii="LMRoman10" w:hAnsi="LMRoman10"/>
          <w:i/>
          <w:iCs/>
          <w:color w:val="404040"/>
          <w:sz w:val="18"/>
          <w:szCs w:val="18"/>
        </w:rPr>
        <w:t xml:space="preserve"> Vu : Mai23 Q8, R21 Q17</w:t>
      </w:r>
    </w:p>
    <w:p w:rsidR="004F0678" w:rsidRPr="00DC5459" w:rsidRDefault="00DC5459">
      <w:pPr>
        <w:rPr>
          <w:rFonts w:ascii="LMRoman10" w:hAnsi="LMRoman10"/>
        </w:rPr>
      </w:pPr>
      <w:r w:rsidRPr="00DC5459">
        <w:rPr>
          <w:rFonts w:ascii="LMRoman10" w:hAnsi="LMRoman10"/>
        </w:rPr>
        <w:br w:type="page"/>
      </w:r>
    </w:p>
    <w:p w:rsidR="004F0678" w:rsidRPr="00DC5459" w:rsidRDefault="00DC5459">
      <w:pPr>
        <w:pBdr>
          <w:top w:val="single" w:sz="8" w:space="0" w:color="991B1B"/>
          <w:bottom w:val="single" w:sz="8" w:space="0" w:color="991B1B"/>
        </w:pBdr>
        <w:shd w:val="clear" w:color="auto" w:fill="991B1B"/>
        <w:spacing w:before="240" w:after="12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FFFFFF"/>
          <w:sz w:val="24"/>
          <w:szCs w:val="24"/>
        </w:rPr>
        <w:lastRenderedPageBreak/>
        <w:t>PARTIE 4 — TOPICS HORS LEÇONS OFFICIELLES 2026 (COURS ANNULÉ)</w:t>
      </w:r>
    </w:p>
    <w:p w:rsidR="004F0678" w:rsidRPr="00DC5459" w:rsidRDefault="00DC5459">
      <w:pPr>
        <w:pBdr>
          <w:top w:val="single" w:sz="16" w:space="0" w:color="991B1B"/>
          <w:left w:val="single" w:sz="16" w:space="0" w:color="991B1B"/>
          <w:bottom w:val="single" w:sz="16" w:space="0" w:color="991B1B"/>
          <w:right w:val="single" w:sz="16" w:space="0" w:color="991B1B"/>
        </w:pBdr>
        <w:shd w:val="clear" w:color="auto" w:fill="FEF2F2"/>
        <w:spacing w:before="200" w:after="80"/>
        <w:jc w:val="center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  <w:r w:rsidRPr="00DC5459">
        <w:rPr>
          <w:rFonts w:ascii="LMRoman10" w:hAnsi="LMRoman10"/>
          <w:b/>
          <w:bCs/>
          <w:color w:val="991B1B"/>
          <w:sz w:val="26"/>
          <w:szCs w:val="26"/>
        </w:rPr>
        <w:t xml:space="preserve"> DISCLAIMER — À LIRE AVANT D'</w:t>
      </w:r>
      <w:r w:rsidRPr="00DC5459">
        <w:rPr>
          <w:rFonts w:ascii="LMRoman10" w:hAnsi="LMRoman10"/>
          <w:b/>
          <w:bCs/>
          <w:color w:val="991B1B"/>
          <w:sz w:val="26"/>
          <w:szCs w:val="26"/>
        </w:rPr>
        <w:t xml:space="preserve">UTILISER CETTE SECTION </w:t>
      </w:r>
      <w:r w:rsidRPr="00DC5459">
        <w:rPr>
          <w:rFonts w:ascii="Segoe UI Symbol" w:hAnsi="Segoe UI Symbol" w:cs="Segoe UI Symbol"/>
          <w:b/>
          <w:bCs/>
          <w:color w:val="991B1B"/>
          <w:sz w:val="26"/>
          <w:szCs w:val="26"/>
        </w:rPr>
        <w:t>⚠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991B1B"/>
          <w:sz w:val="22"/>
          <w:szCs w:val="22"/>
        </w:rPr>
        <w:t>These lessons are NOT in the 2026 exam program.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991B1B"/>
          <w:sz w:val="22"/>
          <w:szCs w:val="22"/>
        </w:rPr>
        <w:t>Cours annulé — NOT officially scheduled.</w:t>
      </w:r>
    </w:p>
    <w:p w:rsidR="004F0678" w:rsidRPr="00DC5459" w:rsidRDefault="00DC5459">
      <w:pPr>
        <w:spacing w:before="80" w:after="12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991B1B"/>
          <w:sz w:val="24"/>
          <w:szCs w:val="24"/>
        </w:rPr>
        <w:t>USE AT YOUR OWN RISK — BUT GOOD TO KNOW.</w:t>
      </w:r>
    </w:p>
    <w:p w:rsidR="004F0678" w:rsidRPr="00DC5459" w:rsidRDefault="00DC5459">
      <w:pPr>
        <w:spacing w:before="120" w:after="60"/>
        <w:rPr>
          <w:rFonts w:ascii="LMRoman10" w:hAnsi="LMRoman10"/>
        </w:rPr>
      </w:pPr>
      <w:r w:rsidRPr="00DC5459">
        <w:rPr>
          <w:rFonts w:ascii="LMRoman10" w:hAnsi="LMRoman10"/>
          <w:i/>
          <w:iCs/>
          <w:color w:val="000000"/>
        </w:rPr>
        <w:t>Ces topics représentaient historiquement ~0% des questions des examens passés. S'ils ne sont PAS au programme cette année, ils peuvent malgré tout :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Apparaître en question résiduelle ou rattrapage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Être recyclés à la dernière minute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Servir de "culture génér</w:t>
      </w:r>
      <w:r w:rsidRPr="00DC5459">
        <w:rPr>
          <w:rFonts w:ascii="LMRoman10" w:hAnsi="LMRoman10"/>
        </w:rPr>
        <w:t>ale" médicale</w:t>
      </w:r>
    </w:p>
    <w:p w:rsidR="004F0678" w:rsidRPr="00DC5459" w:rsidRDefault="00DC5459">
      <w:pPr>
        <w:spacing w:before="20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i/>
          <w:iCs/>
          <w:color w:val="404040"/>
        </w:rPr>
        <w:t>(Aucun topic hors programme — tous les topics correspondent aux leçons officielles cette année.)</w:t>
      </w:r>
    </w:p>
    <w:p w:rsidR="004F0678" w:rsidRPr="00DC5459" w:rsidRDefault="00DC5459">
      <w:pPr>
        <w:rPr>
          <w:rFonts w:ascii="LMRoman10" w:hAnsi="LMRoman10"/>
        </w:rPr>
      </w:pPr>
      <w:r w:rsidRPr="00DC5459">
        <w:rPr>
          <w:rFonts w:ascii="LMRoman10" w:hAnsi="LMRoman10"/>
        </w:rPr>
        <w:br w:type="page"/>
      </w:r>
    </w:p>
    <w:p w:rsidR="004F0678" w:rsidRPr="00DC5459" w:rsidRDefault="00DC5459">
      <w:pPr>
        <w:pBdr>
          <w:top w:val="single" w:sz="8" w:space="0" w:color="1F3A5F"/>
          <w:bottom w:val="single" w:sz="8" w:space="0" w:color="1F3A5F"/>
        </w:pBdr>
        <w:shd w:val="clear" w:color="auto" w:fill="1F3A5F"/>
        <w:spacing w:before="240" w:after="12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FFFFFF"/>
          <w:sz w:val="24"/>
          <w:szCs w:val="24"/>
        </w:rPr>
        <w:lastRenderedPageBreak/>
        <w:t>AIDE-MÉMOIRE FINAL — HIGH-YIELD CONCOURS IMMUNO · GÉNÉTIQUE · MÉDECINE INTERNE</w:t>
      </w:r>
    </w:p>
    <w:p w:rsidR="004F0678" w:rsidRPr="00DC5459" w:rsidRDefault="00DC5459">
      <w:pPr>
        <w:pStyle w:val="Heading2"/>
        <w:rPr>
          <w:rFonts w:ascii="LMRoman10" w:hAnsi="LMRoman10"/>
        </w:rPr>
      </w:pPr>
      <w:r w:rsidRPr="00DC5459">
        <w:rPr>
          <w:rFonts w:ascii="LMRoman10" w:hAnsi="LMRoman10"/>
        </w:rPr>
        <w:t>** CLASSIFICATIONS &amp; FORMULES À RETENIR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80"/>
        <w:gridCol w:w="4680"/>
      </w:tblGrid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Trisomie 21 (Down)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47,+21 · épicanthus, pli palmaire unique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Trisomie 18 (Edwards)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47,+18 · piolet + chevauchement des doigts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Trisomie 13 (Patau)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47,+13 · fente + microphtalmie + hexadactylie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Cri-du-chat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del(5)(p15)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Wolf-Hirschhorn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del(4)(p16)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Turner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45,X (mosaïque / anneau / isochromosome X)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Klinefelter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47,XXY · cancer du sein ×20–50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X fragile (Martin-Bell)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expansion CGG du gène FMR1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Translocation robertsonienne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acrocentriques : 13, 14, 15, 21, 22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Néphropathie lupique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classes ISN/RPS I→VI (IV = la plus grave)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Gell &amp; Coombs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I IgE · II cytotoxique · III complexes · IV retardée T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Chapel Hill 2012</w:t>
            </w:r>
          </w:p>
        </w:tc>
        <w:tc>
          <w:tcPr>
            <w:tcW w:w="468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8B0000"/>
                <w:sz w:val="18"/>
                <w:szCs w:val="18"/>
              </w:rPr>
              <w:t>gros: Horton/Takayasu · petits ANCA: GPA/MPA/EGPA · variable: Behçet</w:t>
            </w:r>
          </w:p>
        </w:tc>
      </w:tr>
    </w:tbl>
    <w:p w:rsidR="004F0678" w:rsidRPr="00DC5459" w:rsidRDefault="00DC5459">
      <w:pPr>
        <w:pStyle w:val="Heading2"/>
        <w:rPr>
          <w:rFonts w:ascii="LMRoman10" w:hAnsi="LMRoman10"/>
        </w:rPr>
      </w:pPr>
      <w:r w:rsidRPr="00DC5459">
        <w:rPr>
          <w:rFonts w:ascii="LMRoman10" w:hAnsi="LMRoman10"/>
        </w:rPr>
        <w:t>** AUTO-ANTICORPS &amp; MARQUEURS CLÉS (</w:t>
      </w:r>
      <w:r w:rsidRPr="00DC5459">
        <w:rPr>
          <w:rFonts w:ascii="Courier New" w:hAnsi="Courier New" w:cs="Courier New"/>
        </w:rPr>
        <w:t>↔</w:t>
      </w:r>
      <w:r w:rsidRPr="00DC5459">
        <w:rPr>
          <w:rFonts w:ascii="LMRoman10" w:hAnsi="LMRoman10"/>
        </w:rPr>
        <w:t xml:space="preserve"> maladie) **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0"/>
        <w:gridCol w:w="4860"/>
      </w:tblGrid>
      <w:tr w:rsidR="004F0678" w:rsidRPr="00DC5459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Marqueur / Critère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1F3A5F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FFFFFF"/>
                <w:sz w:val="18"/>
                <w:szCs w:val="18"/>
              </w:rPr>
              <w:t>Indication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Anti-ADN natif IgG · anti-Sm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 xml:space="preserve">LES (anti-ADNn </w:t>
            </w:r>
            <w:r w:rsidRPr="00DC5459">
              <w:rPr>
                <w:rFonts w:ascii="Courier New" w:hAnsi="Courier New" w:cs="Courier New"/>
                <w:color w:val="000000"/>
                <w:sz w:val="18"/>
                <w:szCs w:val="18"/>
              </w:rPr>
              <w:t>↔</w:t>
            </w: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 xml:space="preserve"> atteinte r</w:t>
            </w:r>
            <w:r w:rsidRPr="00DC5459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nale)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Anti-Scl70 (topo-isomérase I)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Sclérodermie diffuse / fibrose pulmonaire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Anti-centromère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Sclérodermie limitée / CREST / HTAP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Anti-ARN-polymérase III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Crise rénale sclérodermique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Anti-Jo1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Myosites / syndrome des antisynthétases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Anti-Mi2 / MDA5 / TIF1</w:t>
            </w:r>
            <w:r w:rsidRPr="00DC5459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γ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Dermatomyosite (TIF1</w:t>
            </w:r>
            <w:r w:rsidRPr="00DC5459">
              <w:rPr>
                <w:rFonts w:ascii="Courier New" w:hAnsi="Courier New" w:cs="Courier New"/>
                <w:color w:val="000000"/>
                <w:sz w:val="18"/>
                <w:szCs w:val="18"/>
              </w:rPr>
              <w:t>γ</w:t>
            </w: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 xml:space="preserve"> = paran</w:t>
            </w:r>
            <w:r w:rsidRPr="00DC5459">
              <w:rPr>
                <w:rFonts w:ascii="LMRoman10" w:hAnsi="LMRoman10" w:cs="LMRoman10"/>
                <w:color w:val="000000"/>
                <w:sz w:val="18"/>
                <w:szCs w:val="18"/>
              </w:rPr>
              <w:t>é</w:t>
            </w: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oplasique)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Anti-SSA (Ro) / anti-SSB (La)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Syndrome de Gougerot-Sjögren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c-ANCA (anti-PR3)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Granulomatose avec polyangéite (Wegener)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p-ANCA (anti-MPO)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Polyangéite microscopique / EGPA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ACC lupique + anti-cardiolipine + anti-</w:t>
            </w:r>
            <w:r w:rsidRPr="00DC5459">
              <w:rPr>
                <w:rFonts w:ascii="Courier New" w:hAnsi="Courier New" w:cs="Courier New"/>
                <w:b/>
                <w:bCs/>
                <w:color w:val="000000"/>
                <w:sz w:val="18"/>
                <w:szCs w:val="18"/>
              </w:rPr>
              <w:t>β</w:t>
            </w: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2GPI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SAPL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Anti-récepteur TSH / anti-RACh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Basedow / Myasthénie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Anti-membrane basale glomérulaire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Goodpasture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Anti-transglutaminase IgA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Maladie cœliaque (+ doser les IgA totales)</w:t>
            </w:r>
          </w:p>
        </w:tc>
      </w:tr>
      <w:tr w:rsidR="004F0678" w:rsidRPr="00DC5459">
        <w:tblPrEx>
          <w:tblCellMar>
            <w:top w:w="0" w:type="dxa"/>
            <w:bottom w:w="0" w:type="dxa"/>
          </w:tblCellMar>
        </w:tblPrEx>
        <w:tc>
          <w:tcPr>
            <w:tcW w:w="450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b/>
                <w:bCs/>
                <w:color w:val="000000"/>
                <w:sz w:val="18"/>
                <w:szCs w:val="18"/>
              </w:rPr>
              <w:t>AAN par IFI sur HEp-2</w:t>
            </w:r>
          </w:p>
        </w:tc>
        <w:tc>
          <w:tcPr>
            <w:tcW w:w="4860" w:type="dxa"/>
            <w:tcBorders>
              <w:top w:val="single" w:sz="4" w:space="0" w:color="B0B0B0"/>
              <w:left w:val="single" w:sz="4" w:space="0" w:color="B0B0B0"/>
              <w:bottom w:val="single" w:sz="4" w:space="0" w:color="B0B0B0"/>
              <w:right w:val="single" w:sz="4" w:space="0" w:color="B0B0B0"/>
            </w:tcBorders>
            <w:shd w:val="clear" w:color="auto" w:fill="F0F0F0"/>
            <w:tcMar>
              <w:top w:w="80" w:type="dxa"/>
              <w:left w:w="120" w:type="dxa"/>
              <w:bottom w:w="80" w:type="dxa"/>
              <w:right w:w="120" w:type="dxa"/>
            </w:tcMar>
          </w:tcPr>
          <w:p w:rsidR="004F0678" w:rsidRPr="00DC5459" w:rsidRDefault="00DC5459">
            <w:pPr>
              <w:rPr>
                <w:rFonts w:ascii="LMRoman10" w:hAnsi="LMRoman10"/>
              </w:rPr>
            </w:pPr>
            <w:r w:rsidRPr="00DC5459">
              <w:rPr>
                <w:rFonts w:ascii="LMRoman10" w:hAnsi="LMRoman10"/>
                <w:color w:val="000000"/>
                <w:sz w:val="18"/>
                <w:szCs w:val="18"/>
              </w:rPr>
              <w:t>Dépistage de toute connectivite</w:t>
            </w:r>
          </w:p>
        </w:tc>
      </w:tr>
    </w:tbl>
    <w:p w:rsidR="004F0678" w:rsidRPr="00DC5459" w:rsidRDefault="00DC5459">
      <w:pPr>
        <w:pStyle w:val="Heading2"/>
        <w:rPr>
          <w:rFonts w:ascii="LMRoman10" w:hAnsi="LMRoman10"/>
        </w:rPr>
      </w:pPr>
      <w:r w:rsidRPr="00DC5459">
        <w:rPr>
          <w:rFonts w:ascii="LMRoman10" w:hAnsi="LMRoman10"/>
        </w:rPr>
        <w:lastRenderedPageBreak/>
        <w:t>** PIÈGES CLASSIQUES DU CONCOURS (dont 3 corrections officielles erronées) **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: anti-Sm et anti-ADNn sont spécifiques ; l'anti-CCP = polyarthrite rhumatoïde (clé erronée à Mai24 Q27).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SCID : déficit en ADA = phénotype T-B-NK− ; RAG/Artemis = T-B-NK+ (clé erronée à Mai23 Q18).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Une translocation réciproque implique DEUX chromo</w:t>
      </w:r>
      <w:r w:rsidRPr="00DC5459">
        <w:rPr>
          <w:rFonts w:ascii="LMRoman10" w:hAnsi="LMRoman10"/>
          <w:i/>
          <w:iCs/>
          <w:color w:val="B45309"/>
        </w:rPr>
        <w:t>somes (clé discutable à N25 Q47).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Triade d'âge : mère avancée → chromosomique · père avancé → AD · consanguinité → AR.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Caryotype = stade métaphase ; voit nombre + structure, PAS les mutations géniques ponctuelles.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Vaccins vivants atténués (BCG, ROR) </w:t>
      </w:r>
      <w:r w:rsidRPr="00DC5459">
        <w:rPr>
          <w:rFonts w:ascii="LMRoman10" w:hAnsi="LMRoman10"/>
          <w:i/>
          <w:iCs/>
          <w:color w:val="B45309"/>
        </w:rPr>
        <w:t>= CONTRE-INDIQUÉS chez l'immunodéprimé et la femme enceinte.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IGRA (QuantiFERON) : non faussé par le BCG, mais ne distingue pas tuberculose latente/active.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Choc anaphylactoïde = non IgE (anaphylatoxines) → pas de désensibilisation.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Raynaud : la phase </w:t>
      </w:r>
      <w:r w:rsidRPr="00DC5459">
        <w:rPr>
          <w:rFonts w:ascii="LMRoman10" w:hAnsi="LMRoman10"/>
          <w:i/>
          <w:iCs/>
          <w:color w:val="B45309"/>
        </w:rPr>
        <w:t>de PÂLEUR (syncopale) est la seule phase obligatoire.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LES : la PÉRICARDITE est l'atteinte cardiaque la plus fréquente (souvent bénigne).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Sclérodermie : 1re cause de mortalité = PID ; crise rénale → IEC (captopril).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 xml:space="preserve">Horton = sujet âgé, cécité (NOIAA) </w:t>
      </w:r>
      <w:r w:rsidRPr="00DC5459">
        <w:rPr>
          <w:rFonts w:ascii="LMRoman10" w:hAnsi="LMRoman10"/>
          <w:i/>
          <w:iCs/>
          <w:color w:val="B45309"/>
        </w:rPr>
        <w:t>; Takayasu = femme jeune, « sans pouls ».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Wegener/GPA : GNRP pauci-immune + c-ANCA/PR3 + triade ORL-poumon-rein.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Sjögren : néphrite tubulo-interstitielle → acidose tubulaire distale ; risque de lymphome MALT.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Segoe UI Symbol" w:hAnsi="Segoe UI Symbol" w:cs="Segoe UI Symbol"/>
          <w:b/>
          <w:bCs/>
          <w:color w:val="B45309"/>
          <w:sz w:val="22"/>
          <w:szCs w:val="22"/>
        </w:rPr>
        <w:t>⚠</w:t>
      </w:r>
      <w:r w:rsidRPr="00DC5459">
        <w:rPr>
          <w:rFonts w:ascii="LMRoman10" w:hAnsi="LMRoman10"/>
          <w:b/>
          <w:bCs/>
          <w:color w:val="B45309"/>
          <w:sz w:val="22"/>
          <w:szCs w:val="22"/>
        </w:rPr>
        <w:t xml:space="preserve"> </w:t>
      </w:r>
      <w:r w:rsidRPr="00DC5459">
        <w:rPr>
          <w:rFonts w:ascii="LMRoman10" w:hAnsi="LMRoman10"/>
          <w:i/>
          <w:iCs/>
          <w:color w:val="B45309"/>
        </w:rPr>
        <w:t>SAPL : fausse sérologie syphilitique = VD</w:t>
      </w:r>
      <w:r w:rsidRPr="00DC5459">
        <w:rPr>
          <w:rFonts w:ascii="LMRoman10" w:hAnsi="LMRoman10"/>
          <w:i/>
          <w:iCs/>
          <w:color w:val="B45309"/>
        </w:rPr>
        <w:t>RL POSITIF / TPHA NÉGATIF.</w:t>
      </w:r>
    </w:p>
    <w:p w:rsidR="004F0678" w:rsidRPr="00DC5459" w:rsidRDefault="00DC5459">
      <w:pPr>
        <w:pStyle w:val="Heading2"/>
        <w:rPr>
          <w:rFonts w:ascii="LMRoman10" w:hAnsi="LMRoman10"/>
        </w:rPr>
      </w:pPr>
      <w:r w:rsidRPr="00DC5459">
        <w:rPr>
          <w:rFonts w:ascii="LMRoman10" w:hAnsi="LMRoman10"/>
        </w:rPr>
        <w:t>** RÈGLES DE CALCUL &amp; ENCHAÎNEMENTS À MÉMORISER **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Récurrence : AR (2 hétéroz.) → 1/4 · AD → 1/2 · deux atteints AR → 100 % · XLR (mère conductrice) → 1/2 des garçons.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Hardy-Weinberg : incidence = q² → q = √incidence → hétérozygo</w:t>
      </w:r>
      <w:r w:rsidRPr="00DC5459">
        <w:rPr>
          <w:rFonts w:ascii="LMRoman10" w:hAnsi="LMRoman10"/>
        </w:rPr>
        <w:t xml:space="preserve">tes </w:t>
      </w:r>
      <w:r w:rsidRPr="00DC5459">
        <w:rPr>
          <w:rFonts w:ascii="Courier New" w:hAnsi="Courier New" w:cs="Courier New"/>
        </w:rPr>
        <w:t>≈</w:t>
      </w:r>
      <w:r w:rsidRPr="00DC5459">
        <w:rPr>
          <w:rFonts w:ascii="LMRoman10" w:hAnsi="LMRoman10"/>
        </w:rPr>
        <w:t xml:space="preserve"> 2q  (1/2500 </w:t>
      </w:r>
      <w:r w:rsidRPr="00DC5459">
        <w:rPr>
          <w:rFonts w:ascii="LMRoman10" w:hAnsi="LMRoman10" w:cs="LMRoman10"/>
        </w:rPr>
        <w:t>→</w:t>
      </w:r>
      <w:r w:rsidRPr="00DC5459">
        <w:rPr>
          <w:rFonts w:ascii="LMRoman10" w:hAnsi="LMRoman10"/>
        </w:rPr>
        <w:t xml:space="preserve"> 1/25 ; 1/10</w:t>
      </w:r>
      <w:r w:rsidRPr="00DC5459">
        <w:rPr>
          <w:rFonts w:ascii="Cambria Math" w:hAnsi="Cambria Math" w:cs="Cambria Math"/>
        </w:rPr>
        <w:t>⁶</w:t>
      </w:r>
      <w:r w:rsidRPr="00DC5459">
        <w:rPr>
          <w:rFonts w:ascii="LMRoman10" w:hAnsi="LMRoman10"/>
        </w:rPr>
        <w:t xml:space="preserve"> </w:t>
      </w:r>
      <w:r w:rsidRPr="00DC5459">
        <w:rPr>
          <w:rFonts w:ascii="LMRoman10" w:hAnsi="LMRoman10" w:cs="LMRoman10"/>
        </w:rPr>
        <w:t>→</w:t>
      </w:r>
      <w:r w:rsidRPr="00DC5459">
        <w:rPr>
          <w:rFonts w:ascii="LMRoman10" w:hAnsi="LMRoman10"/>
        </w:rPr>
        <w:t xml:space="preserve"> 1/500).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Consanguinité : hétérozygote connu × cousin germain (AR) → 1 × 1/8 × 1/4 = 1/32.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Tolérance : centrale = délétion clonale + receptor editing (B) ; périphérique = anergie + ignorance + Treg + AICD.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Vaccin polysaccha</w:t>
      </w:r>
      <w:r w:rsidRPr="00DC5459">
        <w:rPr>
          <w:rFonts w:ascii="LMRoman10" w:hAnsi="LMRoman10"/>
        </w:rPr>
        <w:t>ridique CONJUGUÉ → thymo-dépendant → mémoire B/T → efficace avant 2 ans (germes encapsulés).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Échappement viral : Drift = mutations ponctuelles (H) → grippe saisonnière ; Shift = réassortiment → pandémie.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Suffixes Ac monoclonaux : -ximab chimérique · -zumab</w:t>
      </w:r>
      <w:r w:rsidRPr="00DC5459">
        <w:rPr>
          <w:rFonts w:ascii="LMRoman10" w:hAnsi="LMRoman10"/>
        </w:rPr>
        <w:t xml:space="preserve"> humanisé · -umab humain (Infliximab chimérique, Adalimumab humain).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Immunosuppresseurs : ciclosporine/tacrolimus (calcineurine) · azathioprine/MMF/MTX (anti-métabolites) · Endoxan (alkylant) · sirolimus (mTOR).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Anti-checkpoints (PD-1/PD-L1, CTLA-4) → lève</w:t>
      </w:r>
      <w:r w:rsidRPr="00DC5459">
        <w:rPr>
          <w:rFonts w:ascii="LMRoman10" w:hAnsi="LMRoman10"/>
        </w:rPr>
        <w:t>nt l'inhibition des LT cytotoxiques.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Datation d'une infection : IgM = récente ; IgG de forte avidité = ancienne/immunisé.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LES néphropathie III/IV → induction MMF ou cyclophosphamide + bolus de méthylprednisolone ; hydroxychloroquine de fond systématique.</w:t>
      </w:r>
    </w:p>
    <w:p w:rsidR="004F0678" w:rsidRPr="00DC5459" w:rsidRDefault="00DC5459">
      <w:pPr>
        <w:pStyle w:val="ListParagraph"/>
        <w:numPr>
          <w:ilvl w:val="0"/>
          <w:numId w:val="2"/>
        </w:numPr>
        <w:spacing w:before="20" w:after="20"/>
        <w:rPr>
          <w:rFonts w:ascii="LMRoman10" w:hAnsi="LMRoman10"/>
        </w:rPr>
      </w:pPr>
      <w:r w:rsidRPr="00DC5459">
        <w:rPr>
          <w:rFonts w:ascii="LMRoman10" w:hAnsi="LMRoman10"/>
        </w:rPr>
        <w:t>Raynaud : pâleur → cyanose → rougeur ; 1re intention = inhibiteurs calciques (jamais bêtabloquants).</w:t>
      </w:r>
    </w:p>
    <w:p w:rsidR="004F0678" w:rsidRPr="00DC5459" w:rsidRDefault="00DC5459">
      <w:pPr>
        <w:spacing w:before="240" w:after="60"/>
        <w:rPr>
          <w:rFonts w:ascii="LMRoman10" w:hAnsi="LMRoman10"/>
        </w:rPr>
      </w:pPr>
      <w:r w:rsidRPr="00DC5459">
        <w:rPr>
          <w:rFonts w:ascii="LMRoman10" w:hAnsi="LMRoman10"/>
          <w:color w:val="000000"/>
        </w:rPr>
        <w:t xml:space="preserve"> </w:t>
      </w:r>
    </w:p>
    <w:p w:rsidR="004F0678" w:rsidRPr="00DC5459" w:rsidRDefault="004F0678">
      <w:pPr>
        <w:pBdr>
          <w:top w:val="double" w:sz="8" w:space="4" w:color="1F3A5F"/>
        </w:pBdr>
        <w:rPr>
          <w:rFonts w:ascii="LMRoman10" w:hAnsi="LMRoman10"/>
        </w:rPr>
      </w:pP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i/>
          <w:iCs/>
          <w:color w:val="000000"/>
          <w:sz w:val="18"/>
          <w:szCs w:val="18"/>
        </w:rPr>
        <w:t>Généré par Claude.ai (Claude Opus 4.8) — Version 1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i/>
          <w:iCs/>
          <w:color w:val="000000"/>
          <w:sz w:val="18"/>
          <w:szCs w:val="18"/>
        </w:rPr>
        <w:t>Cross-match 785 QEs officielles × Cours AIO (Génétique 412 p. + Immunopath 383 p. + Maladies de système 496 p.)</w:t>
      </w:r>
    </w:p>
    <w:p w:rsidR="004F0678" w:rsidRPr="00DC5459" w:rsidRDefault="00DC5459">
      <w:pPr>
        <w:spacing w:before="60" w:after="60"/>
        <w:jc w:val="center"/>
        <w:rPr>
          <w:rFonts w:ascii="LMRoman10" w:hAnsi="LMRoman10"/>
        </w:rPr>
      </w:pPr>
      <w:r w:rsidRPr="00DC5459">
        <w:rPr>
          <w:rFonts w:ascii="LMRoman10" w:hAnsi="LMRoman10"/>
          <w:b/>
          <w:bCs/>
          <w:i/>
          <w:iCs/>
          <w:color w:val="000000"/>
          <w:sz w:val="18"/>
          <w:szCs w:val="18"/>
        </w:rPr>
        <w:t>FMP · 16 sessions analysées (Normal génétique 2017 → Normal 2025)</w:t>
      </w:r>
    </w:p>
    <w:p w:rsidR="004F0678" w:rsidRPr="00DC5459" w:rsidRDefault="00DC5459">
      <w:pPr>
        <w:spacing w:before="200" w:after="60"/>
        <w:rPr>
          <w:rFonts w:ascii="LMRoman10" w:hAnsi="LMRoman10"/>
        </w:rPr>
      </w:pPr>
      <w:r w:rsidRPr="00DC5459">
        <w:rPr>
          <w:rFonts w:ascii="LMRoman10" w:hAnsi="LMRoman10"/>
          <w:b/>
          <w:bCs/>
          <w:color w:val="065F46"/>
        </w:rPr>
        <w:lastRenderedPageBreak/>
        <w:t>Améliorations Version 1 :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5459">
        <w:rPr>
          <w:rFonts w:ascii="LMRoman10" w:hAnsi="LMRoman10"/>
          <w:color w:val="065F46"/>
          <w:sz w:val="18"/>
          <w:szCs w:val="18"/>
        </w:rPr>
        <w:t xml:space="preserve"> 785 QE officielles analysées sur 16 sessions (2017</w:t>
      </w:r>
      <w:r w:rsidRPr="00DC5459">
        <w:rPr>
          <w:rFonts w:ascii="LMRoman10" w:hAnsi="LMRoman10"/>
          <w:color w:val="065F46"/>
          <w:sz w:val="18"/>
          <w:szCs w:val="18"/>
        </w:rPr>
        <w:t>→2025)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5459">
        <w:rPr>
          <w:rFonts w:ascii="LMRoman10" w:hAnsi="LMRoman10"/>
          <w:color w:val="065F46"/>
          <w:sz w:val="18"/>
          <w:szCs w:val="18"/>
        </w:rPr>
        <w:t xml:space="preserve"> Correction du parseur : récupération des 100 questions des sessions « génétique » 2017-2018 (nom de session à deux mots)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5459">
        <w:rPr>
          <w:rFonts w:ascii="LMRoman10" w:hAnsi="LMRoman10"/>
          <w:color w:val="065F46"/>
          <w:sz w:val="18"/>
          <w:szCs w:val="18"/>
        </w:rPr>
        <w:t xml:space="preserve"> Déduplication des questions répétées, regroupées par leçon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5459">
        <w:rPr>
          <w:rFonts w:ascii="LMRoman10" w:hAnsi="LMRoman10"/>
          <w:color w:val="065F46"/>
          <w:sz w:val="18"/>
          <w:szCs w:val="18"/>
        </w:rPr>
        <w:t xml:space="preserve"> FAUX explicites avec </w:t>
      </w:r>
      <w:r w:rsidRPr="00DC5459">
        <w:rPr>
          <w:rFonts w:ascii="Segoe UI Symbol" w:hAnsi="Segoe UI Symbol" w:cs="Segoe UI Symbol"/>
          <w:color w:val="065F46"/>
          <w:sz w:val="18"/>
          <w:szCs w:val="18"/>
        </w:rPr>
        <w:t>⚠</w:t>
      </w:r>
      <w:r w:rsidRPr="00DC5459">
        <w:rPr>
          <w:rFonts w:ascii="LMRoman10" w:hAnsi="LMRoman10"/>
          <w:color w:val="065F46"/>
          <w:sz w:val="18"/>
          <w:szCs w:val="18"/>
        </w:rPr>
        <w:t xml:space="preserve"> (les pi</w:t>
      </w:r>
      <w:r w:rsidRPr="00DC5459">
        <w:rPr>
          <w:rFonts w:ascii="LMRoman10" w:hAnsi="LMRoman10" w:cs="LMRoman10"/>
          <w:color w:val="065F46"/>
          <w:sz w:val="18"/>
          <w:szCs w:val="18"/>
        </w:rPr>
        <w:t>è</w:t>
      </w:r>
      <w:r w:rsidRPr="00DC5459">
        <w:rPr>
          <w:rFonts w:ascii="LMRoman10" w:hAnsi="LMRoman10"/>
          <w:color w:val="065F46"/>
          <w:sz w:val="18"/>
          <w:szCs w:val="18"/>
        </w:rPr>
        <w:t xml:space="preserve">ges = le contenu </w:t>
      </w:r>
      <w:r w:rsidRPr="00DC5459">
        <w:rPr>
          <w:rFonts w:ascii="LMRoman10" w:hAnsi="LMRoman10" w:cs="LMRoman10"/>
          <w:color w:val="065F46"/>
          <w:sz w:val="18"/>
          <w:szCs w:val="18"/>
        </w:rPr>
        <w:t>à</w:t>
      </w:r>
      <w:r w:rsidRPr="00DC5459">
        <w:rPr>
          <w:rFonts w:ascii="LMRoman10" w:hAnsi="LMRoman10"/>
          <w:color w:val="065F46"/>
          <w:sz w:val="18"/>
          <w:szCs w:val="18"/>
        </w:rPr>
        <w:t xml:space="preserve"> plus haut ren</w:t>
      </w:r>
      <w:r w:rsidRPr="00DC5459">
        <w:rPr>
          <w:rFonts w:ascii="LMRoman10" w:hAnsi="LMRoman10"/>
          <w:color w:val="065F46"/>
          <w:sz w:val="18"/>
          <w:szCs w:val="18"/>
        </w:rPr>
        <w:t>dement au concours)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5459">
        <w:rPr>
          <w:rFonts w:ascii="LMRoman10" w:hAnsi="LMRoman10"/>
          <w:color w:val="065F46"/>
          <w:sz w:val="18"/>
          <w:szCs w:val="18"/>
        </w:rPr>
        <w:t xml:space="preserve"> 3 corrections officielles signalées comme erronées/discutables (N25 Q47, Mai24 Q27, Mai23 Q18)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5459">
        <w:rPr>
          <w:rFonts w:ascii="LMRoman10" w:hAnsi="LMRoman10"/>
          <w:color w:val="065F46"/>
          <w:sz w:val="18"/>
          <w:szCs w:val="18"/>
        </w:rPr>
        <w:t xml:space="preserve"> PARTIE 4 vide : aucune liste de « cours annulés » n'ayant été fournie, les 22 leçons sont traitées comme étant au programme</w:t>
      </w:r>
    </w:p>
    <w:p w:rsidR="004F0678" w:rsidRPr="00DC5459" w:rsidRDefault="00DC5459">
      <w:pPr>
        <w:spacing w:before="60" w:after="60"/>
        <w:rPr>
          <w:rFonts w:ascii="LMRoman10" w:hAnsi="LMRoman10"/>
        </w:rPr>
      </w:pPr>
      <w:r w:rsidRPr="00DC5459">
        <w:rPr>
          <w:rFonts w:ascii="Segoe UI Symbol" w:hAnsi="Segoe UI Symbol" w:cs="Segoe UI Symbol"/>
          <w:color w:val="065F46"/>
          <w:sz w:val="18"/>
          <w:szCs w:val="18"/>
        </w:rPr>
        <w:t>✓</w:t>
      </w:r>
      <w:r w:rsidRPr="00DC5459">
        <w:rPr>
          <w:rFonts w:ascii="LMRoman10" w:hAnsi="LMRoman10"/>
          <w:color w:val="065F46"/>
          <w:sz w:val="18"/>
          <w:szCs w:val="18"/>
        </w:rPr>
        <w:t xml:space="preserve"> Sources : c</w:t>
      </w:r>
      <w:r w:rsidRPr="00DC5459">
        <w:rPr>
          <w:rFonts w:ascii="LMRoman10" w:hAnsi="LMRoman10"/>
          <w:color w:val="065F46"/>
          <w:sz w:val="18"/>
          <w:szCs w:val="18"/>
        </w:rPr>
        <w:t>ours AIO Génétique / Immunopathologie / Maladies de système ; corrections officielles e-qe.online</w:t>
      </w:r>
      <w:bookmarkEnd w:id="0"/>
    </w:p>
    <w:sectPr w:rsidR="004F0678" w:rsidRPr="00DC5459">
      <w:pgSz w:w="12240" w:h="15840"/>
      <w:pgMar w:top="1080" w:right="1080" w:bottom="1080" w:left="108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MRoman10">
    <w:panose1 w:val="02000503020200000003"/>
    <w:charset w:val="00"/>
    <w:family w:val="modern"/>
    <w:notTrueType/>
    <w:pitch w:val="variable"/>
    <w:sig w:usb0="20000027" w:usb1="0000007F" w:usb2="00000000" w:usb3="00000000" w:csb0="00000193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C1A62DF"/>
    <w:multiLevelType w:val="hybridMultilevel"/>
    <w:tmpl w:val="C18EFAB8"/>
    <w:lvl w:ilvl="0" w:tplc="0570EF12">
      <w:start w:val="1"/>
      <w:numFmt w:val="bullet"/>
      <w:lvlText w:val="•"/>
      <w:lvlJc w:val="left"/>
      <w:pPr>
        <w:ind w:left="720" w:hanging="360"/>
      </w:pPr>
    </w:lvl>
    <w:lvl w:ilvl="1" w:tplc="115A09F4">
      <w:numFmt w:val="decimal"/>
      <w:lvlText w:val=""/>
      <w:lvlJc w:val="left"/>
    </w:lvl>
    <w:lvl w:ilvl="2" w:tplc="1DC6A386">
      <w:numFmt w:val="decimal"/>
      <w:lvlText w:val=""/>
      <w:lvlJc w:val="left"/>
    </w:lvl>
    <w:lvl w:ilvl="3" w:tplc="EADC95D0">
      <w:numFmt w:val="decimal"/>
      <w:lvlText w:val=""/>
      <w:lvlJc w:val="left"/>
    </w:lvl>
    <w:lvl w:ilvl="4" w:tplc="D40EB616">
      <w:numFmt w:val="decimal"/>
      <w:lvlText w:val=""/>
      <w:lvlJc w:val="left"/>
    </w:lvl>
    <w:lvl w:ilvl="5" w:tplc="EA6A75FE">
      <w:numFmt w:val="decimal"/>
      <w:lvlText w:val=""/>
      <w:lvlJc w:val="left"/>
    </w:lvl>
    <w:lvl w:ilvl="6" w:tplc="0D780CBE">
      <w:numFmt w:val="decimal"/>
      <w:lvlText w:val=""/>
      <w:lvlJc w:val="left"/>
    </w:lvl>
    <w:lvl w:ilvl="7" w:tplc="42202AC0">
      <w:numFmt w:val="decimal"/>
      <w:lvlText w:val=""/>
      <w:lvlJc w:val="left"/>
    </w:lvl>
    <w:lvl w:ilvl="8" w:tplc="7B10B218">
      <w:numFmt w:val="decimal"/>
      <w:lvlText w:val=""/>
      <w:lvlJc w:val="left"/>
    </w:lvl>
  </w:abstractNum>
  <w:abstractNum w:abstractNumId="1" w15:restartNumberingAfterBreak="0">
    <w:nsid w:val="767B14AB"/>
    <w:multiLevelType w:val="hybridMultilevel"/>
    <w:tmpl w:val="3D9E54A2"/>
    <w:lvl w:ilvl="0" w:tplc="597C76F2">
      <w:start w:val="1"/>
      <w:numFmt w:val="bullet"/>
      <w:lvlText w:val="●"/>
      <w:lvlJc w:val="left"/>
      <w:pPr>
        <w:ind w:left="720" w:hanging="360"/>
      </w:pPr>
    </w:lvl>
    <w:lvl w:ilvl="1" w:tplc="C5D075D6">
      <w:start w:val="1"/>
      <w:numFmt w:val="bullet"/>
      <w:lvlText w:val="○"/>
      <w:lvlJc w:val="left"/>
      <w:pPr>
        <w:ind w:left="1440" w:hanging="360"/>
      </w:pPr>
    </w:lvl>
    <w:lvl w:ilvl="2" w:tplc="1764B484">
      <w:start w:val="1"/>
      <w:numFmt w:val="bullet"/>
      <w:lvlText w:val="■"/>
      <w:lvlJc w:val="left"/>
      <w:pPr>
        <w:ind w:left="2160" w:hanging="360"/>
      </w:pPr>
    </w:lvl>
    <w:lvl w:ilvl="3" w:tplc="A178F440">
      <w:start w:val="1"/>
      <w:numFmt w:val="bullet"/>
      <w:lvlText w:val="●"/>
      <w:lvlJc w:val="left"/>
      <w:pPr>
        <w:ind w:left="2880" w:hanging="360"/>
      </w:pPr>
    </w:lvl>
    <w:lvl w:ilvl="4" w:tplc="C91E3E80">
      <w:start w:val="1"/>
      <w:numFmt w:val="bullet"/>
      <w:lvlText w:val="○"/>
      <w:lvlJc w:val="left"/>
      <w:pPr>
        <w:ind w:left="3600" w:hanging="360"/>
      </w:pPr>
    </w:lvl>
    <w:lvl w:ilvl="5" w:tplc="14E05A96">
      <w:start w:val="1"/>
      <w:numFmt w:val="bullet"/>
      <w:lvlText w:val="■"/>
      <w:lvlJc w:val="left"/>
      <w:pPr>
        <w:ind w:left="4320" w:hanging="360"/>
      </w:pPr>
    </w:lvl>
    <w:lvl w:ilvl="6" w:tplc="C9F8A712">
      <w:start w:val="1"/>
      <w:numFmt w:val="bullet"/>
      <w:lvlText w:val="●"/>
      <w:lvlJc w:val="left"/>
      <w:pPr>
        <w:ind w:left="5040" w:hanging="360"/>
      </w:pPr>
    </w:lvl>
    <w:lvl w:ilvl="7" w:tplc="FDF41984">
      <w:start w:val="1"/>
      <w:numFmt w:val="bullet"/>
      <w:lvlText w:val="●"/>
      <w:lvlJc w:val="left"/>
      <w:pPr>
        <w:ind w:left="5760" w:hanging="360"/>
      </w:pPr>
    </w:lvl>
    <w:lvl w:ilvl="8" w:tplc="2752CA14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isplayBackgroundShape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F0678"/>
    <w:rsid w:val="004F0678"/>
    <w:rsid w:val="00DC54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04484009-BB8D-48CC-BCAB-29E2638797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Arial" w:eastAsia="Arial" w:hAnsi="Arial" w:cs="Arial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qFormat/>
    <w:pPr>
      <w:spacing w:before="360" w:after="20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qFormat/>
    <w:pPr>
      <w:spacing w:before="240" w:after="120"/>
      <w:outlineLvl w:val="1"/>
    </w:pPr>
    <w:rPr>
      <w:b/>
      <w:bCs/>
      <w:color w:val="8B0000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23</Pages>
  <Words>8349</Words>
  <Characters>47590</Characters>
  <Application>Microsoft Office Word</Application>
  <DocSecurity>0</DocSecurity>
  <Lines>396</Lines>
  <Paragraphs>111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IMMUNOLOGIE · GÉNÉTIQUE · MÉDECINE INTERNE - QE Haute Fréquence</vt:lpstr>
    </vt:vector>
  </TitlesOfParts>
  <Company/>
  <LinksUpToDate>false</LinksUpToDate>
  <CharactersWithSpaces>55828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IMMUNOLOGIE · GÉNÉTIQUE · MÉDECINE INTERNE - QE Haute Fréquence</dc:title>
  <dc:creator>Claude.ai</dc:creator>
  <dc:description>Generated by qe-analysis skill</dc:description>
  <cp:lastModifiedBy>tool</cp:lastModifiedBy>
  <cp:revision>2</cp:revision>
  <cp:lastPrinted>2026-06-13T22:57:00Z</cp:lastPrinted>
  <dcterms:created xsi:type="dcterms:W3CDTF">2026-06-05T08:02:00Z</dcterms:created>
  <dcterms:modified xsi:type="dcterms:W3CDTF">2026-06-13T22:57:00Z</dcterms:modified>
</cp:coreProperties>
</file>