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3E15" w:rsidRPr="00165C40" w:rsidRDefault="00165C40">
      <w:pPr>
        <w:spacing w:after="100"/>
        <w:jc w:val="center"/>
        <w:rPr>
          <w:rFonts w:ascii="LMRoman10" w:hAnsi="LMRoman10"/>
        </w:rPr>
      </w:pPr>
      <w:bookmarkStart w:id="0" w:name="_GoBack"/>
      <w:r w:rsidRPr="00165C40">
        <w:rPr>
          <w:rFonts w:ascii="LMRoman10" w:hAnsi="LMRoman10"/>
          <w:b/>
          <w:bCs/>
          <w:color w:val="1F3A5F"/>
          <w:sz w:val="44"/>
          <w:szCs w:val="44"/>
        </w:rPr>
        <w:t>URGENCES · RÉA · SOINS PALLIATIFS · PLASTIQUE</w:t>
      </w:r>
    </w:p>
    <w:p w:rsidR="00FC3E15" w:rsidRPr="00165C40" w:rsidRDefault="00165C40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30"/>
          <w:szCs w:val="30"/>
        </w:rPr>
        <w:t>Fiches QE Haute Fréquence — déduplication + pièges (FAUX) + corrections regroupées — Version 1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i/>
          <w:iCs/>
          <w:color w:val="000000"/>
        </w:rPr>
        <w:t>Cross-match : 750 QEs officielles (Juin 2019 → Normal 2026 (15 sessions)) × Cours AIO FMPM 2026 (urg-aio · soins-palliatifs-aio · chir-plastique-aio) — Corrections officielles : e-qe.online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000000"/>
          <w:sz w:val="18"/>
          <w:szCs w:val="18"/>
        </w:rPr>
        <w:t>FMPM — Module Urgences/Réanimation, Soins palliatifs, Chirurgie pl</w:t>
      </w:r>
      <w:r w:rsidRPr="00165C40">
        <w:rPr>
          <w:rFonts w:ascii="LMRoman10" w:hAnsi="LMRoman10"/>
          <w:b/>
          <w:bCs/>
          <w:color w:val="000000"/>
          <w:sz w:val="18"/>
          <w:szCs w:val="18"/>
        </w:rPr>
        <w:t>astique • Banque 750 QE</w:t>
      </w:r>
    </w:p>
    <w:p w:rsidR="00FC3E15" w:rsidRPr="00165C40" w:rsidRDefault="00165C40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FC3E15" w:rsidRPr="00165C40" w:rsidRDefault="00165C40">
      <w:pPr>
        <w:spacing w:before="60" w:after="60"/>
        <w:rPr>
          <w:rFonts w:ascii="LMRoman10" w:hAnsi="LMRoman10"/>
        </w:rPr>
      </w:pPr>
      <w:r w:rsidRPr="00165C40">
        <w:rPr>
          <w:rFonts w:ascii="LMRoman10" w:hAnsi="LMRoman10"/>
          <w:i/>
          <w:iCs/>
          <w:color w:val="000000"/>
        </w:rPr>
        <w:t>Classement basé sur la fréquence réelle dans 750 QEs (15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FC3E15" w:rsidRPr="00165C4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Chirurgie plastique (cicatrisation, pansements, greffes/lambeaux, escarres)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Chir. plastique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Traumatisme grave &amp; Coma (TCG, polytrauma, mort encéphalique)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Réanimation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Trouble du milieu intérieur (équilibre acido-basique, dysnatrémies, dyskaliémies, ACD)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Réanimation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Soins palliatifs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Soins palliatifs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Réanimation cardio-respiratoire (ACR/RCP, AAG, IRA, SDRA)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86 (+1 SDRA)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Réanimation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Intoxications &amp; Envenimations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Réanimation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États de choc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73 (+2)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Réanimation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Douleur (évaluation, paliers OMS)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Soins palliatifs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Brûlures (réanimation du brûlé)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Réa / Plastique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Infections associées aux soins (PNAVM++)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Réanimation</w:t>
            </w:r>
          </w:p>
        </w:tc>
      </w:tr>
    </w:tbl>
    <w:p w:rsidR="00FC3E15" w:rsidRPr="00165C40" w:rsidRDefault="00165C40">
      <w:pPr>
        <w:rPr>
          <w:rFonts w:ascii="LMRoman10" w:hAnsi="LMRoman10"/>
        </w:rPr>
      </w:pPr>
      <w:r w:rsidRPr="00165C40">
        <w:rPr>
          <w:rFonts w:ascii="LMRoman10" w:hAnsi="LMRoman10"/>
        </w:rPr>
        <w:br w:type="page"/>
      </w:r>
    </w:p>
    <w:p w:rsidR="00FC3E15" w:rsidRPr="00165C40" w:rsidRDefault="00165C40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FC3E15" w:rsidRPr="00165C40" w:rsidRDefault="00165C40">
      <w:pPr>
        <w:spacing w:before="60" w:after="60"/>
        <w:rPr>
          <w:rFonts w:ascii="LMRoman10" w:hAnsi="LMRoman10"/>
        </w:rPr>
      </w:pPr>
      <w:r w:rsidRPr="00165C40">
        <w:rPr>
          <w:rFonts w:ascii="LMRoman10" w:hAnsi="LMRoman10"/>
          <w:i/>
          <w:iCs/>
          <w:color w:val="000000"/>
        </w:rPr>
        <w:t>Statistiques calculées sur 15 sessions, chaque examen ~50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FC3E15" w:rsidRPr="00165C4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Chirurgie plastique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146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19.5%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Traumatisme grave &amp; Coma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107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14.3%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Trouble du milieu intérieur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92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12.3%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Soins palliatifs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91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12.1%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Réanimation cardio-respiratoire (+SDRA)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87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5.80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11.6%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Intoxications &amp; Envenimations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77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10.3%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États de choc (+inclassifiables)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75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10.0%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Douleur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38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5.1%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Brûlures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2.5%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Infections associées aux soins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18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2.4%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(10 leçons — 750 QE, 15 sessions)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750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50.0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jc w:val="center"/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100%</w:t>
            </w:r>
          </w:p>
        </w:tc>
      </w:tr>
    </w:tbl>
    <w:p w:rsidR="00FC3E15" w:rsidRPr="00165C40" w:rsidRDefault="00165C40">
      <w:pPr>
        <w:rPr>
          <w:rFonts w:ascii="LMRoman10" w:hAnsi="LMRoman10"/>
        </w:rPr>
      </w:pPr>
      <w:r w:rsidRPr="00165C40">
        <w:rPr>
          <w:rFonts w:ascii="LMRoman10" w:hAnsi="LMRoman10"/>
        </w:rPr>
        <w:br w:type="page"/>
      </w:r>
    </w:p>
    <w:p w:rsidR="00FC3E15" w:rsidRPr="00165C40" w:rsidRDefault="00165C40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i/>
          <w:iCs/>
          <w:color w:val="000000"/>
        </w:rPr>
        <w:t>Format : faits (-) / pièges (</w:t>
      </w:r>
      <w:r w:rsidRPr="00165C40">
        <w:rPr>
          <w:rFonts w:ascii="Segoe UI Symbol" w:hAnsi="Segoe UI Symbol" w:cs="Segoe UI Symbol"/>
          <w:i/>
          <w:iCs/>
          <w:color w:val="000000"/>
        </w:rPr>
        <w:t>⚠</w:t>
      </w:r>
      <w:r w:rsidRPr="00165C40">
        <w:rPr>
          <w:rFonts w:ascii="LMRoman10" w:hAnsi="LMRoman10"/>
          <w:i/>
          <w:iCs/>
          <w:color w:val="000000"/>
        </w:rPr>
        <w:t>) / source (</w:t>
      </w:r>
      <w:r w:rsidRPr="00165C40">
        <w:rPr>
          <w:rFonts w:ascii="Segoe UI Symbol" w:hAnsi="Segoe UI Symbol" w:cs="Segoe UI Symbol"/>
          <w:i/>
          <w:iCs/>
          <w:color w:val="000000"/>
        </w:rPr>
        <w:t>📖</w:t>
      </w:r>
      <w:r w:rsidRPr="00165C40">
        <w:rPr>
          <w:rFonts w:ascii="LMRoman10" w:hAnsi="LMRoman10"/>
          <w:i/>
          <w:iCs/>
          <w:color w:val="000000"/>
        </w:rPr>
        <w:t>) / lien cours (</w:t>
      </w:r>
      <w:r w:rsidRPr="00165C40">
        <w:rPr>
          <w:rFonts w:ascii="Segoe UI Symbol" w:hAnsi="Segoe UI Symbol" w:cs="Segoe UI Symbol"/>
          <w:i/>
          <w:iCs/>
          <w:color w:val="000000"/>
        </w:rPr>
        <w:t>📎</w:t>
      </w:r>
      <w:r w:rsidRPr="00165C40">
        <w:rPr>
          <w:rFonts w:ascii="LMRoman10" w:hAnsi="LMRoman10"/>
          <w:i/>
          <w:iCs/>
          <w:color w:val="000000"/>
        </w:rPr>
        <w:t>) / citations (</w:t>
      </w:r>
      <w:r w:rsidRPr="00165C40">
        <w:rPr>
          <w:rFonts w:ascii="Segoe UI Symbol" w:hAnsi="Segoe UI Symbol" w:cs="Segoe UI Symbol"/>
          <w:i/>
          <w:iCs/>
          <w:color w:val="000000"/>
        </w:rPr>
        <w:t>📋</w:t>
      </w:r>
      <w:r w:rsidRPr="00165C40">
        <w:rPr>
          <w:rFonts w:ascii="LMRoman10" w:hAnsi="LMRoman10"/>
          <w:i/>
          <w:iCs/>
          <w:color w:val="000000"/>
        </w:rPr>
        <w:t>)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t>[RANG 1] CHIRURGIE PLASTIQUE — CICATRISATION, PANSEMENTS, GREFFES &amp; LAMBEAUX, ESCARRES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plastique  •  ~10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Classification des escarres NPUAP I–IV · Règle des 9 de Wallace · Choix du pansement selon le type de plaie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Cicatrisation de 2</w:t>
      </w:r>
      <w:r w:rsidRPr="00165C40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ᵉ</w:t>
      </w: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intention — les 3 phases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3 phases successives : détersion → bourgeonnement (granulation) → épithélialisation.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Détersion : élimination des tissus nécrotiques ; d'origine microbienne (flore saprophyte), ACCÉLÉRÉE par l'excision chirurgicale.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Bourgeonnement : dépend directement de la qualité de la VASCULARISATION du lit de la plaie.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Maturation / remodelage : réorgani</w:t>
      </w:r>
      <w:r w:rsidRPr="00165C40">
        <w:rPr>
          <w:rFonts w:ascii="LMRoman10" w:hAnsi="LMRoman10"/>
        </w:rPr>
        <w:t>sation du collagène par les myofibroblastes, dure des MOIS, et AUGMENTE progressivement la résistance de la cicatrice.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la phase de maturation diminue la résistance de la cicatrice » — elle l'AUGMENTE.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la détersion est ralentie par l'e</w:t>
      </w:r>
      <w:r w:rsidRPr="00165C40">
        <w:rPr>
          <w:rFonts w:ascii="LMRoman10" w:hAnsi="LMRoman10"/>
          <w:i/>
          <w:iCs/>
          <w:color w:val="B45309"/>
        </w:rPr>
        <w:t>xcision chirurgicale » — l'excision l'ACCÉLÈRE.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Item récurrent ~10× (Jn2019→N2026).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Cicatrisation de 1</w:t>
      </w:r>
      <w:r w:rsidRPr="00165C40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ʳ</w:t>
      </w:r>
      <w:r w:rsidRPr="00165C40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ᵉ</w:t>
      </w: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intention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Suture directe des plaies linéaires à berges nettes, peu contuses, suturées dans les lignes de Langer.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Pas de perte de substance ; cicatri</w:t>
      </w:r>
      <w:r w:rsidRPr="00165C40">
        <w:rPr>
          <w:rFonts w:ascii="LMRoman10" w:hAnsi="LMRoman10"/>
        </w:rPr>
        <w:t>ce fine.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S2024, J2023, Jn2021.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Greffes cutanées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Greffe de peau TOTALE : prélève toute l'épaisseur (épiderme + derme entier) ; site donneur SUTURÉ ; prélèvement au bistouri ; revascularisée par le site receveur.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Greffe de peau MINCE (dermo-épidermique) :</w:t>
      </w:r>
      <w:r w:rsidRPr="00165C40">
        <w:rPr>
          <w:rFonts w:ascii="LMRoman10" w:hAnsi="LMRoman10"/>
        </w:rPr>
        <w:t xml:space="preserve"> prélevée au dermatome ; site donneur cicatrise SEUL (spontanément).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Toute greffe est dépourvue de pédicule vasculaire propre (</w:t>
      </w:r>
      <w:r w:rsidRPr="00165C40">
        <w:rPr>
          <w:rFonts w:ascii="Courier New" w:hAnsi="Courier New" w:cs="Courier New"/>
        </w:rPr>
        <w:t>≠</w:t>
      </w:r>
      <w:r w:rsidRPr="00165C40">
        <w:rPr>
          <w:rFonts w:ascii="LMRoman10" w:hAnsi="LMRoman10"/>
        </w:rPr>
        <w:t xml:space="preserve"> lambeau).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 site donneur d'une greffe totale cicatrise spontanément » — il est SUTURÉ.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Récurrent ~10× (greffe totale).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Lambeaux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Le lambeau CONSERVE son pédicule vasculaire (autonomie vasculaire), parfois rétabli par micro-anastomose (lambeau libre).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Peut être composite (plusieurs tissus). Distinction clé vs greffe = présence du pédicule.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 lambeau est dépourvu de vascularisation propre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Jn2024, O2024, J2022.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Cicatrices pathologiques — chéloïde vs hypertrophique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Chéloïde : activité fibroblastique EXCESSIVE ; DÉPASSE les berges de la plaie ; NE régresse PAS spontanément ; fa</w:t>
      </w:r>
      <w:r w:rsidRPr="00165C40">
        <w:rPr>
          <w:rFonts w:ascii="LMRoman10" w:hAnsi="LMRoman10"/>
        </w:rPr>
        <w:t>vorisée par l'âge JEUNE et l'ethnie (peau noire).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Cicatrice hypertrophique : reste DANS les limites des berges ; régresse souvent (pressothérapie efficace).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Traitement chéloïde = multimodal (corticoïdes intralésionnels, pressothérapie, etc.).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l'exérèse chirurgicale seule guérit définitivement la chéloïde » — exérèse isolée = RÉCIDIVE quasi constante.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Récurrent (chéloïde vs hypertrophique).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Pansements — indications par type de plaie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Alginates (algues) : hémostatiques ; plaies exsudat</w:t>
      </w:r>
      <w:r w:rsidRPr="00165C40">
        <w:rPr>
          <w:rFonts w:ascii="LMRoman10" w:hAnsi="LMRoman10"/>
        </w:rPr>
        <w:t>ives ou hémorragiques.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Hydrocolloïdes : forment un gel d'aspect « pus-like » ; changer </w:t>
      </w:r>
      <w:r w:rsidRPr="00165C40">
        <w:rPr>
          <w:rFonts w:ascii="Courier New" w:hAnsi="Courier New" w:cs="Courier New"/>
        </w:rPr>
        <w:t>≤</w:t>
      </w:r>
      <w:r w:rsidRPr="00165C40">
        <w:rPr>
          <w:rFonts w:ascii="LMRoman10" w:hAnsi="LMRoman10"/>
        </w:rPr>
        <w:t xml:space="preserve"> 1 semaine ; </w:t>
      </w:r>
      <w:r w:rsidRPr="00165C40">
        <w:rPr>
          <w:rFonts w:ascii="LMRoman10" w:hAnsi="LMRoman10" w:cs="LMRoman10"/>
        </w:rPr>
        <w:t>à</w:t>
      </w:r>
      <w:r w:rsidRPr="00165C40">
        <w:rPr>
          <w:rFonts w:ascii="LMRoman10" w:hAnsi="LMRoman10"/>
        </w:rPr>
        <w:t xml:space="preserve"> 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VITER si plaie infect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e ; indiqu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s escarre stade II.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Hydrogels : apportent de l'eau → plaies SÈCHES / nécrotiques.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Films polyuréthane : plaie suturée / </w:t>
      </w:r>
      <w:r w:rsidRPr="00165C40">
        <w:rPr>
          <w:rFonts w:ascii="LMRoman10" w:hAnsi="LMRoman10"/>
        </w:rPr>
        <w:t>superficielle.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Charbon actif : plaies MALODORANTES (+ pansement secondaire).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VAC (pression NÉGATIVE) : favorise la circulation locale et la détersion.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les corticotulles favorisent le bourgeonnement » — ils l'INHIBENT.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les hydrocolloïd</w:t>
      </w:r>
      <w:r w:rsidRPr="00165C40">
        <w:rPr>
          <w:rFonts w:ascii="LMRoman10" w:hAnsi="LMRoman10"/>
          <w:i/>
          <w:iCs/>
          <w:color w:val="B45309"/>
        </w:rPr>
        <w:t>es sont indiqués sur une plaie infectée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Item pansements ~très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Escarres — classification NPUAP &amp; prévention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Stade I : érythème qui ne blanchit pas. Stade II : atteinte épiderme ± derme (phlyctène).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Stade III : atteinte de tout le tissu sous</w:t>
      </w:r>
      <w:r w:rsidRPr="00165C40">
        <w:rPr>
          <w:rFonts w:ascii="LMRoman10" w:hAnsi="LMRoman10"/>
        </w:rPr>
        <w:t>-cutané SANS dépasser le fascia. Stade IV : DÉPASSE le fascia (muscle/tendon/os).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Facteurs EXTRINSÈQUES : pression + cisaillement + friction + macération. Facteur intrinsèque : immobilisation/dénutrition.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Prévention = changement de position toutes les 2–3 </w:t>
      </w:r>
      <w:r w:rsidRPr="00165C40">
        <w:rPr>
          <w:rFonts w:ascii="LMRoman10" w:hAnsi="LMRoman10"/>
        </w:rPr>
        <w:t>h + supports + nutrition.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Stade II → pansement hydrocolloïde.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changement de position toutes les 4 h suffit » — toutes les 2–3 h.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 stade III dépasse le fascia » — c'est le stade IV.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Récurrent (NPUAP).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Brûlures profondes en plastique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Brûlure du 3</w:t>
      </w:r>
      <w:r w:rsidRPr="00165C40">
        <w:rPr>
          <w:rFonts w:ascii="Courier New" w:hAnsi="Courier New" w:cs="Courier New"/>
        </w:rPr>
        <w:t>ᵉ</w:t>
      </w:r>
      <w:r w:rsidRPr="00165C40">
        <w:rPr>
          <w:rFonts w:ascii="LMRoman10" w:hAnsi="LMRoman10"/>
        </w:rPr>
        <w:t xml:space="preserve"> degré circulaire (membre/thorax) → ESCARROTOMIE en urgence.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Meilleur traitement d'une brûlure profonde = EXCISION-GREFFE précoce.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Sulfadiazine argentique (Flammazine) : antimicrobien topique ; CONTRE-INDIQUÉE p</w:t>
      </w:r>
      <w:r w:rsidRPr="00165C40">
        <w:rPr>
          <w:rFonts w:ascii="LMRoman10" w:hAnsi="LMRoman10"/>
        </w:rPr>
        <w:t>endant la grossesse ; indiquée si colonisation/infection locale.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la Flammazine est autorisée chez la femme enceinte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Jn2023, J2021, Jn2019.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Brûlure électrique — vrai/faux classiques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« Flash » électrique = brûlure THERMIQUE (arc) : pas de point d'entrée/sortie, pas de passage de courant transcorporel.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Brûlure électrique VRAIE = point d'entrée + point de sortie + rhabdomyolyse → hyperkaliémie, ↑CPK, troubles du rythme, IRA.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t</w:t>
      </w:r>
      <w:r w:rsidRPr="00165C40">
        <w:rPr>
          <w:rFonts w:ascii="LMRoman10" w:hAnsi="LMRoman10"/>
          <w:i/>
          <w:iCs/>
          <w:color w:val="B45309"/>
        </w:rPr>
        <w:t>out accident électrique est une brûlure électrique vraie » — le flash est THERMIQUE.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la brûlure électrique vraie n'entraîne pas de rhabdomyolyse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« Flash = thermique » récurrent ~10×.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Autres notions plastiques à connaître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Expansion cutanée </w:t>
      </w:r>
      <w:r w:rsidRPr="00165C40">
        <w:rPr>
          <w:rFonts w:ascii="LMRoman10" w:hAnsi="LMRoman10"/>
        </w:rPr>
        <w:t xml:space="preserve">: exploite l'élasticité/plasticité de la peau ; prothèses gonflables siliconées ; </w:t>
      </w:r>
      <w:r w:rsidRPr="00165C40">
        <w:rPr>
          <w:rFonts w:ascii="Courier New" w:hAnsi="Courier New" w:cs="Courier New"/>
        </w:rPr>
        <w:t>≥</w:t>
      </w:r>
      <w:r w:rsidRPr="00165C40">
        <w:rPr>
          <w:rFonts w:ascii="LMRoman10" w:hAnsi="LMRoman10"/>
        </w:rPr>
        <w:t xml:space="preserve"> 2</w:t>
      </w:r>
      <w:r w:rsidRPr="00165C40">
        <w:rPr>
          <w:rFonts w:ascii="LMRoman10" w:hAnsi="LMRoman10" w:cs="LMRoman10"/>
        </w:rPr>
        <w:t>–</w:t>
      </w:r>
      <w:r w:rsidRPr="00165C40">
        <w:rPr>
          <w:rFonts w:ascii="LMRoman10" w:hAnsi="LMRoman10"/>
        </w:rPr>
        <w:t>3 temps op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ratoires.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Ulcère de Marjolin : carcinome épidermoïde développé sur cicatrice ancienne (dégénérescence maligne).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O2024, J2023.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lastRenderedPageBreak/>
        <w:t>[RANG 2] TRAUMATISME GRAVE &amp; C</w:t>
      </w:r>
      <w:r w:rsidRPr="00165C40">
        <w:rPr>
          <w:rFonts w:ascii="LMRoman10" w:hAnsi="LMRoman10"/>
        </w:rPr>
        <w:t>OMA — TCG, POLYTRAUMATISÉ, MORT ENCÉPHALIQUE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Réanimation  •  ~7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Score de Glasgow (Yeux 4 · Verbal 5 · Moteur 6) · Critères de Vittel 2002 · TCG = GCS &lt; 9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Score de Glasgow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GCS = Y (/4) + V (/5) + M (/6), total 3–15.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Réponse motrice : 6 obéit / 5 LOCALISE la douleur / 4 retrait / 3 flexion (décortication) / 2 extension (décérébration) / 1 nulle.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Traumatisme crânien GRAVE = GCS &lt; 9 (</w:t>
      </w:r>
      <w:r w:rsidRPr="00165C40">
        <w:rPr>
          <w:rFonts w:ascii="Courier New" w:hAnsi="Courier New" w:cs="Courier New"/>
        </w:rPr>
        <w:t>≤</w:t>
      </w:r>
      <w:r w:rsidRPr="00165C40">
        <w:rPr>
          <w:rFonts w:ascii="LMRoman10" w:hAnsi="LMRoman10"/>
        </w:rPr>
        <w:t xml:space="preserve"> 8).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M5 = flexion » — M5 = LOCALISE la douleur.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GCS = item le plus répété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du module.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Lésions cérébrales primaires vs secondaires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Lésions PRIMAIRES : immédiates, NON évitables et NON traitables (incluent les lésions axonales diffuses par accélération-décélération).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Lésions SECONDAIRES : retardées, évitables → cible de la neuropr</w:t>
      </w:r>
      <w:r w:rsidRPr="00165C40">
        <w:rPr>
          <w:rFonts w:ascii="LMRoman10" w:hAnsi="LMRoman10"/>
        </w:rPr>
        <w:t>otection.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Plaies du scalp : fréquentes et TRÈS hémorragiques. « Brain swelling » : plutôt chez l'ENFANT.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Œdème vasogénique : rupture de la BHE + inflammation, pic à 24–48 h.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les lésions primaires sont accessibles au traitement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Jn2024, J2022, Jn2021.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ACSOS (agressions cérébrales secondaires d'origine systémique)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ACSOS : hypotension, hypoxémie, hypercapnie, HYPOcapnie, hyperglycémie, hyperthermie, anémie, dysnatrémie.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Toute la PEC du TCG vise à les prévenir/corriger.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d'i</w:t>
      </w:r>
      <w:r w:rsidRPr="00165C40">
        <w:rPr>
          <w:rFonts w:ascii="LMRoman10" w:hAnsi="LMRoman10"/>
          <w:i/>
          <w:iCs/>
          <w:color w:val="B45309"/>
        </w:rPr>
        <w:t>nclure parmi les ACSOS : hypomagnésémie, hyperchlorémie, thrombopénie.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Item ACSOS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PEC du traumatisé crânien grave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Objectifs : homéostasie + neuroprotection + prévention des ACSOS ; PAM </w:t>
      </w:r>
      <w:r w:rsidRPr="00165C40">
        <w:rPr>
          <w:rFonts w:ascii="Courier New" w:hAnsi="Courier New" w:cs="Courier New"/>
        </w:rPr>
        <w:t>≥</w:t>
      </w:r>
      <w:r w:rsidRPr="00165C40">
        <w:rPr>
          <w:rFonts w:ascii="LMRoman10" w:hAnsi="LMRoman10"/>
        </w:rPr>
        <w:t xml:space="preserve"> 90 mmHg ; normocapnie ; t</w:t>
      </w:r>
      <w:r w:rsidRPr="00165C40">
        <w:rPr>
          <w:rFonts w:ascii="LMRoman10" w:hAnsi="LMRoman10" w:cs="LMRoman10"/>
        </w:rPr>
        <w:t>ê</w:t>
      </w:r>
      <w:r w:rsidRPr="00165C40">
        <w:rPr>
          <w:rFonts w:ascii="LMRoman10" w:hAnsi="LMRoman10"/>
        </w:rPr>
        <w:t xml:space="preserve">te </w:t>
      </w:r>
      <w:r w:rsidRPr="00165C40">
        <w:rPr>
          <w:rFonts w:ascii="LMRoman10" w:hAnsi="LMRoman10" w:cs="LMRoman10"/>
        </w:rPr>
        <w:t>à</w:t>
      </w:r>
      <w:r w:rsidRPr="00165C40">
        <w:rPr>
          <w:rFonts w:ascii="LMRoman10" w:hAnsi="LMRoman10"/>
        </w:rPr>
        <w:t xml:space="preserve"> 30</w:t>
      </w:r>
      <w:r w:rsidRPr="00165C40">
        <w:rPr>
          <w:rFonts w:ascii="LMRoman10" w:hAnsi="LMRoman10" w:cs="LMRoman10"/>
        </w:rPr>
        <w:t>°</w:t>
      </w:r>
      <w:r w:rsidRPr="00165C40">
        <w:rPr>
          <w:rFonts w:ascii="LMRoman10" w:hAnsi="LMRoman10"/>
        </w:rPr>
        <w:t xml:space="preserve"> en position neutre ;</w:t>
      </w:r>
      <w:r w:rsidRPr="00165C40">
        <w:rPr>
          <w:rFonts w:ascii="LMRoman10" w:hAnsi="LMRoman10"/>
        </w:rPr>
        <w:t xml:space="preserve"> approfondir la sédation.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Osmothérapie (mannitol ou sérum salé hypertonique) si signes d'engagement.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perfuser des solutés hypotoniques/glucosés » — à PROSCRIRE.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corticoïdes systématiques » — NON indiqués dans le TCG.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S2024, J2023, 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>J2020.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Coma — définition &amp; 1</w:t>
      </w:r>
      <w:r w:rsidRPr="00165C40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ʳ</w:t>
      </w:r>
      <w:r w:rsidRPr="00165C40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ᵉ</w:t>
      </w: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mesure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Coma = abolition de l'éveil ET de la conscience.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Devant tout coma : doser la GLYCÉMIE de façon systématique (hypoglycémie = cause la plus rapide à éliminer/traiter).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Jn2023, J2021.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Mort encéphalique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= destruction IRRÉVERSIBLE de l'encéphale, à cœur BATTANT.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À différencier des comas prolongés et des états végétatifs.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Détruit la thermorégulation hypothalamique ; entraîne un DIABÈTE INSIPIDE.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Diagnostic CLINIQUE : abolition de tous les réflexes du tronc </w:t>
      </w:r>
      <w:r w:rsidRPr="00165C40">
        <w:rPr>
          <w:rFonts w:ascii="LMRoman10" w:hAnsi="LMRoman10"/>
        </w:rPr>
        <w:t>+ abolition de la toux + apnée.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Confirmation PARACLINIQUE : 2 EEG nuls OU angioscanner / artériographie (absence de flux).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la mort encéphalique est réversible » / « le cœur est arrêté ».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elle s'accompagne d'un SIADH » — c'est un DIABÈ</w:t>
      </w:r>
      <w:r w:rsidRPr="00165C40">
        <w:rPr>
          <w:rFonts w:ascii="LMRoman10" w:hAnsi="LMRoman10"/>
          <w:i/>
          <w:iCs/>
          <w:color w:val="B45309"/>
        </w:rPr>
        <w:t>TE INSIPIDE.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Mort encéphalique = très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Épreuve d'apnée (hypercapnie) &amp; réanimation du donneur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Pré-oxygénation FiO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 xml:space="preserve"> 100 % pendant 10</w:t>
      </w:r>
      <w:r w:rsidRPr="00165C40">
        <w:rPr>
          <w:rFonts w:ascii="LMRoman10" w:hAnsi="LMRoman10" w:cs="LMRoman10"/>
        </w:rPr>
        <w:t>–</w:t>
      </w:r>
      <w:r w:rsidRPr="00165C40">
        <w:rPr>
          <w:rFonts w:ascii="LMRoman10" w:hAnsi="LMRoman10"/>
        </w:rPr>
        <w:t xml:space="preserve">15 min ; 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 xml:space="preserve">preuve POSITIVE si aucun mouvement respiratoire </w:t>
      </w:r>
      <w:r w:rsidRPr="00165C40">
        <w:rPr>
          <w:rFonts w:ascii="LMRoman10" w:hAnsi="LMRoman10" w:cs="LMRoman10"/>
        </w:rPr>
        <w:t>à</w:t>
      </w:r>
      <w:r w:rsidRPr="00165C40">
        <w:rPr>
          <w:rFonts w:ascii="LMRoman10" w:hAnsi="LMRoman10"/>
        </w:rPr>
        <w:t xml:space="preserve"> PaCO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 xml:space="preserve"> </w:t>
      </w:r>
      <w:r w:rsidRPr="00165C40">
        <w:rPr>
          <w:rFonts w:ascii="Courier New" w:hAnsi="Courier New" w:cs="Courier New"/>
        </w:rPr>
        <w:t>≥</w:t>
      </w:r>
      <w:r w:rsidRPr="00165C40">
        <w:rPr>
          <w:rFonts w:ascii="LMRoman10" w:hAnsi="LMRoman10"/>
        </w:rPr>
        <w:t xml:space="preserve"> 60 mmHg ; n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cessite l'arr</w:t>
      </w:r>
      <w:r w:rsidRPr="00165C40">
        <w:rPr>
          <w:rFonts w:ascii="LMRoman10" w:hAnsi="LMRoman10" w:cs="LMRoman10"/>
        </w:rPr>
        <w:t>ê</w:t>
      </w:r>
      <w:r w:rsidRPr="00165C40">
        <w:rPr>
          <w:rFonts w:ascii="LMRoman10" w:hAnsi="LMRoman10"/>
        </w:rPr>
        <w:t>t de la s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dation.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Réanimation de la mort encéphalique (prélèvement d'organes) : NORADRÉNALINE + remplissage + hématose + traitement du diabète insipide.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Jn2024, O2024.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Traumatisé grave — critères &amp; bilan d'imagerie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Critères de Vittel 2002 (5 catégories) : physiologiques</w:t>
      </w:r>
      <w:r w:rsidRPr="00165C40">
        <w:rPr>
          <w:rFonts w:ascii="LMRoman10" w:hAnsi="LMRoman10"/>
        </w:rPr>
        <w:t xml:space="preserve"> (GCS&lt;13, PAS&lt;90, SpO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>&lt;90), cin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 xml:space="preserve">tique (chute&gt;6 m, 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jection), l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sions anatomiques, r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animation pr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hospitali</w:t>
      </w:r>
      <w:r w:rsidRPr="00165C40">
        <w:rPr>
          <w:rFonts w:ascii="LMRoman10" w:hAnsi="LMRoman10" w:cs="LMRoman10"/>
        </w:rPr>
        <w:t>è</w:t>
      </w:r>
      <w:r w:rsidRPr="00165C40">
        <w:rPr>
          <w:rFonts w:ascii="LMRoman10" w:hAnsi="LMRoman10"/>
        </w:rPr>
        <w:t>re, terrain.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Bilan initial au déchocage : Rx thorax + Rx bassin + Rx rachis cervical de profil + écho abdominale (FAST).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Patient INSTABLE → FAST. Pat</w:t>
      </w:r>
      <w:r w:rsidRPr="00165C40">
        <w:rPr>
          <w:rFonts w:ascii="LMRoman10" w:hAnsi="LMRoman10"/>
        </w:rPr>
        <w:t>ient STABLE → BODY-SCANNER (bilan secondaire).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 body-scanner est le 1</w:t>
      </w:r>
      <w:r w:rsidRPr="00165C40">
        <w:rPr>
          <w:rFonts w:ascii="Courier New" w:hAnsi="Courier New" w:cs="Courier New"/>
          <w:i/>
          <w:iCs/>
          <w:color w:val="B45309"/>
        </w:rPr>
        <w:t>ᵉ</w:t>
      </w:r>
      <w:r w:rsidRPr="00165C40">
        <w:rPr>
          <w:rFonts w:ascii="LMRoman10" w:hAnsi="LMRoman10"/>
          <w:i/>
          <w:iCs/>
          <w:color w:val="B45309"/>
        </w:rPr>
        <w:t xml:space="preserve"> examen chez le patient instable » — chez l'instable on fait la FAST.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Bilan initial / FAST récurrent ~8×.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Choc du traumatisé &amp; vignette « pneumothorax compressif »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Choc d</w:t>
      </w:r>
      <w:r w:rsidRPr="00165C40">
        <w:rPr>
          <w:rFonts w:ascii="LMRoman10" w:hAnsi="LMRoman10"/>
        </w:rPr>
        <w:t>u traumatisé : surtout HÉMORRAGIQUE et OBSTRUCTIF (± médullaire si lésion cervicale).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Vignette type motard non casqué (emphysème sous-cutané + turgescence jugulaire + collapsus) = PNEUMOTHORAX COMPRESSIF → geste salvateur = EXSUFFLATION/DRAINAGE thoracique</w:t>
      </w:r>
      <w:r w:rsidRPr="00165C40">
        <w:rPr>
          <w:rFonts w:ascii="LMRoman10" w:hAnsi="LMRoman10"/>
        </w:rPr>
        <w:t xml:space="preserve"> ; cause du choc = traumatisme THORACIQUE.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Vignette pneumothorax compressif récurrent ~8×.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Antalgie du traumatisé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Morphine en titration IV : diluer pour obtenir 1 mL = 1 mg ; surveiller fréquence respiratoire et conscience.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J2023, Jn2021.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t>[RANG 3] TR</w:t>
      </w:r>
      <w:r w:rsidRPr="00165C40">
        <w:rPr>
          <w:rFonts w:ascii="LMRoman10" w:hAnsi="LMRoman10"/>
        </w:rPr>
        <w:t>OUBLE DU MILIEU INTÉRIEUR — ÉQUILIBRE ACIDO-BASIQUE, DYSNATRÉMIES, DYSKALIÉMIES, ACIDOCÉTOSE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Réanimation  •  ~6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Trou anionique = Na</w:t>
      </w:r>
      <w:r w:rsidRPr="00165C40">
        <w:rPr>
          <w:rFonts w:ascii="Cambria Math" w:hAnsi="Cambria Math" w:cs="Cambria Math"/>
          <w:i/>
          <w:iCs/>
          <w:color w:val="404040"/>
        </w:rPr>
        <w:t>⁺</w:t>
      </w:r>
      <w:r w:rsidRPr="00165C40">
        <w:rPr>
          <w:rFonts w:ascii="LMRoman10" w:hAnsi="LMRoman10"/>
          <w:i/>
          <w:iCs/>
          <w:color w:val="404040"/>
        </w:rPr>
        <w:t xml:space="preserve"> </w:t>
      </w:r>
      <w:r w:rsidRPr="00165C40">
        <w:rPr>
          <w:rFonts w:ascii="LMRoman10" w:hAnsi="LMRoman10" w:cs="LMRoman10"/>
          <w:i/>
          <w:iCs/>
          <w:color w:val="404040"/>
        </w:rPr>
        <w:t>−</w:t>
      </w:r>
      <w:r w:rsidRPr="00165C40">
        <w:rPr>
          <w:rFonts w:ascii="LMRoman10" w:hAnsi="LMRoman10"/>
          <w:i/>
          <w:iCs/>
          <w:color w:val="404040"/>
        </w:rPr>
        <w:t xml:space="preserve"> (Cl</w:t>
      </w:r>
      <w:r w:rsidRPr="00165C40">
        <w:rPr>
          <w:rFonts w:ascii="Cambria Math" w:hAnsi="Cambria Math" w:cs="Cambria Math"/>
          <w:i/>
          <w:iCs/>
          <w:color w:val="404040"/>
        </w:rPr>
        <w:t>⁻</w:t>
      </w:r>
      <w:r w:rsidRPr="00165C40">
        <w:rPr>
          <w:rFonts w:ascii="LMRoman10" w:hAnsi="LMRoman10"/>
          <w:i/>
          <w:iCs/>
          <w:color w:val="404040"/>
        </w:rPr>
        <w:t xml:space="preserve"> + HCO</w:t>
      </w:r>
      <w:r w:rsidRPr="00165C40">
        <w:rPr>
          <w:rFonts w:ascii="Cambria Math" w:hAnsi="Cambria Math" w:cs="Cambria Math"/>
          <w:i/>
          <w:iCs/>
          <w:color w:val="404040"/>
        </w:rPr>
        <w:t>₃⁻</w:t>
      </w:r>
      <w:r w:rsidRPr="00165C40">
        <w:rPr>
          <w:rFonts w:ascii="LMRoman10" w:hAnsi="LMRoman10"/>
          <w:i/>
          <w:iCs/>
          <w:color w:val="404040"/>
        </w:rPr>
        <w:t xml:space="preserve">) </w:t>
      </w:r>
      <w:r w:rsidRPr="00165C40">
        <w:rPr>
          <w:rFonts w:ascii="Courier New" w:hAnsi="Courier New" w:cs="Courier New"/>
          <w:i/>
          <w:iCs/>
          <w:color w:val="404040"/>
        </w:rPr>
        <w:t>≈</w:t>
      </w:r>
      <w:r w:rsidRPr="00165C40">
        <w:rPr>
          <w:rFonts w:ascii="LMRoman10" w:hAnsi="LMRoman10"/>
          <w:i/>
          <w:iCs/>
          <w:color w:val="404040"/>
        </w:rPr>
        <w:t xml:space="preserve"> 12 mmol/L </w:t>
      </w:r>
      <w:r w:rsidRPr="00165C40">
        <w:rPr>
          <w:rFonts w:ascii="LMRoman10" w:hAnsi="LMRoman10" w:cs="LMRoman10"/>
          <w:i/>
          <w:iCs/>
          <w:color w:val="404040"/>
        </w:rPr>
        <w:t>·</w:t>
      </w:r>
      <w:r w:rsidRPr="00165C40">
        <w:rPr>
          <w:rFonts w:ascii="LMRoman10" w:hAnsi="LMRoman10"/>
          <w:i/>
          <w:iCs/>
          <w:color w:val="404040"/>
        </w:rPr>
        <w:t xml:space="preserve"> Raisonnement de Henderson-Hasselbalch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Trou anionique &amp; lecture d'une gazométrie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Trou anionique (TA) = Na</w:t>
      </w:r>
      <w:r w:rsidRPr="00165C40">
        <w:rPr>
          <w:rFonts w:ascii="Cambria Math" w:hAnsi="Cambria Math" w:cs="Cambria Math"/>
        </w:rPr>
        <w:t>⁺</w:t>
      </w:r>
      <w:r w:rsidRPr="00165C40">
        <w:rPr>
          <w:rFonts w:ascii="LMRoman10" w:hAnsi="LMRoman10"/>
        </w:rPr>
        <w:t xml:space="preserve"> </w:t>
      </w:r>
      <w:r w:rsidRPr="00165C40">
        <w:rPr>
          <w:rFonts w:ascii="LMRoman10" w:hAnsi="LMRoman10" w:cs="LMRoman10"/>
        </w:rPr>
        <w:t>−</w:t>
      </w:r>
      <w:r w:rsidRPr="00165C40">
        <w:rPr>
          <w:rFonts w:ascii="LMRoman10" w:hAnsi="LMRoman10"/>
        </w:rPr>
        <w:t xml:space="preserve"> (Cl</w:t>
      </w:r>
      <w:r w:rsidRPr="00165C40">
        <w:rPr>
          <w:rFonts w:ascii="Cambria Math" w:hAnsi="Cambria Math" w:cs="Cambria Math"/>
        </w:rPr>
        <w:t>⁻</w:t>
      </w:r>
      <w:r w:rsidRPr="00165C40">
        <w:rPr>
          <w:rFonts w:ascii="LMRoman10" w:hAnsi="LMRoman10"/>
        </w:rPr>
        <w:t xml:space="preserve"> + HCO</w:t>
      </w:r>
      <w:r w:rsidRPr="00165C40">
        <w:rPr>
          <w:rFonts w:ascii="Cambria Math" w:hAnsi="Cambria Math" w:cs="Cambria Math"/>
        </w:rPr>
        <w:t>₃⁻</w:t>
      </w:r>
      <w:r w:rsidRPr="00165C40">
        <w:rPr>
          <w:rFonts w:ascii="LMRoman10" w:hAnsi="LMRoman10"/>
        </w:rPr>
        <w:t xml:space="preserve">) ; normale </w:t>
      </w:r>
      <w:r w:rsidRPr="00165C40">
        <w:rPr>
          <w:rFonts w:ascii="Courier New" w:hAnsi="Courier New" w:cs="Courier New"/>
        </w:rPr>
        <w:t>≈</w:t>
      </w:r>
      <w:r w:rsidRPr="00165C40">
        <w:rPr>
          <w:rFonts w:ascii="LMRoman10" w:hAnsi="LMRoman10"/>
        </w:rPr>
        <w:t xml:space="preserve"> 12 mmol/L.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L'accumulation de lactates (ou cétones) → acidose métabolique à TA ÉLEVÉ.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Vomissements répétés → alcalose métabolique. BPCO (pH 7,32 / pCO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 xml:space="preserve"> 60) </w:t>
      </w:r>
      <w:r w:rsidRPr="00165C40">
        <w:rPr>
          <w:rFonts w:ascii="LMRoman10" w:hAnsi="LMRoman10" w:cs="LMRoman10"/>
        </w:rPr>
        <w:t>→</w:t>
      </w:r>
      <w:r w:rsidRPr="00165C40">
        <w:rPr>
          <w:rFonts w:ascii="LMRoman10" w:hAnsi="LMRoman10"/>
        </w:rPr>
        <w:t xml:space="preserve"> acidose respiratoire compens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Lecture de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gaz du sang : item-pilier.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Vignettes gazométriques récurrentes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Vignette « Mr S-M » (diarrhée ; pH 7,29 / HCO</w:t>
      </w:r>
      <w:r w:rsidRPr="00165C40">
        <w:rPr>
          <w:rFonts w:ascii="Cambria Math" w:hAnsi="Cambria Math" w:cs="Cambria Math"/>
        </w:rPr>
        <w:t>₃</w:t>
      </w:r>
      <w:r w:rsidRPr="00165C40">
        <w:rPr>
          <w:rFonts w:ascii="LMRoman10" w:hAnsi="LMRoman10"/>
        </w:rPr>
        <w:t xml:space="preserve"> 14 / Na 128 / Cl 94) </w:t>
      </w:r>
      <w:r w:rsidRPr="00165C40">
        <w:rPr>
          <w:rFonts w:ascii="LMRoman10" w:hAnsi="LMRoman10" w:cs="LMRoman10"/>
        </w:rPr>
        <w:t>→</w:t>
      </w:r>
      <w:r w:rsidRPr="00165C40">
        <w:rPr>
          <w:rFonts w:ascii="LMRoman10" w:hAnsi="LMRoman10"/>
        </w:rPr>
        <w:t xml:space="preserve"> acidose m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 xml:space="preserve">tabolique </w:t>
      </w:r>
      <w:r w:rsidRPr="00165C40">
        <w:rPr>
          <w:rFonts w:ascii="LMRoman10" w:hAnsi="LMRoman10" w:cs="LMRoman10"/>
        </w:rPr>
        <w:t>à</w:t>
      </w:r>
      <w:r w:rsidRPr="00165C40">
        <w:rPr>
          <w:rFonts w:ascii="LMRoman10" w:hAnsi="LMRoman10"/>
        </w:rPr>
        <w:t xml:space="preserve"> TA 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LEV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 xml:space="preserve"> (TA </w:t>
      </w:r>
      <w:r w:rsidRPr="00165C40">
        <w:rPr>
          <w:rFonts w:ascii="Courier New" w:hAnsi="Courier New" w:cs="Courier New"/>
        </w:rPr>
        <w:t>≈</w:t>
      </w:r>
      <w:r w:rsidRPr="00165C40">
        <w:rPr>
          <w:rFonts w:ascii="LMRoman10" w:hAnsi="LMRoman10"/>
        </w:rPr>
        <w:t xml:space="preserve"> 20).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Vignette « Mr A-J » (pH 7,47 / pCO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 xml:space="preserve"> 20 / HCO</w:t>
      </w:r>
      <w:r w:rsidRPr="00165C40">
        <w:rPr>
          <w:rFonts w:ascii="Cambria Math" w:hAnsi="Cambria Math" w:cs="Cambria Math"/>
        </w:rPr>
        <w:t>₃</w:t>
      </w:r>
      <w:r w:rsidRPr="00165C40">
        <w:rPr>
          <w:rFonts w:ascii="LMRoman10" w:hAnsi="LMRoman10"/>
        </w:rPr>
        <w:t xml:space="preserve"> 14 / Cl 114) </w:t>
      </w:r>
      <w:r w:rsidRPr="00165C40">
        <w:rPr>
          <w:rFonts w:ascii="LMRoman10" w:hAnsi="LMRoman10" w:cs="LMRoman10"/>
        </w:rPr>
        <w:t>→</w:t>
      </w:r>
      <w:r w:rsidRPr="00165C40">
        <w:rPr>
          <w:rFonts w:ascii="LMRoman10" w:hAnsi="LMRoman10"/>
        </w:rPr>
        <w:t xml:space="preserve"> alcalose respiratoire + acidose m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 xml:space="preserve">tabolique </w:t>
      </w:r>
      <w:r w:rsidRPr="00165C40">
        <w:rPr>
          <w:rFonts w:ascii="LMRoman10" w:hAnsi="LMRoman10" w:cs="LMRoman10"/>
        </w:rPr>
        <w:t>à</w:t>
      </w:r>
      <w:r w:rsidRPr="00165C40">
        <w:rPr>
          <w:rFonts w:ascii="LMRoman10" w:hAnsi="LMRoman10"/>
        </w:rPr>
        <w:t xml:space="preserve"> TA NORMAL (trouble mixte).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Vignettes répétées ~6–7× (S-M / A-J).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ADH &amp; diabète insipide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ADH : ↑ la perméabilité à l'eau du tube collecteur (réabso</w:t>
      </w:r>
      <w:r w:rsidRPr="00165C40">
        <w:rPr>
          <w:rFonts w:ascii="LMRoman10" w:hAnsi="LMRoman10"/>
        </w:rPr>
        <w:t>rption d'eau).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Stimulée par : ↓ volémie, ↓ PA, ↑ osmolarité plasmatique (osmorécepteurs).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Diabète insipide : polyurie &gt; 3 L/j + polydipsie ; le dosage de l'ADH distingue la forme centrale de la forme néphrogénique.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l'ADH est stimulée par la sécr</w:t>
      </w:r>
      <w:r w:rsidRPr="00165C40">
        <w:rPr>
          <w:rFonts w:ascii="LMRoman10" w:hAnsi="LMRoman10"/>
          <w:i/>
          <w:iCs/>
          <w:color w:val="B45309"/>
        </w:rPr>
        <w:t>étion salivaire / directement par l'angiotensine comme mécanisme principal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ADH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Dysnatrémies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Hyponatrémie : éliminer une fausse hyponatrémie (hyperglycémie = hyperosmolaire) ; la vraie est hypo-osmolaire ; correction LENTE.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Complication d'une correction trop rapide de l'hyponatrémie = MYÉLINOLYSE CENTROPONTINE (démyélinisation osmotique).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Hypernatrémie → déshydratation intracellulaire ; risque d'une correction trop rapide = ŒDÈME cérébral.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l'hyponatrémie profonde s</w:t>
      </w:r>
      <w:r w:rsidRPr="00165C40">
        <w:rPr>
          <w:rFonts w:ascii="LMRoman10" w:hAnsi="LMRoman10"/>
          <w:i/>
          <w:iCs/>
          <w:color w:val="B45309"/>
        </w:rPr>
        <w:t>e corrige rapidement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Dysnatrémies récurrentes.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Dyskaliémies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Hyperkaliémie ET hypokaliémie = urgences (troubles du rythme).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Hyperkaliémie : ECG = ondes T amples, pointues, symétriques + élargissement du QRS ; traitement = gluconate de calcium + insuli</w:t>
      </w:r>
      <w:r w:rsidRPr="00165C40">
        <w:rPr>
          <w:rFonts w:ascii="LMRoman10" w:hAnsi="LMRoman10"/>
        </w:rPr>
        <w:t xml:space="preserve">ne-glucosé + </w:t>
      </w:r>
      <w:r w:rsidRPr="00165C40">
        <w:rPr>
          <w:rFonts w:ascii="Courier New" w:hAnsi="Courier New" w:cs="Courier New"/>
        </w:rPr>
        <w:t>β</w:t>
      </w:r>
      <w:r w:rsidRPr="00165C40">
        <w:rPr>
          <w:rFonts w:ascii="LMRoman10" w:hAnsi="LMRoman10"/>
        </w:rPr>
        <w:t>2-mim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tiques (</w:t>
      </w:r>
      <w:r w:rsidRPr="00165C40">
        <w:rPr>
          <w:rFonts w:ascii="LMRoman10" w:hAnsi="LMRoman10" w:cs="LMRoman10"/>
        </w:rPr>
        <w:t>±</w:t>
      </w:r>
      <w:r w:rsidRPr="00165C40">
        <w:rPr>
          <w:rFonts w:ascii="LMRoman10" w:hAnsi="LMRoman10"/>
        </w:rPr>
        <w:t xml:space="preserve"> 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puration).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Hypokaliémie : ECG = ondes U + sous-décalage ST + ondes T aplaties/inversées.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Insuline et salbutamol → transfert intracellulaire du K</w:t>
      </w:r>
      <w:r w:rsidRPr="00165C40">
        <w:rPr>
          <w:rFonts w:ascii="Cambria Math" w:hAnsi="Cambria Math" w:cs="Cambria Math"/>
        </w:rPr>
        <w:t>⁺</w:t>
      </w:r>
      <w:r w:rsidRPr="00165C40">
        <w:rPr>
          <w:rFonts w:ascii="LMRoman10" w:hAnsi="LMRoman10"/>
        </w:rPr>
        <w:t xml:space="preserve"> (font BAISSER la kali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mie).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N2026 (hyperK = item isolé),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Acidocét</w:t>
      </w: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ose diabétique (ACD)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Triade : hyperglycémie + cétose + acidose métabolique à TA élevé ; dyspnée de Kussmaul ; haleine acétonique.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2 facteurs déclenchants principaux : écart thérapeutique (arrêt insuline) + INFECTION.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Traitement : réhydratation par SSI 0,9 </w:t>
      </w:r>
      <w:r w:rsidRPr="00165C40">
        <w:rPr>
          <w:rFonts w:ascii="LMRoman10" w:hAnsi="LMRoman10"/>
        </w:rPr>
        <w:t>% (1</w:t>
      </w:r>
      <w:r w:rsidRPr="00165C40">
        <w:rPr>
          <w:rFonts w:ascii="Courier New" w:hAnsi="Courier New" w:cs="Courier New"/>
        </w:rPr>
        <w:t>ʳ</w:t>
      </w:r>
      <w:r w:rsidRPr="00165C40">
        <w:rPr>
          <w:rFonts w:ascii="Courier New" w:hAnsi="Courier New" w:cs="Courier New"/>
        </w:rPr>
        <w:t>ᵉ</w:t>
      </w:r>
      <w:r w:rsidRPr="00165C40">
        <w:rPr>
          <w:rFonts w:ascii="LMRoman10" w:hAnsi="LMRoman10"/>
        </w:rPr>
        <w:t xml:space="preserve"> mesure) + insuline rapide IV 0,1 U/kg/h + apport de K</w:t>
      </w:r>
      <w:r w:rsidRPr="00165C40">
        <w:rPr>
          <w:rFonts w:ascii="Cambria Math" w:hAnsi="Cambria Math" w:cs="Cambria Math"/>
        </w:rPr>
        <w:t>⁺</w:t>
      </w:r>
      <w:r w:rsidRPr="00165C40">
        <w:rPr>
          <w:rFonts w:ascii="LMRoman10" w:hAnsi="LMRoman10"/>
        </w:rPr>
        <w:t xml:space="preserve"> + ATB si infection ; orientation en r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animation/USI.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Coma hyperosmolaire : DT2 âgé, hyperglycémie majeure SANS cétoacidose.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débuter l'insuline avant la réhydratation » et « administrer l'insuline malgré une kaliémie &lt; 3,5 » — corriger d'abord le K</w:t>
      </w:r>
      <w:r w:rsidRPr="00165C40">
        <w:rPr>
          <w:rFonts w:ascii="Cambria Math" w:hAnsi="Cambria Math" w:cs="Cambria Math"/>
          <w:i/>
          <w:iCs/>
          <w:color w:val="B45309"/>
        </w:rPr>
        <w:t>⁺</w:t>
      </w:r>
      <w:r w:rsidRPr="00165C40">
        <w:rPr>
          <w:rFonts w:ascii="LMRoman10" w:hAnsi="LMRoman10"/>
          <w:i/>
          <w:iCs/>
          <w:color w:val="B45309"/>
        </w:rPr>
        <w:t>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ACD récurrent (vignette + QCM).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t>[RANG 4] SOINS PALLIATIFS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Soins palliatifs  •  ~6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Définition OMS des soins</w:t>
      </w:r>
      <w:r w:rsidRPr="00165C40">
        <w:rPr>
          <w:rFonts w:ascii="LMRoman10" w:hAnsi="LMRoman10"/>
          <w:i/>
          <w:iCs/>
          <w:color w:val="404040"/>
        </w:rPr>
        <w:t xml:space="preserve"> palliatifs · Protocole d'annonce SPIKES · Étapes du deuil de Kübler-Ross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caractéristiques OMS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Le malade est considéré comme un être VIVANT et la mort comme un processus NATUREL.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Objectif = qualité de vie : soulager la douleur ET les autres symptômes ; intégrer les dimensions psychologiques et spirituelles ; préserver la dignité.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Concernent le patient ET ses proches ; reposent sur une approche PLURIDISCIPLINAIRE.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Ne hâtent ni ne re</w:t>
      </w:r>
      <w:r w:rsidRPr="00165C40">
        <w:rPr>
          <w:rFonts w:ascii="LMRoman10" w:hAnsi="LMRoman10"/>
        </w:rPr>
        <w:t>tardent la mort.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approche monodisciplinaire ».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visent à prolonger la vie / à guérir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Définition OMS = item-pilier, très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Obstacles au développement (OMS) &amp; organisation au Maroc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Obstacles : méconnaissance (politiques &amp; </w:t>
      </w:r>
      <w:r w:rsidRPr="00165C40">
        <w:rPr>
          <w:rFonts w:ascii="LMRoman10" w:hAnsi="LMRoman10"/>
        </w:rPr>
        <w:t>soignants), freins financiers, freins culturels/sociaux, idée fausse « réservés aux cancéreux », opiophobie.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Maroc : unités fixes (coordonnent les unités mobiles + formation/recherche) ; équipe mobile = soutien, écoute téléphonique, coordination.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 xml:space="preserve">FAUX : </w:t>
      </w:r>
      <w:r w:rsidRPr="00165C40">
        <w:rPr>
          <w:rFonts w:ascii="LMRoman10" w:hAnsi="LMRoman10"/>
          <w:i/>
          <w:iCs/>
          <w:color w:val="B45309"/>
        </w:rPr>
        <w:t>« l'acharnement thérapeutique fait partie des obstacles listés » — il n'y figure généralement pas.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Obstacles OMS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Objectifs, espoir &amp; éthique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Définition des objectifs : nature/stade de la maladie + options thérapeutiques + désirs du malade (av</w:t>
      </w:r>
      <w:r w:rsidRPr="00165C40">
        <w:rPr>
          <w:rFonts w:ascii="LMRoman10" w:hAnsi="LMRoman10"/>
        </w:rPr>
        <w:t>ec famille et équipe).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Entretenir l'espoir = compétence du médecin + contrôle des symptômes + NON-ABANDON.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Éthique : bienveillance/non-malfaisance + autonomie + consentement éclairé + droit du patient de douter et de NE PAS savoir.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décider seul,</w:t>
      </w:r>
      <w:r w:rsidRPr="00165C40">
        <w:rPr>
          <w:rFonts w:ascii="LMRoman10" w:hAnsi="LMRoman10"/>
          <w:i/>
          <w:iCs/>
          <w:color w:val="B45309"/>
        </w:rPr>
        <w:t xml:space="preserve"> en excluant la famille ».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informer le patient même s'il ne veut pas savoir » / « écarter la bienveillance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Éthique/objectifs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Démarche de soins &amp; nutrition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Démarche globale : évaluation préalable (interrogatoire + examen) PRIMORDIALE ; rechercher les symptômes gênants AVANT toute thérapeutique ; respecter le droit de refuser.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Nutrition : adaptée au CONTEXTE ; voie ORALE privilégiée et fractionnée ; hydratatio</w:t>
      </w:r>
      <w:r w:rsidRPr="00165C40">
        <w:rPr>
          <w:rFonts w:ascii="LMRoman10" w:hAnsi="LMRoman10"/>
        </w:rPr>
        <w:t>n RAISONNABLE et non délétère.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Évaluation nutritionnelle : clinique + biologique (albumine + préalbumine + CRP) + index pronostique.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Soins de bouche OBLIGATOIRES ; antifongiques NON systématiques.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hydratation massive ».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doser les marqueurs tumoraux pour l'évaluation nutritionnelle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Nutrition/soins de bouche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Annonce — protocole SPIKES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 Préparer le cadre → P évaluer la Perception du patient → I obtenir son INVITATION → K donner l'information → E ré</w:t>
      </w:r>
      <w:r w:rsidRPr="00165C40">
        <w:rPr>
          <w:rFonts w:ascii="LMRoman10" w:hAnsi="LMRoman10"/>
        </w:rPr>
        <w:t>pondre aux Émotions (empathie) → S faire la Synthèse + plan.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Adapter l'information au rythme et aux souhaits du patient.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délivrer l'information sans accord préalable du patient ».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ne pas répondre aux émotions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SPIKES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D</w:t>
      </w: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euil &amp; étapes de Kübler-Ross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Étapes : choc/déni → colère → marchandage → dépression → acceptation.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PEC du deuil : prise en charge globale + information honnête + réponse aux besoins de la famille.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Facteurs de risque CIRCONSTANCIELS de deuil compliqué : mor</w:t>
      </w:r>
      <w:r w:rsidRPr="00165C40">
        <w:rPr>
          <w:rFonts w:ascii="LMRoman10" w:hAnsi="LMRoman10"/>
        </w:rPr>
        <w:t>t subite, âge jeune du défunt, corps non récupéré, agonie prolongée.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il faut empêcher la famille d'exprimer son deuil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Deuil / Kübler-Ross récurrent.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lastRenderedPageBreak/>
        <w:t>[RANG 5] RÉANIMATION CARDIO-RESPIRATOIRE — ACR/RCP, ASTHME AIGU GRAVE, IRA, SDRA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Réanimati</w:t>
      </w: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on  •  ~6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Chaîne de survie · Définition de Berlin du SDRA (P/F </w:t>
      </w:r>
      <w:r w:rsidRPr="00165C40">
        <w:rPr>
          <w:rFonts w:ascii="Courier New" w:hAnsi="Courier New" w:cs="Courier New"/>
          <w:i/>
          <w:iCs/>
          <w:color w:val="404040"/>
        </w:rPr>
        <w:t>≤</w:t>
      </w:r>
      <w:r w:rsidRPr="00165C40">
        <w:rPr>
          <w:rFonts w:ascii="LMRoman10" w:hAnsi="LMRoman10"/>
          <w:i/>
          <w:iCs/>
          <w:color w:val="404040"/>
        </w:rPr>
        <w:t xml:space="preserve"> 300, PEP </w:t>
      </w:r>
      <w:r w:rsidRPr="00165C40">
        <w:rPr>
          <w:rFonts w:ascii="Courier New" w:hAnsi="Courier New" w:cs="Courier New"/>
          <w:i/>
          <w:iCs/>
          <w:color w:val="404040"/>
        </w:rPr>
        <w:t>≥</w:t>
      </w:r>
      <w:r w:rsidRPr="00165C40">
        <w:rPr>
          <w:rFonts w:ascii="LMRoman10" w:hAnsi="LMRoman10"/>
          <w:i/>
          <w:iCs/>
          <w:color w:val="404040"/>
        </w:rPr>
        <w:t xml:space="preserve"> 5) </w:t>
      </w:r>
      <w:r w:rsidRPr="00165C40">
        <w:rPr>
          <w:rFonts w:ascii="LMRoman10" w:hAnsi="LMRoman10" w:cs="LMRoman10"/>
          <w:i/>
          <w:iCs/>
          <w:color w:val="404040"/>
        </w:rPr>
        <w:t>·</w:t>
      </w:r>
      <w:r w:rsidRPr="00165C40">
        <w:rPr>
          <w:rFonts w:ascii="LMRoman10" w:hAnsi="LMRoman10"/>
          <w:i/>
          <w:iCs/>
          <w:color w:val="404040"/>
        </w:rPr>
        <w:t xml:space="preserve"> Score CURB-65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Arrêt cardio-respiratoire &amp; RCP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Chaîne de survie : alerte → RCP de base → défibrillation → RCP spécialisée.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Rythmes CHOQUABLES : FV + TV sans pouls + torsade de pointes (NON choquables : asystolie + DEM/AESP).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Adrénaline : 1 mg IV/IO toutes les 3–5 min. Ratio compressions/insufflations = 30:2 ; 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 xml:space="preserve"> 15 L/min d</w:t>
      </w:r>
      <w:r w:rsidRPr="00165C40">
        <w:rPr>
          <w:rFonts w:ascii="LMRoman10" w:hAnsi="LMRoman10" w:cs="LMRoman10"/>
        </w:rPr>
        <w:t>è</w:t>
      </w:r>
      <w:r w:rsidRPr="00165C40">
        <w:rPr>
          <w:rFonts w:ascii="LMRoman10" w:hAnsi="LMRoman10"/>
        </w:rPr>
        <w:t>s que possible.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Amiodarone : FV/TV réfractaire après l</w:t>
      </w:r>
      <w:r w:rsidRPr="00165C40">
        <w:rPr>
          <w:rFonts w:ascii="LMRoman10" w:hAnsi="LMRoman10"/>
        </w:rPr>
        <w:t>e 3</w:t>
      </w:r>
      <w:r w:rsidRPr="00165C40">
        <w:rPr>
          <w:rFonts w:ascii="Courier New" w:hAnsi="Courier New" w:cs="Courier New"/>
        </w:rPr>
        <w:t>ᵉ</w:t>
      </w:r>
      <w:r w:rsidRPr="00165C40">
        <w:rPr>
          <w:rFonts w:ascii="LMRoman10" w:hAnsi="LMRoman10"/>
        </w:rPr>
        <w:t xml:space="preserve"> choc (300 mg puis 150 mg).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Capnographie (EtCO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>) : confirme l'intubation, la qualit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 xml:space="preserve"> du MCE et le retour </w:t>
      </w:r>
      <w:r w:rsidRPr="00165C40">
        <w:rPr>
          <w:rFonts w:ascii="LMRoman10" w:hAnsi="LMRoman10" w:cs="LMRoman10"/>
        </w:rPr>
        <w:t>à</w:t>
      </w:r>
      <w:r w:rsidRPr="00165C40">
        <w:rPr>
          <w:rFonts w:ascii="LMRoman10" w:hAnsi="LMRoman10"/>
        </w:rPr>
        <w:t xml:space="preserve"> une circulation spontan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e (RACS). Voie alternative = INTRA-OSSEUSE.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Causes réversibles (4H/4T) : incluent tamponnade et pneumothorax compressif.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atropine systématique dans la DEM » — protocole OBSOLÈTE.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la capnographie sert à diagnostiquer l'intoxication au CO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ACR/RCP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ACR chez la femme enceinte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Récliner l'utérus vers la GAUCHE ; placer les mains un peu plus HA</w:t>
      </w:r>
      <w:r w:rsidRPr="00165C40">
        <w:rPr>
          <w:rFonts w:ascii="LMRoman10" w:hAnsi="LMRoman10"/>
        </w:rPr>
        <w:t>UT sur le sternum ; césarienne de sauvetage si pas de RACS &gt; 4–5 min.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maintenir le monitorage fœtal pendant la réanimation » — la priorité est la mère.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Jn2024, J2022.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Asthme aigu grave (AAG)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Physiopath : bronchoconstriction + œdème de la paro</w:t>
      </w:r>
      <w:r w:rsidRPr="00165C40">
        <w:rPr>
          <w:rFonts w:ascii="LMRoman10" w:hAnsi="LMRoman10"/>
        </w:rPr>
        <w:t>i + hypersécrétion.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Signes de gravité : FR </w:t>
      </w:r>
      <w:r w:rsidRPr="00165C40">
        <w:rPr>
          <w:rFonts w:ascii="Courier New" w:hAnsi="Courier New" w:cs="Courier New"/>
        </w:rPr>
        <w:t>≥</w:t>
      </w:r>
      <w:r w:rsidRPr="00165C40">
        <w:rPr>
          <w:rFonts w:ascii="LMRoman10" w:hAnsi="LMRoman10"/>
        </w:rPr>
        <w:t xml:space="preserve"> 30, DEP &lt; 30 %, NORMOcapnie (PaCO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 xml:space="preserve"> qui se </w:t>
      </w:r>
      <w:r w:rsidRPr="00165C40">
        <w:rPr>
          <w:rFonts w:ascii="LMRoman10" w:hAnsi="LMRoman10" w:cs="LMRoman10"/>
        </w:rPr>
        <w:t>«</w:t>
      </w:r>
      <w:r w:rsidRPr="00165C40">
        <w:rPr>
          <w:rFonts w:ascii="LMRoman10" w:hAnsi="LMRoman10"/>
        </w:rPr>
        <w:t xml:space="preserve"> normalise </w:t>
      </w:r>
      <w:r w:rsidRPr="00165C40">
        <w:rPr>
          <w:rFonts w:ascii="LMRoman10" w:hAnsi="LMRoman10" w:cs="LMRoman10"/>
        </w:rPr>
        <w:t>»</w:t>
      </w:r>
      <w:r w:rsidRPr="00165C40">
        <w:rPr>
          <w:rFonts w:ascii="LMRoman10" w:hAnsi="LMRoman10"/>
        </w:rPr>
        <w:t>), pouls paradoxal, parole impossible.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Signes d'ALARME (AAG quasi-fatal) : silence auscultatoire + épuisement + troubles de conscience + bradypnée/bradycard</w:t>
      </w:r>
      <w:r w:rsidRPr="00165C40">
        <w:rPr>
          <w:rFonts w:ascii="LMRoman10" w:hAnsi="LMRoman10"/>
        </w:rPr>
        <w:t>ie.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Traitement : 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 xml:space="preserve"> + </w:t>
      </w:r>
      <w:r w:rsidRPr="00165C40">
        <w:rPr>
          <w:rFonts w:ascii="Courier New" w:hAnsi="Courier New" w:cs="Courier New"/>
        </w:rPr>
        <w:t>β</w:t>
      </w:r>
      <w:r w:rsidRPr="00165C40">
        <w:rPr>
          <w:rFonts w:ascii="LMRoman10" w:hAnsi="LMRoman10"/>
        </w:rPr>
        <w:t>2-mim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tiques INHAL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S + cortico</w:t>
      </w:r>
      <w:r w:rsidRPr="00165C40">
        <w:rPr>
          <w:rFonts w:ascii="LMRoman10" w:hAnsi="LMRoman10" w:cs="LMRoman10"/>
        </w:rPr>
        <w:t>ï</w:t>
      </w:r>
      <w:r w:rsidRPr="00165C40">
        <w:rPr>
          <w:rFonts w:ascii="LMRoman10" w:hAnsi="LMRoman10"/>
        </w:rPr>
        <w:t>des syst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miques (0,5</w:t>
      </w:r>
      <w:r w:rsidRPr="00165C40">
        <w:rPr>
          <w:rFonts w:ascii="LMRoman10" w:hAnsi="LMRoman10" w:cs="LMRoman10"/>
        </w:rPr>
        <w:t>–</w:t>
      </w:r>
      <w:r w:rsidRPr="00165C40">
        <w:rPr>
          <w:rFonts w:ascii="LMRoman10" w:hAnsi="LMRoman10"/>
        </w:rPr>
        <w:t xml:space="preserve">1 mg/kg) </w:t>
      </w:r>
      <w:r w:rsidRPr="00165C40">
        <w:rPr>
          <w:rFonts w:ascii="LMRoman10" w:hAnsi="LMRoman10" w:cs="LMRoman10"/>
        </w:rPr>
        <w:t>±</w:t>
      </w:r>
      <w:r w:rsidRPr="00165C40">
        <w:rPr>
          <w:rFonts w:ascii="LMRoman10" w:hAnsi="LMRoman10"/>
        </w:rPr>
        <w:t xml:space="preserve"> anticholinergiques inhal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 xml:space="preserve">s </w:t>
      </w:r>
      <w:r w:rsidRPr="00165C40">
        <w:rPr>
          <w:rFonts w:ascii="LMRoman10" w:hAnsi="LMRoman10" w:cs="LMRoman10"/>
        </w:rPr>
        <w:t>±</w:t>
      </w:r>
      <w:r w:rsidRPr="00165C40">
        <w:rPr>
          <w:rFonts w:ascii="LMRoman10" w:hAnsi="LMRoman10"/>
        </w:rPr>
        <w:t xml:space="preserve"> sulfate de Mg.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antihistaminiques / ATB systématiques / intubation systématique » dans l'AAG.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AAG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Insuffisance respir</w:t>
      </w: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atoire aiguë &amp; VNI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IRA = altération de l'hématose (défaut d'échange, de pompe, ± d'extraction).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Indications reconnues de la VNI : OAP cardiogénique, décompensation de BPCO, immunodéprimé, post-opératoire.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 xml:space="preserve">FAUX : « la VNI est indiquée sur un pneumothorax </w:t>
      </w:r>
      <w:r w:rsidRPr="00165C40">
        <w:rPr>
          <w:rFonts w:ascii="LMRoman10" w:hAnsi="LMRoman10"/>
          <w:i/>
          <w:iCs/>
          <w:color w:val="B45309"/>
        </w:rPr>
        <w:t>non drainé » — c'est une CONTRE-INDICATION.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VNI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SDRA — définition de Berlin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Critères : début aigu &lt; 7 j ; opacités BILATÉRALES ; œdème NON cardiogénique (PAPO </w:t>
      </w:r>
      <w:r w:rsidRPr="00165C40">
        <w:rPr>
          <w:rFonts w:ascii="Courier New" w:hAnsi="Courier New" w:cs="Courier New"/>
        </w:rPr>
        <w:t>≤</w:t>
      </w:r>
      <w:r w:rsidRPr="00165C40">
        <w:rPr>
          <w:rFonts w:ascii="LMRoman10" w:hAnsi="LMRoman10"/>
        </w:rPr>
        <w:t xml:space="preserve"> 18) ; PaO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>/FiO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 xml:space="preserve"> </w:t>
      </w:r>
      <w:r w:rsidRPr="00165C40">
        <w:rPr>
          <w:rFonts w:ascii="Courier New" w:hAnsi="Courier New" w:cs="Courier New"/>
        </w:rPr>
        <w:t>≤</w:t>
      </w:r>
      <w:r w:rsidRPr="00165C40">
        <w:rPr>
          <w:rFonts w:ascii="LMRoman10" w:hAnsi="LMRoman10"/>
        </w:rPr>
        <w:t xml:space="preserve"> 300 avec PEP </w:t>
      </w:r>
      <w:r w:rsidRPr="00165C40">
        <w:rPr>
          <w:rFonts w:ascii="Courier New" w:hAnsi="Courier New" w:cs="Courier New"/>
        </w:rPr>
        <w:t>≥</w:t>
      </w:r>
      <w:r w:rsidRPr="00165C40">
        <w:rPr>
          <w:rFonts w:ascii="LMRoman10" w:hAnsi="LMRoman10"/>
        </w:rPr>
        <w:t xml:space="preserve"> 5.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Sévérité : léger 200–300 / modéré 100–200 / sévère </w:t>
      </w:r>
      <w:r w:rsidRPr="00165C40">
        <w:rPr>
          <w:rFonts w:ascii="Courier New" w:hAnsi="Courier New" w:cs="Courier New"/>
        </w:rPr>
        <w:t>≤</w:t>
      </w:r>
      <w:r w:rsidRPr="00165C40">
        <w:rPr>
          <w:rFonts w:ascii="LMRoman10" w:hAnsi="LMRoman10"/>
        </w:rPr>
        <w:t xml:space="preserve"> 100 ; l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sion de la membrane alv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olo-capillaire ; gazom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trie ART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RIELLE.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lastRenderedPageBreak/>
        <w:t>Ventilation protectrice : Vt 6 mL/kg de poids idéal + PEP + décubitus VENTRAL dans les formes sévères.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 SDRA est d'ori</w:t>
      </w:r>
      <w:r w:rsidRPr="00165C40">
        <w:rPr>
          <w:rFonts w:ascii="LMRoman10" w:hAnsi="LMRoman10"/>
          <w:i/>
          <w:iCs/>
          <w:color w:val="B45309"/>
        </w:rPr>
        <w:t>gine cardiogénique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SDRA (Berlin) item rare mais tombé.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Pneumonie communautaire — CURB-65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CURB-65 : Confusion + Urée &gt; 7 mmol/L + FR </w:t>
      </w:r>
      <w:r w:rsidRPr="00165C40">
        <w:rPr>
          <w:rFonts w:ascii="Courier New" w:hAnsi="Courier New" w:cs="Courier New"/>
        </w:rPr>
        <w:t>≥</w:t>
      </w:r>
      <w:r w:rsidRPr="00165C40">
        <w:rPr>
          <w:rFonts w:ascii="LMRoman10" w:hAnsi="LMRoman10"/>
        </w:rPr>
        <w:t xml:space="preserve"> 30 + PA basse (PAS&lt;90 ou PAD</w:t>
      </w:r>
      <w:r w:rsidRPr="00165C40">
        <w:rPr>
          <w:rFonts w:ascii="Courier New" w:hAnsi="Courier New" w:cs="Courier New"/>
        </w:rPr>
        <w:t>≤</w:t>
      </w:r>
      <w:r w:rsidRPr="00165C40">
        <w:rPr>
          <w:rFonts w:ascii="LMRoman10" w:hAnsi="LMRoman10"/>
        </w:rPr>
        <w:t xml:space="preserve">60) + </w:t>
      </w:r>
      <w:r w:rsidRPr="00165C40">
        <w:rPr>
          <w:rFonts w:ascii="LMRoman10" w:hAnsi="LMRoman10" w:cs="LMRoman10"/>
        </w:rPr>
        <w:t>â</w:t>
      </w:r>
      <w:r w:rsidRPr="00165C40">
        <w:rPr>
          <w:rFonts w:ascii="LMRoman10" w:hAnsi="LMRoman10"/>
        </w:rPr>
        <w:t xml:space="preserve">ge </w:t>
      </w:r>
      <w:r w:rsidRPr="00165C40">
        <w:rPr>
          <w:rFonts w:ascii="Courier New" w:hAnsi="Courier New" w:cs="Courier New"/>
        </w:rPr>
        <w:t>≥</w:t>
      </w:r>
      <w:r w:rsidRPr="00165C40">
        <w:rPr>
          <w:rFonts w:ascii="LMRoman10" w:hAnsi="LMRoman10"/>
        </w:rPr>
        <w:t xml:space="preserve"> 65 ans.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 sexe masculin fait partie du score CURB-65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CURB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>-65, J2023.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t>[RANG 6] INTOXICATIONS &amp; ENVENIMATIONS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Réanimation  •  ~5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Toxidromes (opioïde · anticholinergique · cholinergique · adrénergique) · Classes de gravité de l'envenimation scorpionique I–III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Envenimation vipérine (syndrome vipéridé)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Do</w:t>
      </w:r>
      <w:r w:rsidRPr="00165C40">
        <w:rPr>
          <w:rFonts w:ascii="LMRoman10" w:hAnsi="LMRoman10"/>
        </w:rPr>
        <w:t>uleur importante + TROUBLES DE L'HÉMOSTASE majeurs (coagulopathie) + syndrome de loge/nécrose locale.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Test de coagulation sur tube sec au lit du malade.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Sérum antivenimeux : DISPONIBLE au Maroc et efficace = traitement de choix.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 xml:space="preserve">FAUX : « poser un garrot </w:t>
      </w:r>
      <w:r w:rsidRPr="00165C40">
        <w:rPr>
          <w:rFonts w:ascii="LMRoman10" w:hAnsi="LMRoman10"/>
          <w:i/>
          <w:iCs/>
          <w:color w:val="B45309"/>
        </w:rPr>
        <w:t>et scarifier » — à PROSCRIRE.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Vipère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Envenimation par élapidé (cobra)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Douleur mineure + ptosis + PARÉSIE/paralysie respiratoire (syndrome NEUROTOXIQUE) ; pas de troubles de l'hémostase.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 cobra entraîne surtout une coagulopathie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S2024, J2022.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Envenimation scorpionique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Mortalité la plus élevée chez l'ENFANT ; choc CARDIOGÉNIQUE.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3 classes : I (signes locaux) / II (signes généraux) / III (défaillance vitale, OAP).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Traitement de choix de la défaillance = DOBUTAMINE ; classes II–III → hospitalisation.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dopamine / remplissage massif en 1</w:t>
      </w:r>
      <w:r w:rsidRPr="00165C40">
        <w:rPr>
          <w:rFonts w:ascii="Courier New" w:hAnsi="Courier New" w:cs="Courier New"/>
          <w:i/>
          <w:iCs/>
          <w:color w:val="B45309"/>
        </w:rPr>
        <w:t>ʳ</w:t>
      </w:r>
      <w:r w:rsidRPr="00165C40">
        <w:rPr>
          <w:rFonts w:ascii="Courier New" w:hAnsi="Courier New" w:cs="Courier New"/>
          <w:i/>
          <w:iCs/>
          <w:color w:val="B45309"/>
        </w:rPr>
        <w:t>ᵉ</w:t>
      </w:r>
      <w:r w:rsidRPr="00165C40">
        <w:rPr>
          <w:rFonts w:ascii="LMRoman10" w:hAnsi="LMRoman10"/>
          <w:i/>
          <w:iCs/>
          <w:color w:val="B45309"/>
        </w:rPr>
        <w:t xml:space="preserve"> intention ».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prise en charge ambulatoire d'une classe II ou III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Scorpion (dobutamine)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Toxidro</w:t>
      </w: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mes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OPIOÏDE : myosis + bradypnée + coma calme (antidote NALOXONE).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ANTICHOLINERGIQUE : mydriase + bouche sèche + globe urinaire + iléus + tachycardie.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ADRÉNERGIQUE : mydriase + HTA + tachycardie + sueurs.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CHOLINERGIQUE / organophosphorés : myosis + hypersé</w:t>
      </w:r>
      <w:r w:rsidRPr="00165C40">
        <w:rPr>
          <w:rFonts w:ascii="LMRoman10" w:hAnsi="LMRoman10"/>
        </w:rPr>
        <w:t>crétions + fasciculations (antidote atropine).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Toxidromes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Antidépresseurs tricycliques (ADT)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Tableau : QRS large &gt; 100–120 ms + choc cardiogénique + coma avec HYPERTONIE + syndrome anticholinergique.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Traitement : charbon activé (± lavage si p</w:t>
      </w:r>
      <w:r w:rsidRPr="00165C40">
        <w:rPr>
          <w:rFonts w:ascii="LMRoman10" w:hAnsi="LMRoman10"/>
        </w:rPr>
        <w:t>récoce) + BICARBONATE de Na molaire si QRS large + benzodiazépines si convulsions.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administrer du flumazénil » (risque de convulsions) ; « l'hémodialyse est efficace sur les ADT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ADT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Benzodiazépines &amp; autres toxiques fonctionnels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BZD : toxiques FONCTIONNELS, bénins ; coma HYPOTONIQUE ; anticonvulsivants (antidote FLUMAZÉNIL).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Ecstasy : sympathomimétique → MYDRIASE.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antidote des BZD = naloxone » — c'est le FLUMAZÉNIL.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l'ecstasy donne un myosis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BZD/ecstas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>y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Intoxication au paracétamol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Hépatotoxicité RETARDÉE ; antidote = N-ACÉTYLCYSTÉINE le plus tôt possible ; surveiller le TP (&lt; 50 % = gravité).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Seuil toxique </w:t>
      </w:r>
      <w:r w:rsidRPr="00165C40">
        <w:rPr>
          <w:rFonts w:ascii="Courier New" w:hAnsi="Courier New" w:cs="Courier New"/>
        </w:rPr>
        <w:t>≈</w:t>
      </w:r>
      <w:r w:rsidRPr="00165C40">
        <w:rPr>
          <w:rFonts w:ascii="LMRoman10" w:hAnsi="LMRoman10"/>
        </w:rPr>
        <w:t xml:space="preserve"> 200 mg/L </w:t>
      </w:r>
      <w:r w:rsidRPr="00165C40">
        <w:rPr>
          <w:rFonts w:ascii="LMRoman10" w:hAnsi="LMRoman10" w:cs="LMRoman10"/>
        </w:rPr>
        <w:t>à</w:t>
      </w:r>
      <w:r w:rsidRPr="00165C40">
        <w:rPr>
          <w:rFonts w:ascii="LMRoman10" w:hAnsi="LMRoman10"/>
        </w:rPr>
        <w:t xml:space="preserve"> H4 (nomogramme de Rumack) ; traitement = lavage pr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coce + NAC.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épuration extra-rénale / albumine » comme traitement du paracétamol.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Paracétamol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Intoxication au CO &amp; toxiques dialysables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CO : gaz inodore, incolore, insipide ; affinité pour l'Hb &gt;&gt; O</w:t>
      </w:r>
      <w:r w:rsidRPr="00165C40">
        <w:rPr>
          <w:rFonts w:ascii="Cambria Math" w:hAnsi="Cambria Math" w:cs="Cambria Math"/>
        </w:rPr>
        <w:t>₂</w:t>
      </w:r>
      <w:r w:rsidRPr="00165C40">
        <w:rPr>
          <w:rFonts w:ascii="LMRoman10" w:hAnsi="LMRoman10"/>
        </w:rPr>
        <w:t xml:space="preserve"> ; S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QUELLES neurologiques possibles ; GRAVE chez la femme enceinte ; antidote = OXYG</w:t>
      </w:r>
      <w:r w:rsidRPr="00165C40">
        <w:rPr>
          <w:rFonts w:ascii="LMRoman10" w:hAnsi="LMRoman10" w:cs="LMRoman10"/>
        </w:rPr>
        <w:t>È</w:t>
      </w:r>
      <w:r w:rsidRPr="00165C40">
        <w:rPr>
          <w:rFonts w:ascii="LMRoman10" w:hAnsi="LMRoman10"/>
        </w:rPr>
        <w:t>NE (</w:t>
      </w:r>
      <w:r w:rsidRPr="00165C40">
        <w:rPr>
          <w:rFonts w:ascii="LMRoman10" w:hAnsi="LMRoman10" w:cs="LMRoman10"/>
        </w:rPr>
        <w:t>±</w:t>
      </w:r>
      <w:r w:rsidRPr="00165C40">
        <w:rPr>
          <w:rFonts w:ascii="LMRoman10" w:hAnsi="LMRoman10"/>
        </w:rPr>
        <w:t xml:space="preserve"> oxyg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noth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rapie hyperbare).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Toxiques DIALYSABLES : méthanol, éthylène glycol, lithium, salicylés.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</w:t>
      </w:r>
      <w:r w:rsidRPr="00165C40">
        <w:rPr>
          <w:rFonts w:ascii="LMRoman10" w:hAnsi="LMRoman10"/>
          <w:i/>
          <w:iCs/>
          <w:color w:val="B45309"/>
        </w:rPr>
        <w:t>AUX : « l'oligurie est un signe caractéristique de l'intoxication au CO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CO récurrent.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t>[RANG 7] ÉTATS DE CHOC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Réanimation  •  ~5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qSOFA (PAS </w:t>
      </w:r>
      <w:r w:rsidRPr="00165C40">
        <w:rPr>
          <w:rFonts w:ascii="Courier New" w:hAnsi="Courier New" w:cs="Courier New"/>
          <w:i/>
          <w:iCs/>
          <w:color w:val="404040"/>
        </w:rPr>
        <w:t>≤</w:t>
      </w:r>
      <w:r w:rsidRPr="00165C40">
        <w:rPr>
          <w:rFonts w:ascii="LMRoman10" w:hAnsi="LMRoman10"/>
          <w:i/>
          <w:iCs/>
          <w:color w:val="404040"/>
        </w:rPr>
        <w:t xml:space="preserve"> 100 </w:t>
      </w:r>
      <w:r w:rsidRPr="00165C40">
        <w:rPr>
          <w:rFonts w:ascii="LMRoman10" w:hAnsi="LMRoman10" w:cs="LMRoman10"/>
          <w:i/>
          <w:iCs/>
          <w:color w:val="404040"/>
        </w:rPr>
        <w:t>·</w:t>
      </w:r>
      <w:r w:rsidRPr="00165C40">
        <w:rPr>
          <w:rFonts w:ascii="LMRoman10" w:hAnsi="LMRoman10"/>
          <w:i/>
          <w:iCs/>
          <w:color w:val="404040"/>
        </w:rPr>
        <w:t xml:space="preserve"> FR </w:t>
      </w:r>
      <w:r w:rsidRPr="00165C40">
        <w:rPr>
          <w:rFonts w:ascii="Courier New" w:hAnsi="Courier New" w:cs="Courier New"/>
          <w:i/>
          <w:iCs/>
          <w:color w:val="404040"/>
        </w:rPr>
        <w:t>≥</w:t>
      </w:r>
      <w:r w:rsidRPr="00165C40">
        <w:rPr>
          <w:rFonts w:ascii="LMRoman10" w:hAnsi="LMRoman10"/>
          <w:i/>
          <w:iCs/>
          <w:color w:val="404040"/>
        </w:rPr>
        <w:t xml:space="preserve"> 22 </w:t>
      </w:r>
      <w:r w:rsidRPr="00165C40">
        <w:rPr>
          <w:rFonts w:ascii="LMRoman10" w:hAnsi="LMRoman10" w:cs="LMRoman10"/>
          <w:i/>
          <w:iCs/>
          <w:color w:val="404040"/>
        </w:rPr>
        <w:t>·</w:t>
      </w:r>
      <w:r w:rsidRPr="00165C40">
        <w:rPr>
          <w:rFonts w:ascii="LMRoman10" w:hAnsi="LMRoman10"/>
          <w:i/>
          <w:iCs/>
          <w:color w:val="404040"/>
        </w:rPr>
        <w:t xml:space="preserve"> confusion) </w:t>
      </w:r>
      <w:r w:rsidRPr="00165C40">
        <w:rPr>
          <w:rFonts w:ascii="LMRoman10" w:hAnsi="LMRoman10" w:cs="LMRoman10"/>
          <w:i/>
          <w:iCs/>
          <w:color w:val="404040"/>
        </w:rPr>
        <w:t>·</w:t>
      </w:r>
      <w:r w:rsidRPr="00165C40">
        <w:rPr>
          <w:rFonts w:ascii="LMRoman10" w:hAnsi="LMRoman10"/>
          <w:i/>
          <w:iCs/>
          <w:color w:val="404040"/>
        </w:rPr>
        <w:t xml:space="preserve"> Classification de Ring de l'anaphylaxie I</w:t>
      </w:r>
      <w:r w:rsidRPr="00165C40">
        <w:rPr>
          <w:rFonts w:ascii="LMRoman10" w:hAnsi="LMRoman10" w:cs="LMRoman10"/>
          <w:i/>
          <w:iCs/>
          <w:color w:val="404040"/>
        </w:rPr>
        <w:t>–</w:t>
      </w:r>
      <w:r w:rsidRPr="00165C40">
        <w:rPr>
          <w:rFonts w:ascii="LMRoman10" w:hAnsi="LMRoman10"/>
          <w:i/>
          <w:iCs/>
          <w:color w:val="404040"/>
        </w:rPr>
        <w:t xml:space="preserve">IV </w:t>
      </w:r>
      <w:r w:rsidRPr="00165C40">
        <w:rPr>
          <w:rFonts w:ascii="LMRoman10" w:hAnsi="LMRoman10" w:cs="LMRoman10"/>
          <w:i/>
          <w:iCs/>
          <w:color w:val="404040"/>
        </w:rPr>
        <w:t>·</w:t>
      </w:r>
      <w:r w:rsidRPr="00165C40">
        <w:rPr>
          <w:rFonts w:ascii="LMRoman10" w:hAnsi="LMRoman10"/>
          <w:i/>
          <w:iCs/>
          <w:color w:val="404040"/>
        </w:rPr>
        <w:t xml:space="preserve"> Profils h</w:t>
      </w:r>
      <w:r w:rsidRPr="00165C40">
        <w:rPr>
          <w:rFonts w:ascii="LMRoman10" w:hAnsi="LMRoman10" w:cs="LMRoman10"/>
          <w:i/>
          <w:iCs/>
          <w:color w:val="404040"/>
        </w:rPr>
        <w:t>é</w:t>
      </w:r>
      <w:r w:rsidRPr="00165C40">
        <w:rPr>
          <w:rFonts w:ascii="LMRoman10" w:hAnsi="LMRoman10"/>
          <w:i/>
          <w:iCs/>
          <w:color w:val="404040"/>
        </w:rPr>
        <w:t>modynamique</w:t>
      </w:r>
      <w:r w:rsidRPr="00165C40">
        <w:rPr>
          <w:rFonts w:ascii="LMRoman10" w:hAnsi="LMRoman10"/>
          <w:i/>
          <w:iCs/>
          <w:color w:val="404040"/>
        </w:rPr>
        <w:t>s des chocs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Profils hémodynamiques des chocs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HYPOVOLÉMIQUE : ↓ débit cardiaque, ↑ RVS, ↓ pressions de remplissage.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CARDIOGÉNIQUE : ↓ débit (index cardiaque &lt; 2,2 L/min/m²), ↑ RVS, PAPO &gt; 18.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DISTRIBUTIF (septique/anaphylactique) : débit normal ou ↑, RVS EF</w:t>
      </w:r>
      <w:r w:rsidRPr="00165C40">
        <w:rPr>
          <w:rFonts w:ascii="LMRoman10" w:hAnsi="LMRoman10"/>
        </w:rPr>
        <w:t>FONDRÉES.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Lactates ARTÉRIELS = marqueur diagnostique ET pronostique (sévérité + acidose métabolique).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Profils hémodynamiques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Choc cardiogénique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Cause la plus fréquente = INFARCTUS du myocarde / SCA.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Critère hémodynamique = index cardiaque &lt; 2,2 L/min/m² ; traitement inotrope = DOBUTAMINE.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Segoe UI Symbol" w:hAnsi="Segoe UI Symbol" w:cs="Segoe UI Symbol"/>
          <w:i/>
          <w:iCs/>
          <w:color w:val="B45309"/>
        </w:rPr>
        <w:t>⚠</w:t>
      </w:r>
      <w:r w:rsidRPr="00165C40">
        <w:rPr>
          <w:rFonts w:ascii="LMRoman10" w:hAnsi="LMRoman10"/>
          <w:i/>
          <w:iCs/>
          <w:color w:val="B45309"/>
        </w:rPr>
        <w:t xml:space="preserve"> Anomalie corrigé officiel N2026 (Q13) : la « cause la plus fréquente » donnée comme « infection du myocarde » est ERRONÉE — la réponse attendue par le cours est </w:t>
      </w:r>
      <w:r w:rsidRPr="00165C40">
        <w:rPr>
          <w:rFonts w:ascii="LMRoman10" w:hAnsi="LMRoman10"/>
          <w:i/>
          <w:iCs/>
          <w:color w:val="B45309"/>
        </w:rPr>
        <w:t>l'IDM/SCA. À connaître pour ne pas être déstabilisé.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Cause IDM récurrent ~12× ; anomalie clé N2026.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Choc anaphylactique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Traitement de 1</w:t>
      </w:r>
      <w:r w:rsidRPr="00165C40">
        <w:rPr>
          <w:rFonts w:ascii="Courier New" w:hAnsi="Courier New" w:cs="Courier New"/>
        </w:rPr>
        <w:t>ʳ</w:t>
      </w:r>
      <w:r w:rsidRPr="00165C40">
        <w:rPr>
          <w:rFonts w:ascii="Courier New" w:hAnsi="Courier New" w:cs="Courier New"/>
        </w:rPr>
        <w:t>ᵉ</w:t>
      </w:r>
      <w:r w:rsidRPr="00165C40">
        <w:rPr>
          <w:rFonts w:ascii="LMRoman10" w:hAnsi="LMRoman10"/>
        </w:rPr>
        <w:t xml:space="preserve"> intention = ADRÉNALINE (IM puis titration IV).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Classification de Ring : grade IV = arrêt cardio-respiratoire.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Les a</w:t>
      </w:r>
      <w:r w:rsidRPr="00165C40">
        <w:rPr>
          <w:rFonts w:ascii="LMRoman10" w:hAnsi="LMRoman10"/>
        </w:rPr>
        <w:t>ntihistaminiques ne sont PAS un traitement du choc lui-même.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Segoe UI Symbol" w:hAnsi="Segoe UI Symbol" w:cs="Segoe UI Symbol"/>
          <w:i/>
          <w:iCs/>
          <w:color w:val="B45309"/>
        </w:rPr>
        <w:t>⚠</w:t>
      </w:r>
      <w:r w:rsidRPr="00165C40">
        <w:rPr>
          <w:rFonts w:ascii="LMRoman10" w:hAnsi="LMRoman10"/>
          <w:i/>
          <w:iCs/>
          <w:color w:val="B45309"/>
        </w:rPr>
        <w:t xml:space="preserve"> Anomalie corrigé officiel N2026 (Q15) : « noradrénaline en 1</w:t>
      </w:r>
      <w:r w:rsidRPr="00165C40">
        <w:rPr>
          <w:rFonts w:ascii="Courier New" w:hAnsi="Courier New" w:cs="Courier New"/>
          <w:i/>
          <w:iCs/>
          <w:color w:val="B45309"/>
        </w:rPr>
        <w:t>ʳ</w:t>
      </w:r>
      <w:r w:rsidRPr="00165C40">
        <w:rPr>
          <w:rFonts w:ascii="Courier New" w:hAnsi="Courier New" w:cs="Courier New"/>
          <w:i/>
          <w:iCs/>
          <w:color w:val="B45309"/>
        </w:rPr>
        <w:t>ᵉ</w:t>
      </w:r>
      <w:r w:rsidRPr="00165C40">
        <w:rPr>
          <w:rFonts w:ascii="LMRoman10" w:hAnsi="LMRoman10"/>
          <w:i/>
          <w:iCs/>
          <w:color w:val="B45309"/>
        </w:rPr>
        <w:t xml:space="preserve"> intention » est ERRONÉ — le traitement de 1</w:t>
      </w:r>
      <w:r w:rsidRPr="00165C40">
        <w:rPr>
          <w:rFonts w:ascii="Courier New" w:hAnsi="Courier New" w:cs="Courier New"/>
          <w:i/>
          <w:iCs/>
          <w:color w:val="B45309"/>
        </w:rPr>
        <w:t>ʳ</w:t>
      </w:r>
      <w:r w:rsidRPr="00165C40">
        <w:rPr>
          <w:rFonts w:ascii="Courier New" w:hAnsi="Courier New" w:cs="Courier New"/>
          <w:i/>
          <w:iCs/>
          <w:color w:val="B45309"/>
        </w:rPr>
        <w:t>ᵉ</w:t>
      </w:r>
      <w:r w:rsidRPr="00165C40">
        <w:rPr>
          <w:rFonts w:ascii="LMRoman10" w:hAnsi="LMRoman10"/>
          <w:i/>
          <w:iCs/>
          <w:color w:val="B45309"/>
        </w:rPr>
        <w:t xml:space="preserve"> intention du choc anaphylactique est l'ADRÉNALINE.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Adrénaline récurrent ~8× ; anomalie clé N2026.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Sepsis &amp; choc septique — qSOFA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qSOFA (2/3) : PAS </w:t>
      </w:r>
      <w:r w:rsidRPr="00165C40">
        <w:rPr>
          <w:rFonts w:ascii="Courier New" w:hAnsi="Courier New" w:cs="Courier New"/>
        </w:rPr>
        <w:t>≤</w:t>
      </w:r>
      <w:r w:rsidRPr="00165C40">
        <w:rPr>
          <w:rFonts w:ascii="LMRoman10" w:hAnsi="LMRoman10"/>
        </w:rPr>
        <w:t xml:space="preserve"> 100 mmHg + FR </w:t>
      </w:r>
      <w:r w:rsidRPr="00165C40">
        <w:rPr>
          <w:rFonts w:ascii="Courier New" w:hAnsi="Courier New" w:cs="Courier New"/>
        </w:rPr>
        <w:t>≥</w:t>
      </w:r>
      <w:r w:rsidRPr="00165C40">
        <w:rPr>
          <w:rFonts w:ascii="LMRoman10" w:hAnsi="LMRoman10"/>
        </w:rPr>
        <w:t xml:space="preserve"> 22/min + confusion (Glasgow &lt; 15).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SIRS = étape initiale, peut être NON infectieux. Physiopathologie du choc septique : atteinte de l'ENDOT</w:t>
      </w:r>
      <w:r w:rsidRPr="00165C40">
        <w:rPr>
          <w:rFonts w:ascii="LMRoman10" w:hAnsi="LMRoman10"/>
        </w:rPr>
        <w:t>HÉLIUM.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Corticoïde utilisé = HYDROCORTISONE. Vasopresseur de référence = NORADRÉNALINE.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Segoe UI Symbol" w:hAnsi="Segoe UI Symbol" w:cs="Segoe UI Symbol"/>
          <w:i/>
          <w:iCs/>
          <w:color w:val="B45309"/>
        </w:rPr>
        <w:t>⚠</w:t>
      </w:r>
      <w:r w:rsidRPr="00165C40">
        <w:rPr>
          <w:rFonts w:ascii="LMRoman10" w:hAnsi="LMRoman10"/>
          <w:i/>
          <w:iCs/>
          <w:color w:val="B45309"/>
        </w:rPr>
        <w:t xml:space="preserve"> Anomalie corrigé officiel N2026 (Q16) : la combinaison incluant la SpO</w:t>
      </w:r>
      <w:r w:rsidRPr="00165C40">
        <w:rPr>
          <w:rFonts w:ascii="Cambria Math" w:hAnsi="Cambria Math" w:cs="Cambria Math"/>
          <w:i/>
          <w:iCs/>
          <w:color w:val="B45309"/>
        </w:rPr>
        <w:t>₂</w:t>
      </w:r>
      <w:r w:rsidRPr="00165C40">
        <w:rPr>
          <w:rFonts w:ascii="LMRoman10" w:hAnsi="LMRoman10"/>
          <w:i/>
          <w:iCs/>
          <w:color w:val="B45309"/>
        </w:rPr>
        <w:t xml:space="preserve"> est ERRON</w:t>
      </w:r>
      <w:r w:rsidRPr="00165C40">
        <w:rPr>
          <w:rFonts w:ascii="LMRoman10" w:hAnsi="LMRoman10" w:cs="LMRoman10"/>
          <w:i/>
          <w:iCs/>
          <w:color w:val="B45309"/>
        </w:rPr>
        <w:t>É</w:t>
      </w:r>
      <w:r w:rsidRPr="00165C40">
        <w:rPr>
          <w:rFonts w:ascii="LMRoman10" w:hAnsi="LMRoman10"/>
          <w:i/>
          <w:iCs/>
          <w:color w:val="B45309"/>
        </w:rPr>
        <w:t xml:space="preserve">E </w:t>
      </w:r>
      <w:r w:rsidRPr="00165C40">
        <w:rPr>
          <w:rFonts w:ascii="LMRoman10" w:hAnsi="LMRoman10" w:cs="LMRoman10"/>
          <w:i/>
          <w:iCs/>
          <w:color w:val="B45309"/>
        </w:rPr>
        <w:t>—</w:t>
      </w:r>
      <w:r w:rsidRPr="00165C40">
        <w:rPr>
          <w:rFonts w:ascii="LMRoman10" w:hAnsi="LMRoman10"/>
          <w:i/>
          <w:iCs/>
          <w:color w:val="B45309"/>
        </w:rPr>
        <w:t xml:space="preserve"> le qSOFA ne comporte PAS la SpO</w:t>
      </w:r>
      <w:r w:rsidRPr="00165C40">
        <w:rPr>
          <w:rFonts w:ascii="Cambria Math" w:hAnsi="Cambria Math" w:cs="Cambria Math"/>
          <w:i/>
          <w:iCs/>
          <w:color w:val="B45309"/>
        </w:rPr>
        <w:t>₂</w:t>
      </w:r>
      <w:r w:rsidRPr="00165C40">
        <w:rPr>
          <w:rFonts w:ascii="LMRoman10" w:hAnsi="LMRoman10"/>
          <w:i/>
          <w:iCs/>
          <w:color w:val="B45309"/>
        </w:rPr>
        <w:t xml:space="preserve"> (crit</w:t>
      </w:r>
      <w:r w:rsidRPr="00165C40">
        <w:rPr>
          <w:rFonts w:ascii="LMRoman10" w:hAnsi="LMRoman10" w:cs="LMRoman10"/>
          <w:i/>
          <w:iCs/>
          <w:color w:val="B45309"/>
        </w:rPr>
        <w:t>è</w:t>
      </w:r>
      <w:r w:rsidRPr="00165C40">
        <w:rPr>
          <w:rFonts w:ascii="LMRoman10" w:hAnsi="LMRoman10"/>
          <w:i/>
          <w:iCs/>
          <w:color w:val="B45309"/>
        </w:rPr>
        <w:t>res = PAS, FR, confusion).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qSOFA réc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>urrent ~9× ; anomalie clé N2026.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Choc hémorragique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= choc hypovolémique. Triade létale : coagulopathie + acidose + hypothermie.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Traitement PRINCIPAL = GESTE D'HÉMOSTASE (le remplissage/transfusion ne fait que temporiser).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Choc hémorragique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Mo</w:t>
      </w: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nitorage de la volémie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Outils : ÉCHOCARDIOGRAPHIE, cathéter droit, PiCCO (épreuve de remplissage / variations respiratoires).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O2024, J2022.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t>[RANG 8] DOULEUR — ÉVALUATION &amp; PALIERS OMS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Soins palliatifs  •  ~2-3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Paliers antalgiques OMS (3 niveaux) · Échelles EVA / EN / DN4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Mécanismes &amp; généralités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La douleur est une urgence thérapeutique, un motif fréquent, et reste SOUS-estimée.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Douleur par excès de NOCICEPTION = la plus fréquente ; fibres A</w:t>
      </w:r>
      <w:r w:rsidRPr="00165C40">
        <w:rPr>
          <w:rFonts w:ascii="Courier New" w:hAnsi="Courier New" w:cs="Courier New"/>
        </w:rPr>
        <w:t>δ</w:t>
      </w:r>
      <w:r w:rsidRPr="00165C40">
        <w:rPr>
          <w:rFonts w:ascii="LMRoman10" w:hAnsi="LMRoman10"/>
        </w:rPr>
        <w:t xml:space="preserve"> (rapides) + fibre</w:t>
      </w:r>
      <w:r w:rsidRPr="00165C40">
        <w:rPr>
          <w:rFonts w:ascii="LMRoman10" w:hAnsi="LMRoman10"/>
        </w:rPr>
        <w:t>s C (lentes, amyéliniques).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Une douleur peut être MIXTE (nociceptive + neuropathique).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Segoe UI Symbol" w:hAnsi="Segoe UI Symbol" w:cs="Segoe UI Symbol"/>
          <w:i/>
          <w:iCs/>
          <w:color w:val="B45309"/>
        </w:rPr>
        <w:t>⚠</w:t>
      </w:r>
      <w:r w:rsidRPr="00165C40">
        <w:rPr>
          <w:rFonts w:ascii="LMRoman10" w:hAnsi="LMRoman10"/>
          <w:i/>
          <w:iCs/>
          <w:color w:val="B45309"/>
        </w:rPr>
        <w:t xml:space="preserve"> Discordance inter-sessions sur le « nombre d'étapes » de la transmission et sur les fibres myélinisées — bien relire l'énoncé exact avant de répondre.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Mécanismes 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>récurrent (avec pièges de formulation).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Évaluation de la douleur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Évaluation INDISPENSABLE avant ET après le traitement, avec la MÊME échelle.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EVA : réglette avec curseur côté patient / graduation côté soignant (très utilisée) ; réalisable chez le sujet âgé (sinon hétéro-évaluation).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DN4 = dépistage de la douleur NEUROPATHIQUE.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Évaluation/EVA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Paliers antalgiques OMS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3 paliers : I no</w:t>
      </w:r>
      <w:r w:rsidRPr="00165C40">
        <w:rPr>
          <w:rFonts w:ascii="LMRoman10" w:hAnsi="LMRoman10"/>
        </w:rPr>
        <w:t>n-opioïdes (paracétamol, AINS, néfopam) ; II opioïdes faibles (tramadol, codéine) ; III opioïdes forts (morphine, fentanyl).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Morphine = opioïde de référence (titration).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Associations possibles : palier I + II, I + III, I + bloc/co-analgésique.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i</w:t>
      </w:r>
      <w:r w:rsidRPr="00165C40">
        <w:rPr>
          <w:rFonts w:ascii="LMRoman10" w:hAnsi="LMRoman10"/>
          <w:i/>
          <w:iCs/>
          <w:color w:val="B45309"/>
        </w:rPr>
        <w:t>l existe 2 (ou 4) paliers OMS » — il y en a 3.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associer un opioïde faible (II) ET un opioïde fort (III) » — association NON recommandée.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Paliers OMS récurrent.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t>[RANG 9] BRÛLURES — RÉANIMATION DU BRÛLÉ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Réanimation / Plastique  •  ~1-2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Formule de Parkland (4 mL × kg × %SCB / 24 h) · Règle des 9 de Wallace · Index de Baux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Choc du brûlé &amp; physiopathologie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Choc du brûlé = hypovolémique avec HÉMOCONCENTRATION (↑ hématocrite).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Immunodépression ; hypokaliémie possible dès J3.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Métabolisme =</w:t>
      </w:r>
      <w:r w:rsidRPr="00165C40">
        <w:rPr>
          <w:rFonts w:ascii="LMRoman10" w:hAnsi="LMRoman10"/>
        </w:rPr>
        <w:t xml:space="preserve"> hypercatabolisme (état catabolique).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 choc du brûlé s'accompagne d'une hémoDILUTION » — c'est une hémoCONCENTRATION (récurrent ~6×).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il existe une sécrétion d'hormones anabolisantes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Hémoconcentration récurrent ~6×.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Réanimatio</w:t>
      </w: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n hydrique — formule de Parkland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Parkland : 4 mL × poids(kg) × %SCB sur 24 h ; la MOITIÉ sur les 8 premières heures, l'autre moitié sur les 16 h suivantes (demi-Parkland = 2 mL).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Surveillance = DIURÈSE + hématocrite.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Règle des 9 de Wallace pour la surface ; 3</w:t>
      </w:r>
      <w:r w:rsidRPr="00165C40">
        <w:rPr>
          <w:rFonts w:ascii="Courier New" w:hAnsi="Courier New" w:cs="Courier New"/>
        </w:rPr>
        <w:t>ᵉ</w:t>
      </w:r>
      <w:r w:rsidRPr="00165C40">
        <w:rPr>
          <w:rFonts w:ascii="LMRoman10" w:hAnsi="LMRoman10"/>
        </w:rPr>
        <w:t xml:space="preserve"> degré = anesthésie de la zone.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albumine en préhospitalier dès la 1</w:t>
      </w:r>
      <w:r w:rsidRPr="00165C40">
        <w:rPr>
          <w:rFonts w:ascii="Courier New" w:hAnsi="Courier New" w:cs="Courier New"/>
          <w:i/>
          <w:iCs/>
          <w:color w:val="B45309"/>
        </w:rPr>
        <w:t>ʳ</w:t>
      </w:r>
      <w:r w:rsidRPr="00165C40">
        <w:rPr>
          <w:rFonts w:ascii="Courier New" w:hAnsi="Courier New" w:cs="Courier New"/>
          <w:i/>
          <w:iCs/>
          <w:color w:val="B45309"/>
        </w:rPr>
        <w:t>ᵉ</w:t>
      </w:r>
      <w:r w:rsidRPr="00165C40">
        <w:rPr>
          <w:rFonts w:ascii="LMRoman10" w:hAnsi="LMRoman10"/>
          <w:i/>
          <w:iCs/>
          <w:color w:val="B45309"/>
        </w:rPr>
        <w:t xml:space="preserve"> heure ».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la diurèse ne fait pas partie de la surveillance ».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refroidir avec de l'eau glacée » ; « ATB systémat</w:t>
      </w:r>
      <w:r w:rsidRPr="00165C40">
        <w:rPr>
          <w:rFonts w:ascii="LMRoman10" w:hAnsi="LMRoman10"/>
          <w:i/>
          <w:iCs/>
          <w:color w:val="B45309"/>
        </w:rPr>
        <w:t>ique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Parkland/surveillance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Gravité, brûlure électrique &amp; pronostic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Gravité = surface + profondeur + localisation + lésions associées + terrain.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Brûlure électrique haut voltage (&gt; 1000 V) : rechercher les lésions viscérales ; lésion cutanée souvent trompeuse ; réanimation hydrique adaptée (rhabdomyolyse).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Index de Baux (âge + %SCB) = pronostic.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une brûlure du 1</w:t>
      </w:r>
      <w:r w:rsidRPr="00165C40">
        <w:rPr>
          <w:rFonts w:ascii="Courier New" w:hAnsi="Courier New" w:cs="Courier New"/>
          <w:i/>
          <w:iCs/>
          <w:color w:val="B45309"/>
        </w:rPr>
        <w:t>ᵉ</w:t>
      </w:r>
      <w:r w:rsidRPr="00165C40">
        <w:rPr>
          <w:rFonts w:ascii="LMRoman10" w:hAnsi="LMRoman10"/>
          <w:i/>
          <w:iCs/>
          <w:color w:val="B45309"/>
        </w:rPr>
        <w:t xml:space="preserve"> degré peut être qualifiée</w:t>
      </w:r>
      <w:r w:rsidRPr="00165C40">
        <w:rPr>
          <w:rFonts w:ascii="LMRoman10" w:hAnsi="LMRoman10"/>
          <w:i/>
          <w:iCs/>
          <w:color w:val="B45309"/>
        </w:rPr>
        <w:t xml:space="preserve"> de grave ».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O2024, J2021.</w:t>
      </w:r>
    </w:p>
    <w:p w:rsidR="00FC3E15" w:rsidRPr="00165C40" w:rsidRDefault="00165C40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165C40">
        <w:rPr>
          <w:rFonts w:ascii="LMRoman10" w:hAnsi="LMRoman10"/>
        </w:rPr>
        <w:t>[RANG 10] INFECTIONS ASSOCIÉES AUX SOINS (PNAVM ++)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8B0000"/>
          <w:sz w:val="22"/>
          <w:szCs w:val="22"/>
        </w:rPr>
        <w:t>Réanimation  •  ~1 Q/examen</w:t>
      </w:r>
    </w:p>
    <w:p w:rsidR="00FC3E15" w:rsidRPr="00165C40" w:rsidRDefault="00165C40">
      <w:pPr>
        <w:spacing w:before="40" w:after="4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</w:rPr>
        <w:t>📖</w:t>
      </w:r>
      <w:r w:rsidRPr="00165C40">
        <w:rPr>
          <w:rFonts w:ascii="LMRoman10" w:hAnsi="LMRoman10"/>
          <w:i/>
          <w:iCs/>
          <w:color w:val="404040"/>
        </w:rPr>
        <w:t xml:space="preserve"> Définition IAS (délai </w:t>
      </w:r>
      <w:r w:rsidRPr="00165C40">
        <w:rPr>
          <w:rFonts w:ascii="Courier New" w:hAnsi="Courier New" w:cs="Courier New"/>
          <w:i/>
          <w:iCs/>
          <w:color w:val="404040"/>
        </w:rPr>
        <w:t>≥</w:t>
      </w:r>
      <w:r w:rsidRPr="00165C40">
        <w:rPr>
          <w:rFonts w:ascii="LMRoman10" w:hAnsi="LMRoman10"/>
          <w:i/>
          <w:iCs/>
          <w:color w:val="404040"/>
        </w:rPr>
        <w:t xml:space="preserve"> 48 h) </w:t>
      </w:r>
      <w:r w:rsidRPr="00165C40">
        <w:rPr>
          <w:rFonts w:ascii="LMRoman10" w:hAnsi="LMRoman10" w:cs="LMRoman10"/>
          <w:i/>
          <w:iCs/>
          <w:color w:val="404040"/>
        </w:rPr>
        <w:t>·</w:t>
      </w:r>
      <w:r w:rsidRPr="00165C40">
        <w:rPr>
          <w:rFonts w:ascii="LMRoman10" w:hAnsi="LMRoman10"/>
          <w:i/>
          <w:iCs/>
          <w:color w:val="404040"/>
        </w:rPr>
        <w:t xml:space="preserve"> Crit</w:t>
      </w:r>
      <w:r w:rsidRPr="00165C40">
        <w:rPr>
          <w:rFonts w:ascii="LMRoman10" w:hAnsi="LMRoman10" w:cs="LMRoman10"/>
          <w:i/>
          <w:iCs/>
          <w:color w:val="404040"/>
        </w:rPr>
        <w:t>è</w:t>
      </w:r>
      <w:r w:rsidRPr="00165C40">
        <w:rPr>
          <w:rFonts w:ascii="LMRoman10" w:hAnsi="LMRoman10"/>
          <w:i/>
          <w:iCs/>
          <w:color w:val="404040"/>
        </w:rPr>
        <w:t>res diagnostiques de la pneumonie acquise sous ventilation m</w:t>
      </w:r>
      <w:r w:rsidRPr="00165C40">
        <w:rPr>
          <w:rFonts w:ascii="LMRoman10" w:hAnsi="LMRoman10" w:cs="LMRoman10"/>
          <w:i/>
          <w:iCs/>
          <w:color w:val="404040"/>
        </w:rPr>
        <w:t>é</w:t>
      </w:r>
      <w:r w:rsidRPr="00165C40">
        <w:rPr>
          <w:rFonts w:ascii="LMRoman10" w:hAnsi="LMRoman10"/>
          <w:i/>
          <w:iCs/>
          <w:color w:val="404040"/>
        </w:rPr>
        <w:t>canique (PNAVM)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transmission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IAS</w:t>
      </w:r>
      <w:r w:rsidRPr="00165C40">
        <w:rPr>
          <w:rFonts w:ascii="LMRoman10" w:hAnsi="LMRoman10"/>
        </w:rPr>
        <w:t xml:space="preserve"> = infection survenant au décours d'une prise en charge thérapeutique OU palliative ; délai </w:t>
      </w:r>
      <w:r w:rsidRPr="00165C40">
        <w:rPr>
          <w:rFonts w:ascii="Courier New" w:hAnsi="Courier New" w:cs="Courier New"/>
        </w:rPr>
        <w:t>≥</w:t>
      </w:r>
      <w:r w:rsidRPr="00165C40">
        <w:rPr>
          <w:rFonts w:ascii="LMRoman10" w:hAnsi="LMRoman10"/>
        </w:rPr>
        <w:t xml:space="preserve"> 48 h apr</w:t>
      </w:r>
      <w:r w:rsidRPr="00165C40">
        <w:rPr>
          <w:rFonts w:ascii="LMRoman10" w:hAnsi="LMRoman10" w:cs="LMRoman10"/>
        </w:rPr>
        <w:t>è</w:t>
      </w:r>
      <w:r w:rsidRPr="00165C40">
        <w:rPr>
          <w:rFonts w:ascii="LMRoman10" w:hAnsi="LMRoman10"/>
        </w:rPr>
        <w:t>s l'admission.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Transmise surtout par les MAINS ; grave chez le sujet âgé.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Définition IAS récurrent.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Pneumonie nosocomiale / PNAVM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 xml:space="preserve">Survient après 48 h </w:t>
      </w:r>
      <w:r w:rsidRPr="00165C40">
        <w:rPr>
          <w:rFonts w:ascii="LMRoman10" w:hAnsi="LMRoman10"/>
        </w:rPr>
        <w:t>; 1</w:t>
      </w:r>
      <w:r w:rsidRPr="00165C40">
        <w:rPr>
          <w:rFonts w:ascii="Courier New" w:hAnsi="Courier New" w:cs="Courier New"/>
        </w:rPr>
        <w:t>ʳ</w:t>
      </w:r>
      <w:r w:rsidRPr="00165C40">
        <w:rPr>
          <w:rFonts w:ascii="Courier New" w:hAnsi="Courier New" w:cs="Courier New"/>
        </w:rPr>
        <w:t>ᵉ</w:t>
      </w:r>
      <w:r w:rsidRPr="00165C40">
        <w:rPr>
          <w:rFonts w:ascii="LMRoman10" w:hAnsi="LMRoman10"/>
        </w:rPr>
        <w:t xml:space="preserve"> cause d'IAS en réanimation ; germes = BGN.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lastRenderedPageBreak/>
        <w:t>Facteurs de risque : ventilation &gt; 6 j + troubles de conscience + traumatisme thoracique + troubles de déglutition + décubitus DORSAL.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Critère diagnostique MAJEUR : nouvel infiltrat alvéolaire (+ purulence +</w:t>
      </w:r>
      <w:r w:rsidRPr="00165C40">
        <w:rPr>
          <w:rFonts w:ascii="LMRoman10" w:hAnsi="LMRoman10"/>
        </w:rPr>
        <w:t xml:space="preserve"> hyperleucocytose ou leucopénie).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la pneumonie nosocomiale est définie après 24 h » — c'est 48 h.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germes = pneumocoque/H. influenzae » — ce sont des germes COMMUNAUTAIRES.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FAUX : « le décubitus VENTRAL est un facteur de risque » — il est PROTECTEUR.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PNAVM = item dominant des IAS.</w:t>
      </w:r>
    </w:p>
    <w:p w:rsidR="00FC3E15" w:rsidRPr="00165C40" w:rsidRDefault="00165C40">
      <w:pPr>
        <w:spacing w:before="16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8B0000"/>
          <w:sz w:val="22"/>
          <w:szCs w:val="22"/>
          <w:u w:val="single"/>
        </w:rPr>
        <w:t>Moyens diagnostiques &amp; autres IAS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Seuils : LBA 10</w:t>
      </w:r>
      <w:r w:rsidRPr="00165C40">
        <w:rPr>
          <w:rFonts w:ascii="Cambria Math" w:hAnsi="Cambria Math" w:cs="Cambria Math"/>
        </w:rPr>
        <w:t>⁴</w:t>
      </w:r>
      <w:r w:rsidRPr="00165C40">
        <w:rPr>
          <w:rFonts w:ascii="LMRoman10" w:hAnsi="LMRoman10"/>
        </w:rPr>
        <w:t>, aspiration trach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ale 10</w:t>
      </w:r>
      <w:r w:rsidRPr="00165C40">
        <w:rPr>
          <w:rFonts w:ascii="Cambria Math" w:hAnsi="Cambria Math" w:cs="Cambria Math"/>
        </w:rPr>
        <w:t>⁵</w:t>
      </w:r>
      <w:r w:rsidRPr="00165C40">
        <w:rPr>
          <w:rFonts w:ascii="LMRoman10" w:hAnsi="LMRoman10"/>
        </w:rPr>
        <w:t>, brossage prot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g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 xml:space="preserve"> (PDP) 10</w:t>
      </w:r>
      <w:r w:rsidRPr="00165C40">
        <w:rPr>
          <w:rFonts w:ascii="LMRoman10" w:hAnsi="LMRoman10" w:cs="LMRoman10"/>
        </w:rPr>
        <w:t>³</w:t>
      </w:r>
      <w:r w:rsidRPr="00165C40">
        <w:rPr>
          <w:rFonts w:ascii="LMRoman10" w:hAnsi="LMRoman10"/>
        </w:rPr>
        <w:t xml:space="preserve"> (= meilleur) ; sensibilit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 xml:space="preserve"> </w:t>
      </w:r>
      <w:r w:rsidRPr="00165C40">
        <w:rPr>
          <w:rFonts w:ascii="Courier New" w:hAnsi="Courier New" w:cs="Courier New"/>
        </w:rPr>
        <w:t>≠</w:t>
      </w:r>
      <w:r w:rsidRPr="00165C40">
        <w:rPr>
          <w:rFonts w:ascii="LMRoman10" w:hAnsi="LMRoman10"/>
        </w:rPr>
        <w:t xml:space="preserve"> 100 %.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Inf</w:t>
      </w:r>
      <w:r w:rsidRPr="00165C40">
        <w:rPr>
          <w:rFonts w:ascii="LMRoman10" w:hAnsi="LMRoman10"/>
        </w:rPr>
        <w:t>ection urinaire nosocomiale → sondage prolongé. Infection liée au cathéter (ILC) : 4</w:t>
      </w:r>
      <w:r w:rsidRPr="00165C40">
        <w:rPr>
          <w:rFonts w:ascii="Courier New" w:hAnsi="Courier New" w:cs="Courier New"/>
        </w:rPr>
        <w:t>ᵉ</w:t>
      </w:r>
      <w:r w:rsidRPr="00165C40">
        <w:rPr>
          <w:rFonts w:ascii="LMRoman10" w:hAnsi="LMRoman10"/>
        </w:rPr>
        <w:t xml:space="preserve"> cause ; diagnostic = hémocultures couplées (KT central + périphérique).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Infection du site opératoire (ISO) : délai 30 j (1 an si implant). La méningite post-périmédullair</w:t>
      </w:r>
      <w:r w:rsidRPr="00165C40">
        <w:rPr>
          <w:rFonts w:ascii="LMRoman10" w:hAnsi="LMRoman10"/>
        </w:rPr>
        <w:t>e est la MOINS fréquente.</w:t>
      </w:r>
    </w:p>
    <w:p w:rsidR="00FC3E15" w:rsidRPr="00165C40" w:rsidRDefault="00165C40">
      <w:pPr>
        <w:spacing w:before="2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165C40">
        <w:rPr>
          <w:rFonts w:ascii="LMRoman10" w:hAnsi="LMRoman10"/>
          <w:i/>
          <w:iCs/>
          <w:color w:val="404040"/>
          <w:sz w:val="18"/>
          <w:szCs w:val="18"/>
        </w:rPr>
        <w:t xml:space="preserve"> Moyens dx récurrent.</w:t>
      </w:r>
    </w:p>
    <w:p w:rsidR="00FC3E15" w:rsidRPr="00165C40" w:rsidRDefault="00165C40">
      <w:pPr>
        <w:rPr>
          <w:rFonts w:ascii="LMRoman10" w:hAnsi="LMRoman10"/>
        </w:rPr>
      </w:pPr>
      <w:r w:rsidRPr="00165C40">
        <w:rPr>
          <w:rFonts w:ascii="LMRoman10" w:hAnsi="LMRoman10"/>
        </w:rPr>
        <w:br w:type="page"/>
      </w:r>
    </w:p>
    <w:p w:rsidR="00FC3E15" w:rsidRPr="00165C40" w:rsidRDefault="00165C40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FC3E15" w:rsidRPr="00165C40" w:rsidRDefault="00165C40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165C40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165C40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</w:t>
      </w:r>
      <w:r w:rsidRPr="00165C40">
        <w:rPr>
          <w:rFonts w:ascii="LMRoman10" w:hAnsi="LMRoman10"/>
          <w:b/>
          <w:bCs/>
          <w:color w:val="991B1B"/>
          <w:sz w:val="22"/>
          <w:szCs w:val="22"/>
        </w:rPr>
        <w:t>.</w:t>
      </w:r>
    </w:p>
    <w:p w:rsidR="00FC3E15" w:rsidRPr="00165C40" w:rsidRDefault="00165C40">
      <w:pPr>
        <w:spacing w:before="80" w:after="12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FC3E15" w:rsidRPr="00165C40" w:rsidRDefault="00165C40">
      <w:pPr>
        <w:spacing w:before="120" w:after="60"/>
        <w:rPr>
          <w:rFonts w:ascii="LMRoman10" w:hAnsi="LMRoman10"/>
        </w:rPr>
      </w:pPr>
      <w:r w:rsidRPr="00165C40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Apparaître en question résiduelle ou rattrapage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Être recyclés à la dernière minute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Servir de "culture générale" médicale</w:t>
      </w:r>
    </w:p>
    <w:p w:rsidR="00FC3E15" w:rsidRPr="00165C40" w:rsidRDefault="00165C40">
      <w:pPr>
        <w:spacing w:before="20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FC3E15" w:rsidRPr="00165C40" w:rsidRDefault="00165C40">
      <w:pPr>
        <w:rPr>
          <w:rFonts w:ascii="LMRoman10" w:hAnsi="LMRoman10"/>
        </w:rPr>
      </w:pPr>
      <w:r w:rsidRPr="00165C40">
        <w:rPr>
          <w:rFonts w:ascii="LMRoman10" w:hAnsi="LMRoman10"/>
        </w:rPr>
        <w:br w:type="page"/>
      </w:r>
    </w:p>
    <w:p w:rsidR="00FC3E15" w:rsidRPr="00165C40" w:rsidRDefault="00165C40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URGENCES-RÉANIMATION • SOINS PALLIATIFS • C</w:t>
      </w:r>
      <w:r w:rsidRPr="00165C40">
        <w:rPr>
          <w:rFonts w:ascii="LMRoman10" w:hAnsi="LMRoman10"/>
          <w:b/>
          <w:bCs/>
          <w:color w:val="FFFFFF"/>
          <w:sz w:val="24"/>
          <w:szCs w:val="24"/>
        </w:rPr>
        <w:t>HIRURGIE PLASTIQUE</w:t>
      </w:r>
    </w:p>
    <w:p w:rsidR="00FC3E15" w:rsidRPr="00165C40" w:rsidRDefault="00165C40">
      <w:pPr>
        <w:pStyle w:val="Heading2"/>
        <w:rPr>
          <w:rFonts w:ascii="LMRoman10" w:hAnsi="LMRoman10"/>
        </w:rPr>
      </w:pPr>
      <w:r w:rsidRPr="00165C40">
        <w:rPr>
          <w:rFonts w:ascii="LMRoman10" w:hAnsi="LMRoman10"/>
        </w:rPr>
        <w:t>** CLASSIFICATIONS &amp; SCORES À MAÎTRISER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Score de Glasgow (3–15)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Y/4 + V/5 + M/6 ; TCG = GCS &lt; 9 ; M5 = LOCALISE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Critères de Vittel 2002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catégories : physiologiques / cinétique / anatomiques / réa préhosp / terrain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SDRA — définition de Berlin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P/F </w:t>
            </w:r>
            <w:r w:rsidRPr="00165C40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≤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300, PEP </w:t>
            </w:r>
            <w:r w:rsidRPr="00165C40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5, opacit</w:t>
            </w:r>
            <w:r w:rsidRPr="00165C40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é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s bilat</w:t>
            </w:r>
            <w:r w:rsidRPr="00165C40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é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rales, PAPO </w:t>
            </w:r>
            <w:r w:rsidRPr="00165C40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≤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18 ; s</w:t>
            </w:r>
            <w:r w:rsidRPr="00165C40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é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v</w:t>
            </w:r>
            <w:r w:rsidRPr="00165C40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è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re </w:t>
            </w:r>
            <w:r w:rsidRPr="00165C40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≤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100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qSOFA (</w:t>
            </w:r>
            <w:r w:rsidRPr="00165C40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≥</w:t>
            </w: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2/3)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PAS </w:t>
            </w:r>
            <w:r w:rsidRPr="00165C40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≤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100 + FR </w:t>
            </w:r>
            <w:r w:rsidRPr="00165C40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22 + confusion (PAS de SpO</w:t>
            </w:r>
            <w:r w:rsidRPr="00165C40">
              <w:rPr>
                <w:rFonts w:ascii="Cambria Math" w:hAnsi="Cambria Math" w:cs="Cambria Math"/>
                <w:b/>
                <w:bCs/>
                <w:color w:val="8B0000"/>
                <w:sz w:val="18"/>
                <w:szCs w:val="18"/>
              </w:rPr>
              <w:t>₂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)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Anaphylaxie — classification de Ring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Grade IV = arrêt cardio-respiratoire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Escarre — NPUAP I–IV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III = jusqu'au fascia (sans le dépasser) ; IV = dépasse le fascia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Formule de Parkland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 mL × kg × %SCB / 24 h ; ½ sur 8 h, ½ sur 16 h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CURB-65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Confusion + Urée &gt; 7 + FR </w:t>
            </w:r>
            <w:r w:rsidRPr="00165C40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30 + PA basse + </w:t>
            </w:r>
            <w:r w:rsidRPr="00165C40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â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ge </w:t>
            </w:r>
            <w:r w:rsidRPr="00165C40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65 (PAS le sexe)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Paliers antalgiques OMS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 paliers (I non-opioïdes / II faibles / III forts)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Envenimation scorpionique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Classes I (local) / II (général) / III (défaillance vitale)</w:t>
            </w:r>
          </w:p>
        </w:tc>
      </w:tr>
    </w:tbl>
    <w:p w:rsidR="00FC3E15" w:rsidRPr="00165C40" w:rsidRDefault="00165C40">
      <w:pPr>
        <w:pStyle w:val="Heading2"/>
        <w:rPr>
          <w:rFonts w:ascii="LMRoman10" w:hAnsi="LMRoman10"/>
        </w:rPr>
      </w:pPr>
      <w:r w:rsidRPr="00165C40">
        <w:rPr>
          <w:rFonts w:ascii="LMRoman10" w:hAnsi="LMRoman10"/>
        </w:rPr>
        <w:t>** MARQUEURS &amp; SEUILS CLÉS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FC3E15" w:rsidRPr="00165C4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Lactates artériels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Diagnostic ET pronostic de tout état de choc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Trou anionique </w:t>
            </w:r>
            <w:r w:rsidRPr="00165C40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≈</w:t>
            </w: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12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Na</w:t>
            </w:r>
            <w:r w:rsidRPr="00165C40">
              <w:rPr>
                <w:rFonts w:ascii="Cambria Math" w:hAnsi="Cambria Math" w:cs="Cambria Math"/>
                <w:color w:val="000000"/>
                <w:sz w:val="18"/>
                <w:szCs w:val="18"/>
              </w:rPr>
              <w:t>⁺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 xml:space="preserve"> </w:t>
            </w:r>
            <w:r w:rsidRPr="00165C40">
              <w:rPr>
                <w:rFonts w:ascii="LMRoman10" w:hAnsi="LMRoman10" w:cs="LMRoman10"/>
                <w:color w:val="000000"/>
                <w:sz w:val="18"/>
                <w:szCs w:val="18"/>
              </w:rPr>
              <w:t>−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 xml:space="preserve"> (Cl</w:t>
            </w:r>
            <w:r w:rsidRPr="00165C40">
              <w:rPr>
                <w:rFonts w:ascii="Cambria Math" w:hAnsi="Cambria Math" w:cs="Cambria Math"/>
                <w:color w:val="000000"/>
                <w:sz w:val="18"/>
                <w:szCs w:val="18"/>
              </w:rPr>
              <w:t>⁻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 xml:space="preserve"> + HCO</w:t>
            </w:r>
            <w:r w:rsidRPr="00165C40">
              <w:rPr>
                <w:rFonts w:ascii="Cambria Math" w:hAnsi="Cambria Math" w:cs="Cambria Math"/>
                <w:color w:val="000000"/>
                <w:sz w:val="18"/>
                <w:szCs w:val="18"/>
              </w:rPr>
              <w:t>₃⁻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 xml:space="preserve">) ; </w:t>
            </w:r>
            <w:r w:rsidRPr="00165C40">
              <w:rPr>
                <w:rFonts w:ascii="LMRoman10" w:hAnsi="LMRoman10" w:cs="LMRoman10"/>
                <w:color w:val="000000"/>
                <w:sz w:val="18"/>
                <w:szCs w:val="18"/>
              </w:rPr>
              <w:t>↑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 xml:space="preserve"> = acidose m</w:t>
            </w:r>
            <w:r w:rsidRPr="00165C40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 xml:space="preserve">tabolique </w:t>
            </w:r>
            <w:r w:rsidRPr="00165C40">
              <w:rPr>
                <w:rFonts w:ascii="LMRoman10" w:hAnsi="LMRoman10" w:cs="LMRoman10"/>
                <w:color w:val="000000"/>
                <w:sz w:val="18"/>
                <w:szCs w:val="18"/>
              </w:rPr>
              <w:t>à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 xml:space="preserve"> TA </w:t>
            </w:r>
            <w:r w:rsidRPr="00165C40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lev</w:t>
            </w:r>
            <w:r w:rsidRPr="00165C40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PaO</w:t>
            </w:r>
            <w:r w:rsidRPr="00165C40">
              <w:rPr>
                <w:rFonts w:ascii="Cambria Math" w:hAnsi="Cambria Math" w:cs="Cambria Math"/>
                <w:b/>
                <w:bCs/>
                <w:color w:val="000000"/>
                <w:sz w:val="18"/>
                <w:szCs w:val="18"/>
              </w:rPr>
              <w:t>₂</w:t>
            </w: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/FiO</w:t>
            </w:r>
            <w:r w:rsidRPr="00165C40">
              <w:rPr>
                <w:rFonts w:ascii="Cambria Math" w:hAnsi="Cambria Math" w:cs="Cambria Math"/>
                <w:b/>
                <w:bCs/>
                <w:color w:val="000000"/>
                <w:sz w:val="18"/>
                <w:szCs w:val="18"/>
              </w:rPr>
              <w:t>₂</w:t>
            </w: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(P/F)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Courier New" w:hAnsi="Courier New" w:cs="Courier New"/>
                <w:color w:val="000000"/>
                <w:sz w:val="18"/>
                <w:szCs w:val="18"/>
              </w:rPr>
              <w:t>≤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 xml:space="preserve"> 300 = SDRA ; </w:t>
            </w:r>
            <w:r w:rsidRPr="00165C40">
              <w:rPr>
                <w:rFonts w:ascii="Courier New" w:hAnsi="Courier New" w:cs="Courier New"/>
                <w:color w:val="000000"/>
                <w:sz w:val="18"/>
                <w:szCs w:val="18"/>
              </w:rPr>
              <w:t>≤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 xml:space="preserve"> 100 = forme s</w:t>
            </w:r>
            <w:r w:rsidRPr="00165C40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v</w:t>
            </w:r>
            <w:r w:rsidRPr="00165C40">
              <w:rPr>
                <w:rFonts w:ascii="LMRoman10" w:hAnsi="LMRoman10" w:cs="LMRoman10"/>
                <w:color w:val="000000"/>
                <w:sz w:val="18"/>
                <w:szCs w:val="18"/>
              </w:rPr>
              <w:t>è</w:t>
            </w: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re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GCS &lt; 9 (</w:t>
            </w:r>
            <w:r w:rsidRPr="00165C40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≤</w:t>
            </w: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8)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Définit le traumatisme crânien GRAVE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PaCO</w:t>
            </w:r>
            <w:r w:rsidRPr="00165C40">
              <w:rPr>
                <w:rFonts w:ascii="Cambria Math" w:hAnsi="Cambria Math" w:cs="Cambria Math"/>
                <w:b/>
                <w:bCs/>
                <w:color w:val="000000"/>
                <w:sz w:val="18"/>
                <w:szCs w:val="18"/>
              </w:rPr>
              <w:t>₂</w:t>
            </w: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165C40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≥</w:t>
            </w: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60 mmHg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Seuil de positivité de l'épreuve d'apnée (mort encéphalique)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Index cardiaque &lt; 2,2 L/min/m²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Critère hémodynamique du choc cardiogénique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TP &lt; 50 %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Gravité de l'intoxication au paracétamol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QRS &gt; 100–120 ms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Toxicité des ADT → bicarbonate molaire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CPK / myoglobine ↑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Rhabdomyolyse (brûlure électrique vraie, écrasement)</w:t>
            </w:r>
          </w:p>
        </w:tc>
      </w:tr>
      <w:tr w:rsidR="00FC3E15" w:rsidRPr="00165C4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Délai </w:t>
            </w:r>
            <w:r w:rsidRPr="00165C40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≥</w:t>
            </w:r>
            <w:r w:rsidRPr="00165C40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 48 h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FC3E15" w:rsidRPr="00165C40" w:rsidRDefault="00165C40">
            <w:pPr>
              <w:rPr>
                <w:rFonts w:ascii="LMRoman10" w:hAnsi="LMRoman10"/>
              </w:rPr>
            </w:pPr>
            <w:r w:rsidRPr="00165C40">
              <w:rPr>
                <w:rFonts w:ascii="LMRoman10" w:hAnsi="LMRoman10"/>
                <w:color w:val="000000"/>
                <w:sz w:val="18"/>
                <w:szCs w:val="18"/>
              </w:rPr>
              <w:t>Définit une infection associée aux soins / PNAVM</w:t>
            </w:r>
          </w:p>
        </w:tc>
      </w:tr>
    </w:tbl>
    <w:p w:rsidR="00FC3E15" w:rsidRPr="00165C40" w:rsidRDefault="00165C40">
      <w:pPr>
        <w:pStyle w:val="Heading2"/>
        <w:rPr>
          <w:rFonts w:ascii="LMRoman10" w:hAnsi="LMRoman10"/>
        </w:rPr>
      </w:pPr>
      <w:r w:rsidRPr="00165C40">
        <w:rPr>
          <w:rFonts w:ascii="LMRoman10" w:hAnsi="LMRoman10"/>
        </w:rPr>
        <w:t>** PIÈGES CLASSIQUES (</w:t>
      </w:r>
      <w:r w:rsidRPr="00165C40">
        <w:rPr>
          <w:rFonts w:ascii="Segoe UI Symbol" w:hAnsi="Segoe UI Symbol" w:cs="Segoe UI Symbol"/>
        </w:rPr>
        <w:t>⚠</w:t>
      </w:r>
      <w:r w:rsidRPr="00165C40">
        <w:rPr>
          <w:rFonts w:ascii="LMRoman10" w:hAnsi="LMRoman10"/>
        </w:rPr>
        <w:t xml:space="preserve"> FAUX fr</w:t>
      </w:r>
      <w:r w:rsidRPr="00165C40">
        <w:rPr>
          <w:rFonts w:ascii="LMRoman10" w:hAnsi="LMRoman10" w:cs="LMRoman10"/>
        </w:rPr>
        <w:t>é</w:t>
      </w:r>
      <w:r w:rsidRPr="00165C40">
        <w:rPr>
          <w:rFonts w:ascii="LMRoman10" w:hAnsi="LMRoman10"/>
        </w:rPr>
        <w:t>quents) **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Corrigés officiels N2026 à connaître : choc cardiogénique « cause = infection du myocarde » (→ IDM/SCA), anaphylaxie « noradrénaline 1</w:t>
      </w:r>
      <w:r w:rsidRPr="00165C40">
        <w:rPr>
          <w:rFonts w:ascii="Courier New" w:hAnsi="Courier New" w:cs="Courier New"/>
          <w:i/>
          <w:iCs/>
          <w:color w:val="B45309"/>
        </w:rPr>
        <w:t>ʳ</w:t>
      </w:r>
      <w:r w:rsidRPr="00165C40">
        <w:rPr>
          <w:rFonts w:ascii="Courier New" w:hAnsi="Courier New" w:cs="Courier New"/>
          <w:i/>
          <w:iCs/>
          <w:color w:val="B45309"/>
        </w:rPr>
        <w:t>ᵉ</w:t>
      </w:r>
      <w:r w:rsidRPr="00165C40">
        <w:rPr>
          <w:rFonts w:ascii="LMRoman10" w:hAnsi="LMRoman10"/>
          <w:i/>
          <w:iCs/>
          <w:color w:val="B45309"/>
        </w:rPr>
        <w:t xml:space="preserve"> intention » (→ ADRÉNALINE), qSOFA « avec SpO</w:t>
      </w:r>
      <w:r w:rsidRPr="00165C40">
        <w:rPr>
          <w:rFonts w:ascii="Cambria Math" w:hAnsi="Cambria Math" w:cs="Cambria Math"/>
          <w:i/>
          <w:iCs/>
          <w:color w:val="B45309"/>
        </w:rPr>
        <w:t>₂</w:t>
      </w:r>
      <w:r w:rsidRPr="00165C40">
        <w:rPr>
          <w:rFonts w:ascii="LMRoman10" w:hAnsi="LMRoman10"/>
          <w:i/>
          <w:iCs/>
          <w:color w:val="B45309"/>
        </w:rPr>
        <w:t xml:space="preserve"> </w:t>
      </w:r>
      <w:r w:rsidRPr="00165C40">
        <w:rPr>
          <w:rFonts w:ascii="LMRoman10" w:hAnsi="LMRoman10" w:cs="LMRoman10"/>
          <w:i/>
          <w:iCs/>
          <w:color w:val="B45309"/>
        </w:rPr>
        <w:t>»</w:t>
      </w:r>
      <w:r w:rsidRPr="00165C40">
        <w:rPr>
          <w:rFonts w:ascii="LMRoman10" w:hAnsi="LMRoman10"/>
          <w:i/>
          <w:iCs/>
          <w:color w:val="B45309"/>
        </w:rPr>
        <w:t xml:space="preserve"> (</w:t>
      </w:r>
      <w:r w:rsidRPr="00165C40">
        <w:rPr>
          <w:rFonts w:ascii="LMRoman10" w:hAnsi="LMRoman10" w:cs="LMRoman10"/>
          <w:i/>
          <w:iCs/>
          <w:color w:val="B45309"/>
        </w:rPr>
        <w:t>→</w:t>
      </w:r>
      <w:r w:rsidRPr="00165C40">
        <w:rPr>
          <w:rFonts w:ascii="LMRoman10" w:hAnsi="LMRoman10"/>
          <w:i/>
          <w:iCs/>
          <w:color w:val="B45309"/>
        </w:rPr>
        <w:t xml:space="preserve"> PAS/FR/confusion). R</w:t>
      </w:r>
      <w:r w:rsidRPr="00165C40">
        <w:rPr>
          <w:rFonts w:ascii="LMRoman10" w:hAnsi="LMRoman10" w:cs="LMRoman10"/>
          <w:i/>
          <w:iCs/>
          <w:color w:val="B45309"/>
        </w:rPr>
        <w:t>é</w:t>
      </w:r>
      <w:r w:rsidRPr="00165C40">
        <w:rPr>
          <w:rFonts w:ascii="LMRoman10" w:hAnsi="LMRoman10"/>
          <w:i/>
          <w:iCs/>
          <w:color w:val="B45309"/>
        </w:rPr>
        <w:t>ponses-types du cours.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Choc du brûlé = hémoCO</w:t>
      </w:r>
      <w:r w:rsidRPr="00165C40">
        <w:rPr>
          <w:rFonts w:ascii="LMRoman10" w:hAnsi="LMRoman10"/>
          <w:i/>
          <w:iCs/>
          <w:color w:val="B45309"/>
        </w:rPr>
        <w:t>NCENTRATION (et NON hémodilution).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Mort encéphalique = diabète insipide (et NON SIADH) ; irréversible, à cœur battant.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ADT : bicarbonate molaire si QRS large ; PAS de flumazénil, PAS de dialyse.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Antidote des benzodiazépines = flumazénil (et NON nalox</w:t>
      </w:r>
      <w:r w:rsidRPr="00165C40">
        <w:rPr>
          <w:rFonts w:ascii="LMRoman10" w:hAnsi="LMRoman10"/>
          <w:i/>
          <w:iCs/>
          <w:color w:val="B45309"/>
        </w:rPr>
        <w:t>one).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« Flash » électrique = brûlure thermique (pas de point d'entrée/sortie).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Chéloïde : exérèse seule = récidive ; dépasse les berges et ne régresse pas.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Hyponatrémie profonde : correction LENTE (risque de myélinolyse centropontine).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PNAVM : le d</w:t>
      </w:r>
      <w:r w:rsidRPr="00165C40">
        <w:rPr>
          <w:rFonts w:ascii="LMRoman10" w:hAnsi="LMRoman10"/>
          <w:i/>
          <w:iCs/>
          <w:color w:val="B45309"/>
        </w:rPr>
        <w:t>écubitus ventral est PROTECTEUR (pas un facteur de risque).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165C40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165C40">
        <w:rPr>
          <w:rFonts w:ascii="LMRoman10" w:hAnsi="LMRoman10"/>
          <w:i/>
          <w:iCs/>
          <w:color w:val="B45309"/>
        </w:rPr>
        <w:t>Douleur : 3 paliers OMS ; ne jamais associer opioïde faible (II) + opioïde fort (III).</w:t>
      </w:r>
    </w:p>
    <w:p w:rsidR="00FC3E15" w:rsidRPr="00165C40" w:rsidRDefault="00165C40">
      <w:pPr>
        <w:pStyle w:val="Heading2"/>
        <w:rPr>
          <w:rFonts w:ascii="LMRoman10" w:hAnsi="LMRoman10"/>
        </w:rPr>
      </w:pPr>
      <w:r w:rsidRPr="00165C40">
        <w:rPr>
          <w:rFonts w:ascii="LMRoman10" w:hAnsi="LMRoman10"/>
        </w:rPr>
        <w:t>** SÉQUENCES &amp; ALGORITHMES À RESTITUER **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Chaîne de survie : alerte → RCP de base → défibrillation → RCP sp</w:t>
      </w:r>
      <w:r w:rsidRPr="00165C40">
        <w:rPr>
          <w:rFonts w:ascii="LMRoman10" w:hAnsi="LMRoman10"/>
        </w:rPr>
        <w:t>écialisée.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Déchocage du traumatisé : ABCDE → Rx thorax + bassin + rachis cervical + FAST → (si stable) body-scanner.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Annonce SPIKES : cadre → perception → invitation → information → émotions → synthèse/plan.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Deuil (Kübler-Ross) : déni → colère → marchandage → dépression → acceptation.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Cascade des ACSOS à prévenir : hypotension, hypoxémie, hyper/hypocapnie, hyperglycémie, hyperthermie, anémie, dysnatrémie.</w:t>
      </w:r>
    </w:p>
    <w:p w:rsidR="00FC3E15" w:rsidRPr="00165C40" w:rsidRDefault="00165C40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165C40">
        <w:rPr>
          <w:rFonts w:ascii="LMRoman10" w:hAnsi="LMRoman10"/>
        </w:rPr>
        <w:t>Parkland : ½ du volume sur les 8 premières heures, ½ su</w:t>
      </w:r>
      <w:r w:rsidRPr="00165C40">
        <w:rPr>
          <w:rFonts w:ascii="LMRoman10" w:hAnsi="LMRoman10"/>
        </w:rPr>
        <w:t>r les 16 heures suivantes.</w:t>
      </w:r>
    </w:p>
    <w:p w:rsidR="00FC3E15" w:rsidRPr="00165C40" w:rsidRDefault="00165C40">
      <w:pPr>
        <w:spacing w:before="240" w:after="60"/>
        <w:rPr>
          <w:rFonts w:ascii="LMRoman10" w:hAnsi="LMRoman10"/>
        </w:rPr>
      </w:pPr>
      <w:r w:rsidRPr="00165C40">
        <w:rPr>
          <w:rFonts w:ascii="LMRoman10" w:hAnsi="LMRoman10"/>
          <w:color w:val="000000"/>
        </w:rPr>
        <w:t xml:space="preserve"> </w:t>
      </w:r>
    </w:p>
    <w:p w:rsidR="00FC3E15" w:rsidRPr="00165C40" w:rsidRDefault="00FC3E15">
      <w:pPr>
        <w:pBdr>
          <w:top w:val="double" w:sz="8" w:space="4" w:color="1F3A5F"/>
        </w:pBdr>
        <w:rPr>
          <w:rFonts w:ascii="LMRoman10" w:hAnsi="LMRoman10"/>
        </w:rPr>
      </w:pP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i/>
          <w:iCs/>
          <w:color w:val="000000"/>
          <w:sz w:val="18"/>
          <w:szCs w:val="18"/>
        </w:rPr>
        <w:t>Généré par Claude.ai (Claude Opus 4.8) — Version 1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i/>
          <w:iCs/>
          <w:color w:val="000000"/>
          <w:sz w:val="18"/>
          <w:szCs w:val="18"/>
        </w:rPr>
        <w:t>Cross-match 750 QEs officielles × Cours AIO FMPM 2026 (urg-aio · soins-palliatifs-aio · chir-plastique-aio) — Corrections officielles : e-qe.online</w:t>
      </w:r>
    </w:p>
    <w:p w:rsidR="00FC3E15" w:rsidRPr="00165C40" w:rsidRDefault="00165C40">
      <w:pPr>
        <w:spacing w:before="60" w:after="60"/>
        <w:jc w:val="center"/>
        <w:rPr>
          <w:rFonts w:ascii="LMRoman10" w:hAnsi="LMRoman10"/>
        </w:rPr>
      </w:pPr>
      <w:r w:rsidRPr="00165C40">
        <w:rPr>
          <w:rFonts w:ascii="LMRoman10" w:hAnsi="LMRoman10"/>
          <w:b/>
          <w:bCs/>
          <w:i/>
          <w:iCs/>
          <w:color w:val="000000"/>
          <w:sz w:val="18"/>
          <w:szCs w:val="18"/>
        </w:rPr>
        <w:t>FMPM — Module Urgences/Réan</w:t>
      </w:r>
      <w:r w:rsidRPr="00165C40">
        <w:rPr>
          <w:rFonts w:ascii="LMRoman10" w:hAnsi="LMRoman10"/>
          <w:b/>
          <w:bCs/>
          <w:i/>
          <w:iCs/>
          <w:color w:val="000000"/>
          <w:sz w:val="18"/>
          <w:szCs w:val="18"/>
        </w:rPr>
        <w:t>imation, Soins palliatifs, Chirurgie plastique • Banque 750 QE</w:t>
      </w:r>
    </w:p>
    <w:p w:rsidR="00FC3E15" w:rsidRPr="00165C40" w:rsidRDefault="00165C40">
      <w:pPr>
        <w:spacing w:before="200" w:after="60"/>
        <w:rPr>
          <w:rFonts w:ascii="LMRoman10" w:hAnsi="LMRoman10"/>
        </w:rPr>
      </w:pPr>
      <w:r w:rsidRPr="00165C40">
        <w:rPr>
          <w:rFonts w:ascii="LMRoman10" w:hAnsi="LMRoman10"/>
          <w:b/>
          <w:bCs/>
          <w:color w:val="065F46"/>
        </w:rPr>
        <w:t>Améliorations Version 1 :</w:t>
      </w:r>
    </w:p>
    <w:p w:rsidR="00FC3E15" w:rsidRPr="00165C40" w:rsidRDefault="00165C40">
      <w:pPr>
        <w:spacing w:before="6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165C40">
        <w:rPr>
          <w:rFonts w:ascii="LMRoman10" w:hAnsi="LMRoman10"/>
          <w:color w:val="065F46"/>
          <w:sz w:val="18"/>
          <w:szCs w:val="18"/>
        </w:rPr>
        <w:t xml:space="preserve"> Déduplication des 750 QE (15 sessions) en fiches haute fréquence par leçon.</w:t>
      </w:r>
    </w:p>
    <w:p w:rsidR="00FC3E15" w:rsidRPr="00165C40" w:rsidRDefault="00165C40">
      <w:pPr>
        <w:spacing w:before="6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165C40">
        <w:rPr>
          <w:rFonts w:ascii="LMRoman10" w:hAnsi="LMRoman10"/>
          <w:color w:val="065F46"/>
          <w:sz w:val="18"/>
          <w:szCs w:val="18"/>
        </w:rPr>
        <w:t xml:space="preserve"> Pièges récurrents signalés explicitement en </w:t>
      </w:r>
      <w:r w:rsidRPr="00165C40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165C40">
        <w:rPr>
          <w:rFonts w:ascii="LMRoman10" w:hAnsi="LMRoman10"/>
          <w:color w:val="065F46"/>
          <w:sz w:val="18"/>
          <w:szCs w:val="18"/>
        </w:rPr>
        <w:t xml:space="preserve"> FAUX (formulations-types des examens).</w:t>
      </w:r>
    </w:p>
    <w:p w:rsidR="00FC3E15" w:rsidRPr="00165C40" w:rsidRDefault="00165C40">
      <w:pPr>
        <w:spacing w:before="6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165C40">
        <w:rPr>
          <w:rFonts w:ascii="LMRoman10" w:hAnsi="LMRoman10"/>
          <w:color w:val="065F46"/>
          <w:sz w:val="18"/>
          <w:szCs w:val="18"/>
        </w:rPr>
        <w:t xml:space="preserve"> Anomalies des corrigés officiels Normal 2026 isolées (choc cardiogénique, anaphylaxie, qSOFA).</w:t>
      </w:r>
    </w:p>
    <w:p w:rsidR="00FC3E15" w:rsidRPr="00165C40" w:rsidRDefault="00165C40">
      <w:pPr>
        <w:spacing w:before="6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165C40">
        <w:rPr>
          <w:rFonts w:ascii="LMRoman10" w:hAnsi="LMRoman10"/>
          <w:color w:val="065F46"/>
          <w:sz w:val="18"/>
          <w:szCs w:val="18"/>
        </w:rPr>
        <w:t xml:space="preserve"> Citations par session pour tracer la provenance des items.</w:t>
      </w:r>
    </w:p>
    <w:p w:rsidR="00FC3E15" w:rsidRPr="00165C40" w:rsidRDefault="00165C40">
      <w:pPr>
        <w:spacing w:before="60" w:after="60"/>
        <w:rPr>
          <w:rFonts w:ascii="LMRoman10" w:hAnsi="LMRoman10"/>
        </w:rPr>
      </w:pPr>
      <w:r w:rsidRPr="00165C40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165C40">
        <w:rPr>
          <w:rFonts w:ascii="LMRoman10" w:hAnsi="LMRoman10"/>
          <w:color w:val="065F46"/>
          <w:sz w:val="18"/>
          <w:szCs w:val="18"/>
        </w:rPr>
        <w:t xml:space="preserve"> PARTIE 4 : disclaimer conservé ; aucun topic certifié hors programme (descriptif officiel des mo</w:t>
      </w:r>
      <w:r w:rsidRPr="00165C40">
        <w:rPr>
          <w:rFonts w:ascii="LMRoman10" w:hAnsi="LMRoman10"/>
          <w:color w:val="065F46"/>
          <w:sz w:val="18"/>
          <w:szCs w:val="18"/>
        </w:rPr>
        <w:t>dules non fourni).</w:t>
      </w:r>
      <w:bookmarkEnd w:id="0"/>
    </w:p>
    <w:sectPr w:rsidR="00FC3E15" w:rsidRPr="00165C4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5F1041"/>
    <w:multiLevelType w:val="hybridMultilevel"/>
    <w:tmpl w:val="5BB49F98"/>
    <w:lvl w:ilvl="0" w:tplc="2E26EA56">
      <w:start w:val="1"/>
      <w:numFmt w:val="bullet"/>
      <w:lvlText w:val="•"/>
      <w:lvlJc w:val="left"/>
      <w:pPr>
        <w:ind w:left="720" w:hanging="360"/>
      </w:pPr>
    </w:lvl>
    <w:lvl w:ilvl="1" w:tplc="9FC602BE">
      <w:numFmt w:val="decimal"/>
      <w:lvlText w:val=""/>
      <w:lvlJc w:val="left"/>
    </w:lvl>
    <w:lvl w:ilvl="2" w:tplc="A53EE098">
      <w:numFmt w:val="decimal"/>
      <w:lvlText w:val=""/>
      <w:lvlJc w:val="left"/>
    </w:lvl>
    <w:lvl w:ilvl="3" w:tplc="E050DA00">
      <w:numFmt w:val="decimal"/>
      <w:lvlText w:val=""/>
      <w:lvlJc w:val="left"/>
    </w:lvl>
    <w:lvl w:ilvl="4" w:tplc="B548366E">
      <w:numFmt w:val="decimal"/>
      <w:lvlText w:val=""/>
      <w:lvlJc w:val="left"/>
    </w:lvl>
    <w:lvl w:ilvl="5" w:tplc="7F96388C">
      <w:numFmt w:val="decimal"/>
      <w:lvlText w:val=""/>
      <w:lvlJc w:val="left"/>
    </w:lvl>
    <w:lvl w:ilvl="6" w:tplc="D4B26154">
      <w:numFmt w:val="decimal"/>
      <w:lvlText w:val=""/>
      <w:lvlJc w:val="left"/>
    </w:lvl>
    <w:lvl w:ilvl="7" w:tplc="3DF2DE2C">
      <w:numFmt w:val="decimal"/>
      <w:lvlText w:val=""/>
      <w:lvlJc w:val="left"/>
    </w:lvl>
    <w:lvl w:ilvl="8" w:tplc="BC3A9354">
      <w:numFmt w:val="decimal"/>
      <w:lvlText w:val=""/>
      <w:lvlJc w:val="left"/>
    </w:lvl>
  </w:abstractNum>
  <w:abstractNum w:abstractNumId="1" w15:restartNumberingAfterBreak="0">
    <w:nsid w:val="3F5C63A0"/>
    <w:multiLevelType w:val="hybridMultilevel"/>
    <w:tmpl w:val="64ACB238"/>
    <w:lvl w:ilvl="0" w:tplc="8AE4B400">
      <w:start w:val="1"/>
      <w:numFmt w:val="bullet"/>
      <w:lvlText w:val="●"/>
      <w:lvlJc w:val="left"/>
      <w:pPr>
        <w:ind w:left="720" w:hanging="360"/>
      </w:pPr>
    </w:lvl>
    <w:lvl w:ilvl="1" w:tplc="D0806A8C">
      <w:start w:val="1"/>
      <w:numFmt w:val="bullet"/>
      <w:lvlText w:val="○"/>
      <w:lvlJc w:val="left"/>
      <w:pPr>
        <w:ind w:left="1440" w:hanging="360"/>
      </w:pPr>
    </w:lvl>
    <w:lvl w:ilvl="2" w:tplc="07AC994C">
      <w:start w:val="1"/>
      <w:numFmt w:val="bullet"/>
      <w:lvlText w:val="■"/>
      <w:lvlJc w:val="left"/>
      <w:pPr>
        <w:ind w:left="2160" w:hanging="360"/>
      </w:pPr>
    </w:lvl>
    <w:lvl w:ilvl="3" w:tplc="8E62DBEA">
      <w:start w:val="1"/>
      <w:numFmt w:val="bullet"/>
      <w:lvlText w:val="●"/>
      <w:lvlJc w:val="left"/>
      <w:pPr>
        <w:ind w:left="2880" w:hanging="360"/>
      </w:pPr>
    </w:lvl>
    <w:lvl w:ilvl="4" w:tplc="5572522E">
      <w:start w:val="1"/>
      <w:numFmt w:val="bullet"/>
      <w:lvlText w:val="○"/>
      <w:lvlJc w:val="left"/>
      <w:pPr>
        <w:ind w:left="3600" w:hanging="360"/>
      </w:pPr>
    </w:lvl>
    <w:lvl w:ilvl="5" w:tplc="461AA84C">
      <w:start w:val="1"/>
      <w:numFmt w:val="bullet"/>
      <w:lvlText w:val="■"/>
      <w:lvlJc w:val="left"/>
      <w:pPr>
        <w:ind w:left="4320" w:hanging="360"/>
      </w:pPr>
    </w:lvl>
    <w:lvl w:ilvl="6" w:tplc="D96E012E">
      <w:start w:val="1"/>
      <w:numFmt w:val="bullet"/>
      <w:lvlText w:val="●"/>
      <w:lvlJc w:val="left"/>
      <w:pPr>
        <w:ind w:left="5040" w:hanging="360"/>
      </w:pPr>
    </w:lvl>
    <w:lvl w:ilvl="7" w:tplc="99BA0FBC">
      <w:start w:val="1"/>
      <w:numFmt w:val="bullet"/>
      <w:lvlText w:val="●"/>
      <w:lvlJc w:val="left"/>
      <w:pPr>
        <w:ind w:left="5760" w:hanging="360"/>
      </w:pPr>
    </w:lvl>
    <w:lvl w:ilvl="8" w:tplc="124AF88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E15"/>
    <w:rsid w:val="00165C40"/>
    <w:rsid w:val="00FC3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3CE9EAB-7740-4EE2-B6B6-090032F07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5114</Words>
  <Characters>29151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URGENCES · RÉA · SOINS PALLIATIFS · PLASTIQUE - QE Haute Fréquence</vt:lpstr>
    </vt:vector>
  </TitlesOfParts>
  <Company/>
  <LinksUpToDate>false</LinksUpToDate>
  <CharactersWithSpaces>34197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URGENCES · RÉA · SOINS PALLIATIFS · PLASTIQUE - QE Haute Fréquence</dc:title>
  <dc:creator>Claude.ai</dc:creator>
  <dc:description>Generated by qe-analysis skill</dc:description>
  <cp:lastModifiedBy>tool</cp:lastModifiedBy>
  <cp:revision>2</cp:revision>
  <dcterms:created xsi:type="dcterms:W3CDTF">2026-06-05T00:05:00Z</dcterms:created>
  <dcterms:modified xsi:type="dcterms:W3CDTF">2026-06-13T22:59:00Z</dcterms:modified>
</cp:coreProperties>
</file>