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Recensement S10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Année universitaire 2023/2024 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0"/>
        </w:rPr>
        <w:t xml:space="preserve">Néphrologie-Urologie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  <w:color w:val="3876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u w:val="single"/>
          <w:rtl w:val="0"/>
        </w:rPr>
        <w:t xml:space="preserve">•Néphrologie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Laouad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-Introduction à la pathologie néphrologique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-Amylose rénale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-Néphropathie lupique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-Glomérulonéphrite extra-capillaire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-Néphropathie  diabétique 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-Néphropathies héréditaires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Prof Fadili 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Lésion glomérulaire minime 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-Hyalinose segmentaire focale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-Glomérulonéphrite extra membraneuse 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-Néphropathie à IgA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-GNA post infectieuse 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-glomerulonéphrite membrano-proliférative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-Insuffisance rénale 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-néphropathies au cours du myélome multiple 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1440" w:firstLine="0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Prof Zemraoui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-Néphropathies tubule-interstitielles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-Maladie rénale chronique 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  <w:color w:val="3876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8761d"/>
          <w:u w:val="single"/>
          <w:rtl w:val="0"/>
        </w:rPr>
        <w:t xml:space="preserve">•</w:t>
      </w:r>
      <w:r w:rsidDel="00000000" w:rsidR="00000000" w:rsidRPr="00000000">
        <w:rPr>
          <w:b w:val="1"/>
          <w:bCs w:val="1"/>
          <w:color w:val="38761d"/>
          <w:sz w:val="24"/>
          <w:szCs w:val="24"/>
          <w:u w:val="single"/>
          <w:rtl w:val="0"/>
        </w:rPr>
        <w:t xml:space="preserve">Urologie 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Sarf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-Hypertrophie bénigne de la prostate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-cancer de la prostate 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-tumeur des vessies 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-Tumeurs des voies excrétrices 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-cancer du rein 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 Prof Haji :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Cancer testiculaire 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-Tuberculose urogénitale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Lakmichi M-A: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-infertilités masculines 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-Lithiase urinaire 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-vessies neurologiques 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-incontinence urinaire 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-Infections urinaires 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Dahami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-syndrome de jonction pyelo-urétérale 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-torsion du cordon spermatique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-Reflux vésico-renal  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-Anurie obstructive 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Moufid</w:t>
      </w:r>
      <w:r w:rsidDel="00000000" w:rsidR="00000000" w:rsidRPr="00000000">
        <w:rPr>
          <w:rtl w:val="0"/>
        </w:rPr>
        <w:t xml:space="preserve"> (New):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-Fistule uro-génitale 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-cancer de la verge 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0"/>
        </w:rPr>
        <w:t xml:space="preserve">Santé Publique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Pr. ADARMOUCH. L</w:t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Maladie et santé 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•Déterminants de la santé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•concepts de base en santé publique 1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•concepts de base en santé publique 2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•introduction à la santé environnementale 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•caractériser l’exposition environnementale 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  <w:t xml:space="preserve">•intervenir en santé environnementale 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•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Prof Amine :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Introduction à la méthodologie de la recherche clinique 1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  <w:t xml:space="preserve">-Introduction à la méthodologie de la recherche clinique 2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  <w:t xml:space="preserve">-Introduction à la méthodologie de la recherche clinique 3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  <w:t xml:space="preserve">-études descriptives 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  <w:t xml:space="preserve">-études étiologiques : études    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  <w:t xml:space="preserve">cas-temoins </w:t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  <w:t xml:space="preserve">-les critères de causalité 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-l’essai clinique randomisé 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  <w:t xml:space="preserve">-études étiologiques:cohorte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  <w:t xml:space="preserve">-les mesures de fréquence en épidémiologie 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  <w:t xml:space="preserve">-Les indices de validité d’un test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sebbani:</w:t>
      </w:r>
    </w:p>
    <w:p w:rsidR="00000000" w:rsidDel="00000000" w:rsidP="00000000" w:rsidRDefault="00000000" w:rsidRPr="00000000" w14:paraId="00000060">
      <w:pPr>
        <w:ind w:left="144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-prévention et promotion de la santé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  <w:t xml:space="preserve">-sécurité des soins 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  <w:t xml:space="preserve">-qualité des soins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-intervention de la santé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0"/>
        </w:rPr>
        <w:t xml:space="preserve">Médecine légale-éthique et déontologie -médecine de travail: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  <w:i w:val="1"/>
          <w:iCs w:val="1"/>
          <w:color w:val="3876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4"/>
          <w:szCs w:val="24"/>
          <w:u w:val="single"/>
          <w:rtl w:val="0"/>
        </w:rPr>
        <w:t xml:space="preserve">•Médecine légale :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Prof Dami:</w:t>
      </w:r>
    </w:p>
    <w:p w:rsidR="00000000" w:rsidDel="00000000" w:rsidP="00000000" w:rsidRDefault="00000000" w:rsidRPr="00000000" w14:paraId="0000006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-Introduction à la médecine légale</w:t>
      </w:r>
    </w:p>
    <w:p w:rsidR="00000000" w:rsidDel="00000000" w:rsidP="00000000" w:rsidRDefault="00000000" w:rsidRPr="00000000" w14:paraId="0000006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-Mort :phénomènes cadavériques et datation de datation de la mort</w:t>
      </w:r>
    </w:p>
    <w:p w:rsidR="00000000" w:rsidDel="00000000" w:rsidP="00000000" w:rsidRDefault="00000000" w:rsidRPr="00000000" w14:paraId="0000006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-formes médico-légales de la mort: certification du décès </w:t>
      </w:r>
    </w:p>
    <w:p w:rsidR="00000000" w:rsidDel="00000000" w:rsidP="00000000" w:rsidRDefault="00000000" w:rsidRPr="00000000" w14:paraId="0000006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-levée de corps et autopsie</w:t>
      </w:r>
    </w:p>
    <w:p w:rsidR="00000000" w:rsidDel="00000000" w:rsidP="00000000" w:rsidRDefault="00000000" w:rsidRPr="00000000" w14:paraId="0000006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-Diagnostic médico-légal des blessures 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-asphyxie mécanique 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-sévices à enfants : Repérage et conduite à tenir</w:t>
      </w:r>
    </w:p>
    <w:p w:rsidR="00000000" w:rsidDel="00000000" w:rsidP="00000000" w:rsidRDefault="00000000" w:rsidRPr="00000000" w14:paraId="0000007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-les responsabilités médicales</w:t>
      </w:r>
    </w:p>
    <w:p w:rsidR="00000000" w:rsidDel="00000000" w:rsidP="00000000" w:rsidRDefault="00000000" w:rsidRPr="00000000" w14:paraId="0000007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-les certificats  médicaux 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-contrat médical 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-prélèvement et transplantation d’organes</w:t>
      </w:r>
    </w:p>
    <w:p w:rsidR="00000000" w:rsidDel="00000000" w:rsidP="00000000" w:rsidRDefault="00000000" w:rsidRPr="00000000" w14:paraId="0000007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-information et consentement du patient </w:t>
      </w:r>
    </w:p>
    <w:p w:rsidR="00000000" w:rsidDel="00000000" w:rsidP="00000000" w:rsidRDefault="00000000" w:rsidRPr="00000000" w14:paraId="0000007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-Absebtation fautive 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-Avortement illégal et thérapeutique 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-Infanticide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b w:val="1"/>
          <w:bCs w:val="1"/>
          <w:i w:val="1"/>
          <w:iCs w:val="1"/>
          <w:color w:val="3876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4"/>
          <w:szCs w:val="24"/>
          <w:u w:val="single"/>
          <w:rtl w:val="0"/>
        </w:rPr>
        <w:t xml:space="preserve">•Éthique et déontologie :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 Ait Batahar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-Introduction éthique </w:t>
      </w:r>
    </w:p>
    <w:p w:rsidR="00000000" w:rsidDel="00000000" w:rsidP="00000000" w:rsidRDefault="00000000" w:rsidRPr="00000000" w14:paraId="0000007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-Principes de l’éthique médicale</w:t>
      </w:r>
    </w:p>
    <w:p w:rsidR="00000000" w:rsidDel="00000000" w:rsidP="00000000" w:rsidRDefault="00000000" w:rsidRPr="00000000" w14:paraId="0000007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-codes de déontologie médicale </w:t>
      </w:r>
    </w:p>
    <w:p w:rsidR="00000000" w:rsidDel="00000000" w:rsidP="00000000" w:rsidRDefault="00000000" w:rsidRPr="00000000" w14:paraId="0000007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-éthique médicale et transplantation d’organes </w:t>
      </w:r>
    </w:p>
    <w:p w:rsidR="00000000" w:rsidDel="00000000" w:rsidP="00000000" w:rsidRDefault="00000000" w:rsidRPr="00000000" w14:paraId="0000007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-éthique médicale et fin de vie </w:t>
      </w:r>
    </w:p>
    <w:p w:rsidR="00000000" w:rsidDel="00000000" w:rsidP="00000000" w:rsidRDefault="00000000" w:rsidRPr="00000000" w14:paraId="0000007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-Procréation médicalement assistée/fœtus et embryon</w:t>
      </w:r>
    </w:p>
    <w:p w:rsidR="00000000" w:rsidDel="00000000" w:rsidP="00000000" w:rsidRDefault="00000000" w:rsidRPr="00000000" w14:paraId="0000008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144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Prof ADARMOUCH :</w:t>
      </w:r>
    </w:p>
    <w:p w:rsidR="00000000" w:rsidDel="00000000" w:rsidP="00000000" w:rsidRDefault="00000000" w:rsidRPr="00000000" w14:paraId="0000008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-Principes de l’éthique de la recherche </w:t>
      </w:r>
    </w:p>
    <w:p w:rsidR="00000000" w:rsidDel="00000000" w:rsidP="00000000" w:rsidRDefault="00000000" w:rsidRPr="00000000" w14:paraId="0000008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-conduite responsable de la recherche </w:t>
      </w:r>
    </w:p>
    <w:p w:rsidR="00000000" w:rsidDel="00000000" w:rsidP="00000000" w:rsidRDefault="00000000" w:rsidRPr="00000000" w14:paraId="0000008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-Recherche internationale: aspects éthiques </w:t>
      </w:r>
    </w:p>
    <w:p w:rsidR="00000000" w:rsidDel="00000000" w:rsidP="00000000" w:rsidRDefault="00000000" w:rsidRPr="00000000" w14:paraId="0000008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-Éthique de santé publique </w:t>
      </w:r>
    </w:p>
    <w:p w:rsidR="00000000" w:rsidDel="00000000" w:rsidP="00000000" w:rsidRDefault="00000000" w:rsidRPr="00000000" w14:paraId="0000008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-Justice et éthique 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b w:val="1"/>
          <w:bCs w:val="1"/>
          <w:i w:val="1"/>
          <w:iCs w:val="1"/>
          <w:color w:val="3876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4"/>
          <w:szCs w:val="24"/>
          <w:u w:val="single"/>
          <w:rtl w:val="0"/>
        </w:rPr>
        <w:t xml:space="preserve">•Médecine de travail :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•Prof Benali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-Médecine du travail :Intro 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-AES 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-Radioprotection en milieu des soins 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-Surdités professionnelles 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-Réparation des maladies professionnelles 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-Réparation des accidents du travail 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•Prof Lghabi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-Asthme professionnel 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-rôles et missions de médecin du travail 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-dermatoses professionnelles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-Pneumoconioses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-Troubles musculo-squelettiques 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-Risque psychosociaux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i w:val="1"/>
          <w:iCs w:val="1"/>
          <w:color w:val="38761d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u w:val="single"/>
          <w:rtl w:val="0"/>
        </w:rPr>
        <w:t xml:space="preserve">Synthèse thérapeutique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•Prof Amal: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-Traitements locaux en dermatologie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Rada: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rtl w:val="0"/>
        </w:rPr>
        <w:t xml:space="preserve">-Vaccination au Maroc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Belkhou Ahlam: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-AINS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Bourzeda: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-SCA: P.E.C  thérapeutique 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-CAT devant une douleur thoracique aigu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-PEC de la HTA 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Lamghari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-Traitement du Diabète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Ait Batahar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-Traitement IRABC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-TTT Anti-bacillaire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-TTT de l’asthme 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Louhab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-traitement de la migraine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traitement  de l’épilepsie 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Prof Tassi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-La prescription d’antibiotiques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-Échec ATB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Baizri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-traitement de la pathologie thyroïdienne 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Laouad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-Transplantation rénale 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Prof Raji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Traitement OMA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Traitement des angine 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Traitement de la sinusite aiguë 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Krati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Traitement RGO 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Traitement UGD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•Prof Essadouni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devant un patient sous CTC au long cours 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Version finale                                                                                                          Last update 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29/04/2024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