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HÉMATOLOGIE-ONCOLOGIE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Concours / Examen 2026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600 QEs officielles (2019→2025) × Cours AIO Hémato (614 p.) + Onco (659 p.)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Pr Raissi · Pr Lahlimi · Pr El Fadli · Pr El Omrani · Pr Essadi — FMPM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600 QEs (12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anémies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Hématologie (Pr Raissi &amp; coll.)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Omrani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leucémies (LA · LMC · LLC)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Raissi / Pr Lahlimi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Chimiothérapie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Essadi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lymphomes (Hodgkin · LMNH)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Lahlimi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Douleur et Cancer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Fadli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Épidémiologie des cancers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Omrani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Hormonothérapie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Omrani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Purpura Thrombopénique Immunologique (PTI)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Thérapies ciblées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Essadi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Transfusion sanguine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Myélome multiple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Lahlimi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Aplasie médullaire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Polyglobulie de Vaquez (SMP Phi-)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Hémophilie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CIVD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Raissi (Urgences hémato)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Urgences en oncologie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Fadli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Transversal / Reconnaissance hématologique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Diagnostic et bilan d'extension des cancers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El Fadli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12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anémies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7.08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leucémies (LA · LMC · LLC)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4.58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Chimiothérapie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Les lymphomes (Hodgkin · LMNH)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Douleur et Cancer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Épidémiologie des cancers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2.58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Hormonothérapie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2.42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Purpura Thrombopénique Immunologique (PTI)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Thérapies ciblées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2.25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Transfusion sanguine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2.17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Myélome multiple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Aplasie médullaire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1.83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Polyglobulie de Vaquez (SMP Phi-)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1.83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Hémophilie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CIVD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Urgences en oncologie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Transversal / Reconnaissance hématologique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Diagnostic et bilan d'extension des cancers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(programme 2026)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600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50.00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100%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LES ANÉMIES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Hématologie (Pr Raissi &amp; coll.)  •  ~7,1 Q/examen  ·  85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morphologique : microcytaire (VGM↓) / normocytaire / macrocytaire ; régénérative vs arégénérative (réticulocytes).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-boymhw3j7u95em-s9syg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dubmrxo3zww0lcui0b63d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Anémie microcytaire / carence martiale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anémie hypochrome microcytaire, l'examen INDISPENSABLE en 1re intention est la FERRITINÉMIE (reflet des réserves) — pas le fer sérique, pas la B12.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Critère d'ARRÊT du traitement martial = NORMALISATION de la ferritinémie (la ferritine est le dernier paramètre à se corriger).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Anémie ferriprive chez une femme jeune réglée = carence par spoliation menstruelle ; prise en charge = corriger le fer JUSQU'À normalisation de la ferritine + bilan étiologique (gynéco ± digestif), pas de transfusion d'emblée.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d'une microcytaire hypochrome : carence martiale, thalassémie, anémie inflammatoire.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transfuser en urgence une ferriprive bien tolérée : on traite la cause + supplémentation orale.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ferritine = 1er examen / critère d'arrêt — N2019 Q13-16, R2019 Q9, N2025 Q15-16 ; drépanocytose électrophorèse Hb ×4 (N2019 Q16, N2020 Q4, N2021 Q6, Oct2024 Q24).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Anémie macrocytaire / mégaloblastique (carence B12-folates)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caractère MÉGALOBLASTIQUE repose sur le FROTTIS / MYÉLOGRAMME (mégaloblastes médullaires), pas sur le VGM seul.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« macrocytaire arégénérative + paresthésies/troubles neuro » → carence en vitamine B12 (syndrome neuro-anémique).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suspecté à l'hémogramme, CONFIRMÉ par le dosage de la vitamine B12.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Durée du traitement d'une anémie par carence en B12 = traitement À VIE (si cause non curable, ex. Biermer).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Contradiction inter-sessions sur la VOIE : N2024 admet la supplémentation B12 PAR VOIE ORALE comme possible/juste (N2024 Q14 → E vrai ; N2024 Q15 → E vrai), alors que R2024 marque la MÊME affirmation « traitement basé sur la supplémentation orale » comme FAUSSE (R2024, E exclu). EBM : la voie parentérale/IM reste la référence classique, mais l'oral à forte dose est validé dans de nombreux cas. → Retenir la version de l'énoncé de l'année.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B12 « à vie » ×3 (R2019 Q14, N2021 Q18, Oct2024 Q20) ; macrocytaire+paresthésies = B12 ×4 (N2020 Q2, N2021 Q7, Nov2024 Q22, Oct2024 Q29).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Hémoglobinopathies (drépanocytose · thalassémies)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INDISPENSABLE au diagnostic de drépanocytose ET des thalassémies = ÉLECTROPHORÈSE DE L'HÉMOGLOBINE (pas l'électrophorèse des protides, pas le myélogramme).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Thalassémie hétérozygote = trait thalassémique → pseudo-polyglobulie microcytaire (GR↑, VGM↓), souvent sans traitement.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α-thalassémies : délétion des 4 gènes α = Hydrops fœtalis (mort fœtale) ; délétion de 3 gènes = hémoglobinose H.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récurrent : la crise vaso-occlusive / syndrome pied-main n'est PAS une manifestation de la thalassémie mais de la DRÉPANOCYTOSE (×5).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Maladie de Cooley = β-thalassémie MAJEURE homozygote, à ne pas confondre avec le trait hétérozygote.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électrophorèse Hb (drépano) ×4 ; thalassémie hétérozygote N2024 Q10.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Anémies hémolytiques constitutionnelles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Sphérocytose héréditaire (maladie de Minkowski-Chauffard) = anomalie de MEMBRANE du GR ; triade ictère néonatal / splénomégalie / lithiase biliaire pigmentaire ; traitement curatif = SPLÉNECTOMIE ; réticulocytose élevée (régénérative).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Déficit en G6PD (favisme) = transmission liée à l'X, hémolyse déclenchée par oxydants (fèves, médicaments).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supplémentation en folates est un traitement adjuvant des hémolyses chroniques, pas le traitement de fond de la sphérocytose (qui est la splénectomie).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sphérocytose membrane/splénectomie/réticulocytes — R2019 Q22, N2020 Q9, N2021.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RADIOTHÉRAPIE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Omrani  •  ~4,7 Q/examen  ·  56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pqtnuhdzhchbg13i-iqo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N2022 (e-qe.online) : </w:t>
      </w:r>
      <w:hyperlink w:history="1" r:id="rId8stgflpqqaonvnlizeu9g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Appareillage &amp; techniques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Accélérateur LINÉAIRE (LINAC) = production de faisceaux de haute énergie (photons/électrons) À VISÉE THÉRAPEUTIQUE (irradiation externe).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SIMULATEUR = appareil de RADIODIAGNOSTIC servant au repérage / positionnement / définition des volumes, PAS au traitement.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Curiethérapie (brachythérapie) = source radioactive AU CONTACT/dans la tumeur : interstitielle (prostate, sein) ou endocavitaire (col utérin).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majeur (×5) : le simulateur n'irradie pas le patient à visée curative — c'est un outil d'imagerie/repérage.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un simulateur » ×5 (R2019 Q48, N2022 Q34, Nov2024 Q33, Oct2024 Q31, R2024 Q33) ; « accélérateurs linéaires » ×4 (N2019 Q47, R2019 Q49, N2020 Q47, N2025 Q33).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Effets secondaires : aigus vs tardifs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AIGUS : pendant/juste après l'irradiation, RÉVERSIBLES (mucite, radioépidermite, « mal des rayons ») — liés à l'atteinte des tissus à renouvellement rapide.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TARDIFS/séquelles : &gt; 6 mois, IRRÉVERSIBLES (fibrose, sténoses, nécrose, cancers radio-induits) — liés aux tissus à renouvellement lent.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classer les séquelles tardives (fibrose, cancer radio-induit) parmi les effets aigus réversibles.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séquelles de la radiothérapie externe ×4 (N2019 Q49, R2019 Q45, N2020 Q48, R2022 Q32).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Curiethérapie par localisation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de la PROSTATE → curiethérapie INTERSTITIELLE (implants).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du SEIN → curiethérapie interstitielle (boost).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du COL utérin → curiethérapie ENDOCAVITAIRE (applicateurs intra-utérins/vaginaux).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curiethérapie prostate ×4 (R2019 Q46, N2021 Q34, N2022 Q32, N2024 Q48) ; sein ×4 (R2019 Q47, N2022 Q31, Nov2024 Q31, R2024 Q31).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LES LEUCÉMIES (LA · LMC · LLC)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Raissi / Pr Lahlimi  •  ~4,6 Q/examen  ·  55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LA : ≥ 20 % de blastes médullaires (OMS). LMC : syndrome myéloprolifératif BCR-ABL+. LLC : prolifération lymphoïde B mature, stadification Binet (A/B/C).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mf-ou_hdihp0sm_dbp5jw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ty_ncmcwtqguxnrnmpb2b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Leucémie myéloïde chronique (LMC)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LMC = chromosome Philadelphie t(9;22) → gène de fusion BCR-ABL ; diagnostic confirmé par le CARYOTYPE/biologie moléculaire.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typique : splénomégalie + hyperleucocytose avec MYÉLÉMIE équilibrée sans excès de blastes (phase chronique).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1re intention = INHIBITEURS DE TYROSINE KINASE (imatinib/ITK) → permet la guérison/rémission moléculaire profonde.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Un priapisme ou une leucostase peut révéler une LMC/LA hyperleucocytaire — urgence.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ITK 1re intention/guérison ×3 (R2019 Q4, Nov2024 Q30, Oct2024 Q9) + N2019 Q19, R2022 Q12 ; cas LMC N2025 Q17.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Leucémie lymphoïde chronique (LLC)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LLC : diagnostic = hémogramme (hyperlymphocytose) + IMMUNOPHÉNOTYPAGE (score de Matutes).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Stade Binet A = ABSTENTION thérapeutique + surveillance.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redoutée = syndrome de RICHTER (transformation en lymphome agressif).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Syndrome de Richter = complication de la LLC (piège répété ×4, classé ailleurs dans certaines sessions).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Richter = LLC ×4 (N2019 Q10, N2021 Q5, R2022 Q29, Oct2024 Q21).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Leucémies aiguës (LAM · LAL)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LA = présence de BLASTES en excès au MYÉLOGRAMME (≥ 20 %).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Corps/bâtonnets d'AUER = signature de la lignée MYÉLOÏDE (LAM).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LAL = la plus fréquente chez l'ENFANT ; sanctuaires = SNC et testicules.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Deux examens indispensables au diagnostic d'une LA = hémogramme + myélogramme.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LAM3 (promyélocytaire) = recherche SYSTÉMATIQUE d'une CIVD (cf. chapitre CIVD).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bâtonnets d'Auer = LAM ×3 (N2021 Q3, Nov2024 Q29, Oct2024 Q8) ; examens dgc LA (R2019 Q13, Oct2024 Q18) ; LA la + fréquente chez l'enfant (N2020 Q29, N2021 Q24).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CHIMIOTHÉRAPIE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Essadi  •  ~4,3 Q/examen  ·  52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to23tmfnv79hfrylmxkad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jmfklmzg3vscn-hggbq4i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Principes généraux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chimiothérapie est un traitement SYSTÉMIQUE, non spécifique, agissant sur les cellules en DIVISION (tumorales ET saines → toxicité).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Modalités : NÉOADJUVANTE (avant chirurgie, réduire la tumeur) / ADJUVANTE (après, détruire la maladie micrométastatique) / palliative.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But de la chimio adjuvante = éradiquer les micrométastases et diminuer le risque de rechute.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Adjuvante » ≠ « néoadjuvante » : l'adjuvante est POST-opératoire (micrométastases).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chimio = traitement systémique ×4 (N2024 Q40, Nov2024 Q45, Oct2024 Q38, R2024 Q48) ; buts adjuvante (N2021 Q44, N2023 Q43).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Familles &amp; mécanismes d'action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Alkylants &amp; SELS DE PLATINE (cisplatine) : action DIRECTE sur l'ADN (pontages), indépendante du cycle.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ANTHRACYCLINES : inhibent la topo-isomérase II — toxicité CARDIAQUE CUMULATIVE dose-dépendante.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ANTIMÉTABOLITES (5-FU, méthotrexate) : phase S, blocage de la synthèse d'ADN (thymidylate synthase / dihydrofolate réductase).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TAXANES &amp; VINCA-ALCALOÏDES : phase M, action sur les microtubules du fuseau.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Irinotécan/topotécan : inhibiteurs de la topo-isomérase 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Cisplatine = NÉPHROTOXICITÉ → hyperhydratation obligatoire ; anthracyclines = surveillance FEVG.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toxicité (cardiaque/rénale) ×4 (N2021 Q46, N2024 Q42, Nov2024 Q46, Oct2024 Q40) ; cytotoxiques (N2019 Q40, R2019 Q33).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LES LYMPHOMES (HODGKIN · LMNH)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Lahlimi  •  ~3,7 Q/examen  ·  44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Stadification d'ANN ARBOR (I-IV ± A/B) = principal facteur pronostique. Hodgkin : cellule de Reed-Sternberg CD30+ / CD15+.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gkkipqpzw6tyms2pefiq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N2020 (e-qe.online) : </w:t>
      </w:r>
      <w:hyperlink w:history="1" r:id="rIdfji153__f4yg5v1nw_hvi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Lymphome de Hodgkin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Cellule de REED-STERNBERG = CD30+ / CD15+ (diagnostic histologique).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Pourcentage de guérison après traitement d'un Hodgkin de stade I ≈ 90 % (excellent pronostic).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« BULKY » médiastinal = rapport médiastino-thoracique &gt; 0,35 (facteur de mauvais pronostic).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Stadification = ANN ARBOR ; l'atteinte SPLÉNIQUE ne fait PAS passer automatiquement au stade IV (la rate est considérée comme un territoire ganglionnaire).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Bulky = ratio &gt; 0,35 (piège chiffré répété ×4).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guérison stade I ≈90 % ×4 (N2019 Q26, N2020 Q15, N2021 Q25, Oct2024 Q1) ; Bulky &gt;0,35 ×4 (N2019 Q22, N2020 Q19, N2021 Q10, Oct2024 Q11).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Lymphomes non hodgkiniens (LMNH)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LMNH agressif à grandes cellules B → protocole R-CHOP (rituximab + CHOP).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Chez l'enfant : Burkitt (forme abdominale) et lymphoblastique T (forme médiastinale) sont les plus fréquents.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lymphomes les + fréquents chez l'enfant ×2 (R2022 Q14, Oct2024 Q10).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DOULEUR ET CANCER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Fadli  •  ~2,7 Q/examen  ·  32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Paliers analgésiques OMS : I non-opioïdes · II opioïdes faibles · III opioïdes forts (morphine).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029l1_bwz24w0gg4spwvj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dzibzmr54cuh_krxtoa93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Mécanismes &amp; types de douleur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 NOCICEPTIVE : excès de stimulation des nocicepteurs → répond aux antalgiques des 3 paliers OMS.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 NEUROPATHIQUE : lésion du système nerveux → traitement par antiépileptiques (gabapentine/prégabaline) et/ou antidépresseurs, PAS par les paliers classiques seuls.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douleur cancéreuse est souvent MIXTE (nociceptive + neuropathique).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douleur neuropathique répond mal aux antalgiques de palier — d'où les co-antalgiques spécifiques.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douleur cancéreuse ×4 (N2024 Q33, Nov2024 Q42, Oct2024 Q46, R2024 Q39) ; neuropathique ×3 (N2021 Q37, N2024 Q34, Oct2024 Q47).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Principes de traitement (OMS)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Échelle OMS à 3 paliers ; titration des opioïdes, prévention systématique de la constipation sous morphiniques.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Réévaluation régulière, prise en compte des accès douloureux paroxystiques.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traitement de la douleur cancéreuse ×2 (N2024 Q35, Oct2024 Q48) ; nociceptive ×2 (Nov2024 Q43, R2024 Q40).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ÉPIDÉMIOLOGIE DES CANCERS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Omrani  •  ~2,6 Q/examen  ·  31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im6xqrphgxyqniy2lyilu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ca8zqb5wlpq_an5pg_d4t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Types d'études épidémiologiques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Épidémiologie DESCRIPTIVE : décrit la fréquence/répartition (incidence, prévalence, mortalité) — registres des cancers.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Épidémiologie ANALYTIQUE : recherche les facteurs de risque/causalité (cas-témoins, cohortes).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CAS-TÉMOINS : rétrospective, part de la maladie → expose ; mesure l'ODDS RATIO ; adaptée aux maladies rares.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Étude de COHORTE : prospective, part de l'exposition → maladie ; mesure le RISQUE RELATIF / l'incidence.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Cas-témoins → odds ratio (pas d'incidence directe) ; cohorte → risque relatif/incidence. Ne pas inverser.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épidémio descriptive (N2024 Q31, Oct2024 Q44) ; cas-témoins (N2024 Q32, Oct2024 Q45) ; analytique (Nov2024 Q40, R2024 Q37) ; cohortes (Nov2024 Q41, R2024 Q38).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Contexte marocain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Maroc dispose de registres des cancers régionaux (ex. Grand Casablanca, Rabat) alimentant les données nationales d'incidence.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registre des cancers du Maroc ×2 (N2020 Q33-34).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HORMONOTHÉRAPIE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Omrani  •  ~2,4 Q/examen  ·  29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y2rky4luleorer30mr-59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w0mrcx7lqoy5uwkxegqof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Hormonothérapie du cancer du sein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Indication = tumeurs HORMONO-SENSIBLES (récepteurs hormonaux RH+).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TAMOXIFÈNE = SERM : ANTI-œstrogène sur le sein mais effet PRO-œstrogène sur l'endomètre → risque de cancer de l'endomètre ; utilisé surtout en PRÉ-ménopause.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ANTI-AROMATASES (létrozole, anastrozole) : réservées à la POST-ménopause ; effet indésirable = perte osseuse/ostéoporose (PAS de risque endométrial).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Tamoxifène → surveillance gynécologique (risque endomètre) ; anti-aromatases → surveillance osseuse. Ne pas prescrire d'anti-aromatase seule chez une femme non ménopausée.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tamoxifène ×5 (R2019 Q41, N2022 Q40, N2023 Q36, N2024 Q38, N2025 Q48).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Hormonothérapie suppressive (cancer prostate / sein)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Agonistes de la LH-RH = castration médicale ; risque d'effet « FLARE-UP » initial (poussée de testostérone) PRÉVENU par un anti-androgène (bicalutamide) en début de traitement.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L'hormonothérapie est historiquement considérée comme la 1re « thérapie ciblée » de l'histoire de l'oncologie.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Flare-up des agonistes LH-RH = aggravation transitoire ; toujours couvrir par anti-androgène au démarrage.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hormonothérapie des cancers ×3 (N2024 Q36, Oct2024 Q49, R2024 Q41) ; suppressive ×2 (N2024 Q37, Oct2024 Q50).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PURPURA THROMBOPÉNIQUE IMMUNOLOGIQUE (PTI)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Hématologie  •  ~2,3 Q/examen  ·  28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zgtz2i_8lblmyjwbhpx5p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pxn02hj7sniyvdgdqvfd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PTI = thrombopénie PÉRIPHÉRIQUE par destruction immunologique (auto-anticorps anti-glycoprotéines plaquettaires) — destruction périphérique, PAS centrale.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C'est un diagnostic d'ÉLIMINATION (moelle normale/riche en mégacaryocytes).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PTI dit CHRONIQUE après 12 MOIS d'évolution.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Pronostic globalement meilleur chez l'ENFANT (souvent résolutif).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×4 : l'HÉMARTHROSE n'appartient PAS au PTI (purpura cutanéo-muqueux : pétéchies, ecchymoses, bulles) — l'hémarthrose évoque l'hémophilie.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dgc d'élimination N2019 Q5 ; chronique = 12 mois ×2 (R2019 Q7, N2020 Q22) ; hémarthrose inhabituelle ×2 (N2021 Q12, Oct2024 Q14).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1re intention = CORTICOTHÉRAPIE (± immunoglobulines IV si urgence hémorragique).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2e intention/chronique réfractaire = splénectomie, agonistes du récepteur de la TPO, rituximab.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PAS de transfusion de plaquettes systématique (détruites immédiatement, réservée aux hémorragies vitales).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 pas transfuser des plaquettes en routine dans le PTI.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corticoïdes 1re intention ×3 (N2019 Q23, N2021 Q13, Oct2024 Q15) ; traitement 1re intention ×2 (N2024 Q12, R2024 Q13).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THÉRAPIES CIBLÉES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Essadi  •  ~2,3 Q/examen  ·  27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_lmjpylrbti7ef9gwh7c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0viskvfallhin7gn5y1c2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Généralités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Thérapies ciblées = traitement SYSTÉMIQUE, plus spécifique que la chimio, avec un spectre de toxicité PARTICULIER (≠ chimio classique) ; exigent un bilan du terrain (ex. statut HER2, mutations) avant prescription.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Deux grandes classes : ANTICORPS MONOCLONAUX (suffixe -MAB, voie IV, haut poids moléculaire) et PETITES MOLÉCULES (suffixe -NIB, voie ORALE).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innovation/traitement systémique spécifique » ×6 (N2022 Q49, N2023 Q44, N2024 Q44, Nov2024 Q48, Oct2024 Q41, R2024 Q49).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Cibles &amp; molécules (à connaître)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Anti-HER2 : TRASTUZUMAB, PERTUZUMAB (anticorps, IV) ; lapatinib (-nib, oral) — cancer du sein HER2+.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Anti-EGFR : CETUXIMAB, PANITUMUMAB — toxicité CUTANÉE caractéristique (rash acnéiforme).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Anti-VEGF / antiangiogénique : BEVACIZUMAB.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Pertuzumab : protéine de haut poids moléculaire, administrée par voie IV.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ERREUR D'ÉNONCÉ signalée : Nov2024 Q49 affirme « le Panitumumab est un anticorps monoclonal anti-HER2 » — c'est FAUX : le panitumumab est ANTI-EGFR (comme le cetuximab, N2024 Q46). Toxicité cutanée. Ne pas mémoriser l'énoncé erroné.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Bevacizumab cible le VEGF (angiogenèse), pas la famille HER — distracteur classique.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cetuximab anti-EGFR N2024 Q46, Oct2024 Q43 ; pertuzumab anti-HER2 N2024 Q45 ; famille HER (trastuzumab/pertuzumab) N2021 Q42.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TRANSFUSION SANGUINE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Hématologie  •  ~2,2 Q/examen  ·  26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N2022 (e-qe.online) : </w:t>
      </w:r>
      <w:hyperlink w:history="1" r:id="rIdr7tbu-0kohtcvsxzosbqb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Nov2024 (e-qe.online) : </w:t>
      </w:r>
      <w:hyperlink w:history="1" r:id="rIdxnbnqoasgoe_nbnxp4fru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Produits sanguins labiles &amp; qualifications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Culots globulaires (CGR) : conservés à +4 °C, jusqu'à 42 JOURS ; NE sont PAS conservés sous agitation ni congelés.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DÉLEUCOCYTATION (filtration) du CGR prévient la réaction FRISSONS-HYPERTHERMIE (non hémolytique fébrile).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Qualifications du PLASMA FRAIS CONGELÉ (PFC) = VIRO-INACTIVÉ et SÉCURISÉ (≠ phénotypé, ≠ irradié).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Concentrés plaquettaires : irradiés chez l'immunodéprimé (prévention du GVH transfusionnel) ; sang O négatif = donneur universel en urgence.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Qualifications du PFC = viro-inactivé + sécurisé (piège répété ×5 : ni phénotypé, ni irradié, ni d'aphérèse).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qualifications PFC ×5 (R2019 Q25, N2022 Q26, R2022 Q15, Nov2024 Q16, Oct2024 Q26) ; CGR ×4 (N2019 Q9, R2019 Q15, N2022 Q29, R2022 Q27).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Accidents transfusionnels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Accidents IMMÉDIATS : incompatibilité ABO (hémolyse aiguë), réaction frissons-hyperthermie, allergie, surcharge volémique, choc septique.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Hémolyse aiguë par incompatibilité ABO = hémolyse INTRAVASCULAIRE, se complique de CIVD, évolution souvent défavorable.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Incompatibilité Rhésus = accident plutôt RETARDÉ (vs ABO immédiat).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Nuance/contradiction sur le SENS de l'hémolyse ABO : N2022 Q27 valide l'item « lyse des hématies du RECEVEUR par les anticorps du DONNEUR ». Classiquement, le mécanisme dominant et le plus grave est l'INVERSE (anticorps anti-A/B du RECEVEUR lysant les hématies du DONNEUR, incompatibilité majeure). → Connaître la version de l'énoncé tout en gardant le mécanisme physiopathologique de référence en tête.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hémolyse ABO ×2 (N2019 Q30, N2022 Q27) ; accidents immédiats R2019 Q11, N2021 Q27.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MYÉLOME MULTIPLE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Lahlimi  •  ~2,1 Q/examen  ·  25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Critères CRAB (hyperCalcémie · insuffisance Rénale · Anémie · Bone/atteinte osseuse). Maladie de Kahler.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N2021 (e-qe.online) : </w:t>
      </w:r>
      <w:hyperlink w:history="1" r:id="rIdnixuuzngthc79zfceuhx1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R2022 (e-qe.online) : </w:t>
      </w:r>
      <w:hyperlink w:history="1" r:id="rIdrp_beoz3qlg1hauxujo66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Myélome = maladie de KAHLER ; principale anomalie du MYÉLOGRAMME = PLASMOCYTES DYSTROPHIQUES en excès (plasmocytose médullaire).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Retentissement = CRAB ; pic monoclonal à l'électrophorèse des protéines sériques.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×4 : « il n'existe PAS de signe radiologique SPÉCIFIQUE » du myélome — les lacunes à l'emporte-pièce (crâne) sont CARACTÉRISTIQUES mais non spécifiques. L'item « signe radiologique spécifique » est donc à manier prudemment selon la formulation de l'énoncé.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plasmocytes au myélogramme ×4 (N2019 Q20, N2020 Q14, N2021 Q4, Oct2024 Q13) ; signe radiologique « spécifique » ×4 (N2019 Q28, N2020 Q13, N2021 Q11, Oct2024 Q12).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&amp; pronostic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THALIDOMIDE : effet principal = ANTI-ANGIOGÉNIQUE (+ immunomodulateur).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Stratégie : immuno-chimiothérapie ± AUTOGREFFE de cellules souches (pas d'allogreffe en standard) ; maladie INCURABLE (rémissions/rechutes).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Myélome = autogreffe (pas allogreffe en routine) ; maladie chronique incurable.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effet thalidomide (anti-angiogénique) ×4 (N2019 Q17, R2019 Q20, N2021 Q20, Oct2024 Q25).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APLASIE MÉDULLAIRE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Hématologie  •  ~1,8 Q/examen  ·  22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xvsgkdumaffio_x26wfds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zxsejc1uqt-hzz8idbkxq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Aplasie médullaire = insuffisance médullaire QUANTITATIVE (moelle pauvre/désertique) → PANCYTOPÉNIE périphérique.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CERTITUDE = BIOPSIE OSTÉO-MÉDULLAIRE (BOM) montrant une moelle pauvre — PAS le myélogramme seul.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pancytopénie isolée, l'examen clé = exploration médullaire (BOM).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×5 : la certitude diagnostique repose sur la BIOPSIE médullaire (BOM), le myélogramme pouvant être faussement rassurant (« moelle pauvre »).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Absence d'organomégalie / d'adénopathies (≠ leucémie/lymphome).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BOM = certitude ×2 (N2019 Q21, R2019 Q1) ; pancytopénie isolée → exploration médullaire ×3 (N2020 Q30, N2021 Q1, Oct2024 Q2) ; « moelle pauvre » ×2 (N2024 Q2, R2024 Q8).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: idiopathique (la + fréquente), toxiques/médicamenteuses, radiques, virales.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CHLORAMPHÉNICOL = cause d'aplasie médullaire IRRÉVERSIBLE classique.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dans une aplasie médullaire on retrouve » ×3 (N2023 Q1, N2024 Q1, R2024 Q1).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POLYGLOBULIE DE VAQUEZ (SMP Ph-)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Hématologie  •  ~1,8 Q/examen  ·  22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Syndrome myéloprolifératif Philadelphie-NÉGATIF, mutation JAK2 V617F.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N2021 (e-qe.online) : </w:t>
      </w:r>
      <w:hyperlink w:history="1" r:id="rIdinkci7oxjhsrqto0s-qty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lbygufmabbtzi66kwgac4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&amp; arguments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Vaquez = polyglobulie PRIMITIVE, mutation JAK2 positive, ÉRYTHROPOÏÉTINE (EPO) BASSE.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Arguments en faveur : hyperplaquettose, polynucléose neutrophile, splénomégalie, prurit À L'EAU (aquagénique).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Polyglobulies SECONDAIRES = EPO élevée, pas de splénomégalie ni de mutation JAK2.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PIÈGE EMBLÉMATIQUE ×6 : l'HIPPOCRATISME DIGITAL n'est PAS en faveur d'une maladie de Vaquez — il oriente vers une polyglobulie SECONDAIRE (hypoxie chronique). Question quasi identique répétée sur 6 sessions.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hippocratisme digital » = item FAUX ×6 (N2019 Q15, R2019 Q18, N2020 Q20, N2021 Q21, R2022 Q3, Oct2024 Q23) ; prurit aquagénique ×2 (N2021 Q28, N2022 Q23).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&amp; complications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SAIGNÉES (phlébotomies) pour normaliser l'hématocrite ± hydroxyurée (cytoréduction), aspirine à faible dose.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évolutives : transformation en leucémie aiguë ou myélofibrose ; risque thrombotique.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la polyglobulie de Vaquez » ×3 (N2023 Q10, Nov2024 Q19, R2024 Q22).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HÉMOPHILIE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Hématologie  •  ~1,6 Q/examen  ·  19 Q au total (12 sessions, 2019→2025)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Maladie récessive liée à l'X. Sévérité : sévère &lt; 1 % · modérée 1-5 % · mineure &gt; 5 % de facteur.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m4gezuxulx2wxq7swbb_m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ger9rct0zqchzknm-d2s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Hémophilie = déficit en facteur de la coagulation, transmission LIÉE À L'X (garçons atteints, mères conductrices).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Hémophilie A (déficit en FACTEUR VIII) plus fréquente que B (facteur IX).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Biologie : ALLONGEMENT ISOLÉ du TCA (TP/plaquettes normaux) ; au Maroc, révélation fréquente lors de la CIRCONCISION.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Manifestation typique = HÉMARTHROSES (genou, coude) répétées.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TCA allongé + TP normal + plaquettes normales = anomalie de la voie intrinsèque → doser FVIII/FIX.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l'hémophilie A » ×3 (N2020 Q26, N2022 Q30, Nov2024 Q5) ; hémarthroses ×2 (N2024 Q9, R2024 Q14) ; hémophilie majeure ×2 (R2019 Q24, Oct2024 Q5).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&amp; contre-indications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substitution du facteur déficitaire (FVIII ou FIX) ; en urgence hémorragique, ADMINISTRER LE FACTEUR EN PREMIER.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Contre-indications ABSOLUES : aspirine, AINS, injections INTRAMUSCULAIRES, prise de température RECTALE, gestes invasifs sans couverture.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Médicaments/gestes à ne JAMAIS faire chez l'hémophile : aspirine, AINS, IM, voie rectale (piège répété ×3).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médicament(s) à ne jamais administrer » ×3 (N2024 Q7, Nov2024 Q28, R2024 Q9) ; traitement hémophilie B ×2 (N2024 Q8, R2024 Q10).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CIVD (Coagulation Intravasculaire Disséminée)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Raissi — Urgences hématologiques  •  ~1,3 Q/examen  ·  16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q8o8bny30c5tcees2qqju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fkip31jjay2audk_jqbtt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Biologie &amp; diagnostic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CIVD = activation diffuse de la coagulation → consommation des facteurs et des plaquettes.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Profil biologique : TCA ALLONGÉ, TP/TQ DIMINUÉ, FIBRINOGÈNE BAS (consommé), D-DIMÈRES/PDF ÉLEVÉS, thrombopénie.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traitement essentiel = TRAITER LA CAUSE déclenchante.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Fibrinogène BAS (consommé) + D-dimères HAUTS = signature ; ne pas confondre avec une simple fibrinolyse.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CIVD fréquente dans certaines hémopathies ×4 (R2019 Q23, N2020 Q24, N2021 Q23, Oct2024 Q27).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Hémopathie emblématique = LEUCÉMIE AIGUË PROMYÉLOCYTAIRE (LAM3) → recherche SYSTÉMATIQUE d'une CIVD.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obstétricales/solides : utérus (hématome rétroplacentaire, embolie amniotique), poumon, prostate ; sepsis ; polytraumatisme.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Devant une LAM3, toujours rechercher et anticiper la CIVD (urgence).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CIVD obstétricale/LAM3 ×2 (N2024 Q4, R2024 Q5).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LES URGENCES EN ONCOLOGIE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Fadli  •  ~1,0 Q/examen  ·  12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N2025 (e-qe.online) : </w:t>
      </w:r>
      <w:hyperlink w:history="1" r:id="rIdlnnhjdbm3zstqw3gbtzee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ucv2fvsjz_65cpzje3n0t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Urgences fréquentes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NEUTROPÉNIE FÉBRILE : PNN &lt; 500/mm³ + fièvre ≥ 38,3 °C → antibiothérapie à large spectre URGENTE (anti-BGN, ± anti-Pseudomonas).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DE LYSE TUMORALE : hyperkaliémie, hyperuricémie, hyperphosphorémie, HYPOcalcémie → hyperhydratation + hypo-uricémiant (rasburicase/allopurinol).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Autres : compression médullaire, syndrome cave supérieur, hypercalcémie maligne, leucostase, HTIC.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Neutropénie fébrile = URGENCE : antibiothérapie probabiliste sans attendre les résultats microbiologiques.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urgences oncologiques — N2023 Q50, N2024 Q49-50, N2025 Q11-13 &amp; Q37.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TRANSVERSAL — RECONNAISSANCE HÉMATOLOGIQUE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~0,8 Q/examen  ·  10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fj3_vvciemd6o_7ntp2bm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N2023 (e-qe.online) : </w:t>
      </w:r>
      <w:hyperlink w:history="1" r:id="rIduhgncqddfgu6h8bbnr1uq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Questions de reconnaissance / d'élimination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Reliquat de questions transversales recoupant plusieurs cours (associations pathologie ↔ signe/examen, items « dans quelle pathologie on n'observe jamais… »).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Réviser surtout les associations exclusives : adénopathies (présentes dans LLC/lymphomes, absentes dans certaines pathologies), syndrome de Richter ↔ LLC.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Ces items « jamais/toujours » sont très discriminants : raisonner par élimination.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« dans quelle pathologie on n'observe jamais d'adénopathies » ×3 (N2019 Q27, R2022 Q16, Oct2024 Q4) ; Richter ↔ LLC ×4.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DIAGNOSTIC ET BILAN D'EXTENSION DES CANCERS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El Fadli  •  ~0,8 Q/examen  ·  9 Q au total (12 sessions, 2019→2025)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N2024 (e-qe.online) : </w:t>
      </w:r>
      <w:hyperlink w:history="1" r:id="rIdaa84xdkgbjyovzadw7qr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R2024 (e-qe.online) : </w:t>
      </w:r>
      <w:hyperlink w:history="1" r:id="rIdz7bocdnix2b00-i6j4kpj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Imagerie du bilan d'extension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TEP-SCAN (tomographie par émission de positons) : haute sensibilité pour les atteintes ganglionnaires et les métastases à distance (ex. cancer bronchique).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TDM thoraco-abdomino-pelvienne = bilan d'extension de base ; IRM pour cerveau/pelvis/moelle.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cellule cancéreuse se définit par : prolifération incontrôlée, perte de la régulation, capacité d'invasion/métastase.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TEP = sensibilité élevée mais pièges de faux positifs inflammatoires — corrélation au contexte.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TEP ×3 (N2020 Q45, N2022 Q37, R2024 Q36) ; TDM ×2 (R2019 Q50, R2022 Q35).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~0%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04040"/>
          <w:sz w:val="20"/>
          <w:szCs w:val="20"/>
        </w:rPr>
        <w:t xml:space="preserve">(Aucun topic hors programme — tous les topics correspondent aux leçons officielles cette année.)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HÉMATOLOGIE-ONCOLOGIE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CLASSIFICATIONS &amp; SCORES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Ann Arbor (I-IV ± A/B)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Lymphomes (Hodgkin &amp; LMNH) — principal pronostic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Binet (A / B / C)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Leucémie lymphoïde chronique (LLC) — stade A = abstention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CRAB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Myélome : hyperCalcémie · Rénal · Anémie · Bone (os)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Sévérité hémophilie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Sévère &lt;1 % · Modérée 1-5 % · Mineure &gt;5 % de facteur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Paliers OMS (I-II-III)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Douleur cancéreuse : non-opioïde → opioïde faible → fort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LA = ≥ 20 % blastes (OMS)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Seuil diagnostique de leucémie aiguë au myélogramme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MARQUEURS / CIBLES MOLÉCULAIRES CLÉS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BCR-ABL — t(9;22), chromosome Philadelphie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LMC → inhibiteurs de tyrosine kinase (imatinib)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JAK2 V617F + EPO BASSE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de Vaquez (SMP Ph-négatif)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Reed-Sternberg CD30+ / CD15+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Lymphome de Hodgkin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HER2 → trastuzumab/pertuzumab (-mab, IV)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 du sein HER2+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EGFR → cetuximab/panitumumab (-mab)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Toxicité CUTANÉE caractéristique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VEGF → bevacizumab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Antiangiogénique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-mab = anticorps monoclonal (IV) · -nib = petite molécule (orale)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Règle de nomenclature des thérapies ciblées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Électrophorèse de l'hémoglobine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Diagnostic des drépanocytoses &amp; thalassémies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Plasmocytes dystrophiques (myélogramme)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Myélome multiple (Kahler)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Biopsie ostéo-médullaire (BOM)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Certitude de l'aplasie médullaire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(items récurrents FAUX)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Hippocratisme digital → PAS Vaquez (= polyglobulie secondaire/hypoxie). Répété ×6.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Hémarthrose → PAS le PTI (= hémophilie). Le PTI donne un purpura cutanéo-muqueux. ×4.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Crise vaso-occlusive / pied-main → PAS thalassémie (= drépanocytose). ×5.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Atteinte splénique du Hodgkin → ne fait PAS passer au stade IV (rate = territoire ganglionnaire).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Myélome : pas de signe radiologique « spécifique » (lacunes à l'emporte-pièce = caractéristiques, non spécifiques). ×4.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Aplasie médullaire : certitude = BIOPSIE médullaire, pas le myélogramme seul. ×5.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Simulateur de radiothérapie = imagerie/repérage, n'irradie pas à visée curative. ×5.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PFC : qualifications = viro-inactivé + sécurisé (ni phénotypé, ni irradié, ni d'aphérèse). ×5.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Panitumumab = anti-EGFR (et non anti-HER2 comme l'affirme à tort l'énoncé Nov2024 Q49).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Cas-témoins → odds ratio ; cohorte → risque relatif/incidence. Ne pas inverser.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SÉQUENCES &amp; RÉFLEXES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Microcytaire hypochrome → ferritine (1er) ; arrêt du fer à la normalisation de la ferritine.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Macrocytaire arégénérative + signes neuro → B12 ; confirmation par dosage ; traitement à vie (Biermer).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de lyse tumorale = K↑ · acide urique↑ · phosphore↑ · calcium↓ → hyperhydratation + rasburicase.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Neutropénie fébrile (PNN&lt;500 + ≥38,3 °C) → antibiothérapie large spectre immédiate.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CIVD = TP↓ · TCA↑ · fibrinogène↓ · D-dimères↑ → traiter la cause ; rechercher devant toute LAM3.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Agoniste LH-RH → risque flare-up → couvrir par anti-androgène (bicalutamide) au démarrage.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Hémophilie en urgence hémorragique → administrer le facteur déficitaire EN PREMIER ; jamais d'aspirine/AINS/IM.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 (Opus))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600 QEs officielles × Cours AIO Hémato (614 p.) + Onco (659 p.)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Pr Raissi · Pr Lahlimi · Pr El Fadli · Pr El Omrani · Pr Essadi — FMPM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600/600 QE analysées sur 12 sessions (Normal 2019 → Normal 2025).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Session « Octobre 2024 » : énoncés présents mais SANS corrigé officiel dans la source (correction collective non transcrite) — réponses validées sur le cours AIO / EBM, jamais inventées.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Les 65 « questions inclassifiables » ont été redistribuées dans leur cours d'origine + une section transversale résiduelle (reconnaissance hématologique).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de fréquence ; déduplication des questions répétées ; FAUX explicites (⚠).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Contradictions inter-sessions signalées (ex. B12 orale vs parentérale N2024 vs R2024 ; sens de l'hémolyse ABO).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Corrigés-source : 12 examens corrigés e-qe.online (2019-2025) — liens fournis dans le chat.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-boymhw3j7u95em-s9syg" Type="http://schemas.openxmlformats.org/officeDocument/2006/relationships/hyperlink" Target="https://www.e-qe.online/exam/73f18a54-1efd-4d52-9293-247853fdd76b" TargetMode="External"/><Relationship Id="rIddubmrxo3zww0lcui0b63d" Type="http://schemas.openxmlformats.org/officeDocument/2006/relationships/hyperlink" Target="https://www.e-qe.online/exam/5fcacd0a-ec53-4cca-abac-8bb4e0b71a37" TargetMode="External"/><Relationship Id="rIdpqtnuhdzhchbg13i-iqoh" Type="http://schemas.openxmlformats.org/officeDocument/2006/relationships/hyperlink" Target="https://www.e-qe.online/exam/73f18a54-1efd-4d52-9293-247853fdd76b" TargetMode="External"/><Relationship Id="rId8stgflpqqaonvnlizeu9g" Type="http://schemas.openxmlformats.org/officeDocument/2006/relationships/hyperlink" Target="https://www.e-qe.online/exam/63e024c9-9ca5-4b23-a387-5478fdec6c46" TargetMode="External"/><Relationship Id="rIdmf-ou_hdihp0sm_dbp5jw" Type="http://schemas.openxmlformats.org/officeDocument/2006/relationships/hyperlink" Target="https://www.e-qe.online/exam/73f18a54-1efd-4d52-9293-247853fdd76b" TargetMode="External"/><Relationship Id="rIdty_ncmcwtqguxnrnmpb2b" Type="http://schemas.openxmlformats.org/officeDocument/2006/relationships/hyperlink" Target="https://www.e-qe.online/exam/016b710e-639f-4150-b6a3-471afdf07e01" TargetMode="External"/><Relationship Id="rIdto23tmfnv79hfrylmxkad" Type="http://schemas.openxmlformats.org/officeDocument/2006/relationships/hyperlink" Target="https://www.e-qe.online/exam/73f18a54-1efd-4d52-9293-247853fdd76b" TargetMode="External"/><Relationship Id="rIdjmfklmzg3vscn-hggbq4i" Type="http://schemas.openxmlformats.org/officeDocument/2006/relationships/hyperlink" Target="https://www.e-qe.online/exam/5fcacd0a-ec53-4cca-abac-8bb4e0b71a37" TargetMode="External"/><Relationship Id="rIdgkkipqpzw6tyms2pefiqh" Type="http://schemas.openxmlformats.org/officeDocument/2006/relationships/hyperlink" Target="https://www.e-qe.online/exam/73f18a54-1efd-4d52-9293-247853fdd76b" TargetMode="External"/><Relationship Id="rIdfji153__f4yg5v1nw_hvi" Type="http://schemas.openxmlformats.org/officeDocument/2006/relationships/hyperlink" Target="https://www.e-qe.online/exam/9a991fcb-cbd9-4675-abb3-126c7c12be15" TargetMode="External"/><Relationship Id="rId029l1_bwz24w0gg4spwvj" Type="http://schemas.openxmlformats.org/officeDocument/2006/relationships/hyperlink" Target="https://www.e-qe.online/exam/5fcacd0a-ec53-4cca-abac-8bb4e0b71a37" TargetMode="External"/><Relationship Id="rIddzibzmr54cuh_krxtoa93" Type="http://schemas.openxmlformats.org/officeDocument/2006/relationships/hyperlink" Target="https://www.e-qe.online/exam/016b710e-639f-4150-b6a3-471afdf07e01" TargetMode="External"/><Relationship Id="rIdim6xqrphgxyqniy2lyilu" Type="http://schemas.openxmlformats.org/officeDocument/2006/relationships/hyperlink" Target="https://www.e-qe.online/exam/5fcacd0a-ec53-4cca-abac-8bb4e0b71a37" TargetMode="External"/><Relationship Id="rIdca8zqb5wlpq_an5pg_d4t" Type="http://schemas.openxmlformats.org/officeDocument/2006/relationships/hyperlink" Target="https://www.e-qe.online/exam/016b710e-639f-4150-b6a3-471afdf07e01" TargetMode="External"/><Relationship Id="rIdy2rky4luleorer30mr-59" Type="http://schemas.openxmlformats.org/officeDocument/2006/relationships/hyperlink" Target="https://www.e-qe.online/exam/5fcacd0a-ec53-4cca-abac-8bb4e0b71a37" TargetMode="External"/><Relationship Id="rIdw0mrcx7lqoy5uwkxegqof" Type="http://schemas.openxmlformats.org/officeDocument/2006/relationships/hyperlink" Target="https://www.e-qe.online/exam/73f18a54-1efd-4d52-9293-247853fdd76b" TargetMode="External"/><Relationship Id="rIdzgtz2i_8lblmyjwbhpx5p" Type="http://schemas.openxmlformats.org/officeDocument/2006/relationships/hyperlink" Target="https://www.e-qe.online/exam/5fcacd0a-ec53-4cca-abac-8bb4e0b71a37" TargetMode="External"/><Relationship Id="rIdpxn02hj7sniyvdgdqvfdc" Type="http://schemas.openxmlformats.org/officeDocument/2006/relationships/hyperlink" Target="https://www.e-qe.online/exam/016b710e-639f-4150-b6a3-471afdf07e01" TargetMode="External"/><Relationship Id="rId_lmjpylrbti7ef9gwh7cc" Type="http://schemas.openxmlformats.org/officeDocument/2006/relationships/hyperlink" Target="https://www.e-qe.online/exam/5fcacd0a-ec53-4cca-abac-8bb4e0b71a37" TargetMode="External"/><Relationship Id="rId0viskvfallhin7gn5y1c2" Type="http://schemas.openxmlformats.org/officeDocument/2006/relationships/hyperlink" Target="https://www.e-qe.online/exam/016b710e-639f-4150-b6a3-471afdf07e01" TargetMode="External"/><Relationship Id="rIdr7tbu-0kohtcvsxzosbqb" Type="http://schemas.openxmlformats.org/officeDocument/2006/relationships/hyperlink" Target="https://www.e-qe.online/exam/63e024c9-9ca5-4b23-a387-5478fdec6c46" TargetMode="External"/><Relationship Id="rIdxnbnqoasgoe_nbnxp4fru" Type="http://schemas.openxmlformats.org/officeDocument/2006/relationships/hyperlink" Target="https://www.e-qe.online/exam/60717d3a-490c-43f7-b101-c8cfa9202403" TargetMode="External"/><Relationship Id="rIdnixuuzngthc79zfceuhx1" Type="http://schemas.openxmlformats.org/officeDocument/2006/relationships/hyperlink" Target="https://www.e-qe.online/exam/40fc6ad7-3579-4129-98a1-e52b30a0d03d" TargetMode="External"/><Relationship Id="rIdrp_beoz3qlg1hauxujo66" Type="http://schemas.openxmlformats.org/officeDocument/2006/relationships/hyperlink" Target="https://www.e-qe.online/exam/1759e6f3-d7d9-4ac8-931e-a9aeb9c132c1" TargetMode="External"/><Relationship Id="rIdxvsgkdumaffio_x26wfds" Type="http://schemas.openxmlformats.org/officeDocument/2006/relationships/hyperlink" Target="https://www.e-qe.online/exam/73f18a54-1efd-4d52-9293-247853fdd76b" TargetMode="External"/><Relationship Id="rIdzxsejc1uqt-hzz8idbkxq" Type="http://schemas.openxmlformats.org/officeDocument/2006/relationships/hyperlink" Target="https://www.e-qe.online/exam/5fcacd0a-ec53-4cca-abac-8bb4e0b71a37" TargetMode="External"/><Relationship Id="rIdinkci7oxjhsrqto0s-qty" Type="http://schemas.openxmlformats.org/officeDocument/2006/relationships/hyperlink" Target="https://www.e-qe.online/exam/40fc6ad7-3579-4129-98a1-e52b30a0d03d" TargetMode="External"/><Relationship Id="rIdlbygufmabbtzi66kwgac4" Type="http://schemas.openxmlformats.org/officeDocument/2006/relationships/hyperlink" Target="https://www.e-qe.online/exam/016b710e-639f-4150-b6a3-471afdf07e01" TargetMode="External"/><Relationship Id="rIdm4gezuxulx2wxq7swbb_m" Type="http://schemas.openxmlformats.org/officeDocument/2006/relationships/hyperlink" Target="https://www.e-qe.online/exam/5fcacd0a-ec53-4cca-abac-8bb4e0b71a37" TargetMode="External"/><Relationship Id="rIdger9rct0zqchzknm-d2sh" Type="http://schemas.openxmlformats.org/officeDocument/2006/relationships/hyperlink" Target="https://www.e-qe.online/exam/016b710e-639f-4150-b6a3-471afdf07e01" TargetMode="External"/><Relationship Id="rIdq8o8bny30c5tcees2qqju" Type="http://schemas.openxmlformats.org/officeDocument/2006/relationships/hyperlink" Target="https://www.e-qe.online/exam/5fcacd0a-ec53-4cca-abac-8bb4e0b71a37" TargetMode="External"/><Relationship Id="rIdfkip31jjay2audk_jqbtt" Type="http://schemas.openxmlformats.org/officeDocument/2006/relationships/hyperlink" Target="https://www.e-qe.online/exam/016b710e-639f-4150-b6a3-471afdf07e01" TargetMode="External"/><Relationship Id="rIdlnnhjdbm3zstqw3gbtzee" Type="http://schemas.openxmlformats.org/officeDocument/2006/relationships/hyperlink" Target="https://www.e-qe.online/exam/73f18a54-1efd-4d52-9293-247853fdd76b" TargetMode="External"/><Relationship Id="rIducv2fvsjz_65cpzje3n0t" Type="http://schemas.openxmlformats.org/officeDocument/2006/relationships/hyperlink" Target="https://www.e-qe.online/exam/5fcacd0a-ec53-4cca-abac-8bb4e0b71a37" TargetMode="External"/><Relationship Id="rIdfj3_vvciemd6o_7ntp2bm" Type="http://schemas.openxmlformats.org/officeDocument/2006/relationships/hyperlink" Target="https://www.e-qe.online/exam/5fcacd0a-ec53-4cca-abac-8bb4e0b71a37" TargetMode="External"/><Relationship Id="rIduhgncqddfgu6h8bbnr1uq" Type="http://schemas.openxmlformats.org/officeDocument/2006/relationships/hyperlink" Target="https://www.e-qe.online/exam/0e864cf8-4a3d-4550-8bfe-3697120e0bba" TargetMode="External"/><Relationship Id="rIdaa84xdkgbjyovzadw7qrc" Type="http://schemas.openxmlformats.org/officeDocument/2006/relationships/hyperlink" Target="https://www.e-qe.online/exam/5fcacd0a-ec53-4cca-abac-8bb4e0b71a37" TargetMode="External"/><Relationship Id="rIdz7bocdnix2b00-i6j4kpj" Type="http://schemas.openxmlformats.org/officeDocument/2006/relationships/hyperlink" Target="https://www.e-qe.online/exam/016b710e-639f-4150-b6a3-471afdf07e01" TargetMode="External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HÉMATOLOGIE-ONCOLOGIE - QE Haute Fréquence</dc:title>
  <dc:creator>Claude.ai</dc:creator>
  <dc:description>Generated by qe-analysis skill</dc:description>
  <cp:lastModifiedBy>Un-named</cp:lastModifiedBy>
  <cp:revision>1</cp:revision>
  <dcterms:created xsi:type="dcterms:W3CDTF">2026-06-02T08:42:19.675Z</dcterms:created>
  <dcterms:modified xsi:type="dcterms:W3CDTF">2026-06-02T08:42:19.675Z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