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7B0" w:rsidRPr="002928EE" w:rsidRDefault="007D545D">
      <w:pPr>
        <w:spacing w:after="100"/>
        <w:jc w:val="center"/>
        <w:rPr>
          <w:rFonts w:ascii="JetBrains Mono" w:hAnsi="JetBrains Mono" w:cs="JetBrains Mono"/>
          <w:lang w:val="fr-FR"/>
        </w:rPr>
      </w:pPr>
      <w:bookmarkStart w:id="0" w:name="_GoBack"/>
      <w:r w:rsidRPr="002928EE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PHARMACOLOGIE &amp; TOXICOLOGIE</w:t>
      </w:r>
    </w:p>
    <w:p w:rsidR="004A07B0" w:rsidRPr="002928EE" w:rsidRDefault="007D545D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2928EE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(concours FMPM) — Version 1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i/>
          <w:iCs/>
          <w:color w:val="000000"/>
          <w:lang w:val="fr-FR"/>
        </w:rPr>
        <w:t xml:space="preserve">Cross-match : 740 QEs officielles (2018→2026) × Cours AIO pharmaco générale (882 p.) </w:t>
      </w:r>
      <w:r w:rsidRPr="002928EE">
        <w:rPr>
          <w:rFonts w:ascii="JetBrains Mono" w:hAnsi="JetBrains Mono" w:cs="JetBrains Mono"/>
          <w:i/>
          <w:iCs/>
          <w:color w:val="000000"/>
        </w:rPr>
        <w:t>+ pharmaco spécifique (954 p.) + registre AMMPS (DCI Maroc)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2928EE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FMPM — concours 2026 (module Pharmacologie &amp; Toxicologie, S6)</w:t>
      </w:r>
    </w:p>
    <w:p w:rsidR="004A07B0" w:rsidRPr="002928EE" w:rsidRDefault="007D545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2928EE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4A07B0" w:rsidRPr="002928EE" w:rsidRDefault="007D545D">
      <w:pPr>
        <w:spacing w:before="60" w:after="60"/>
        <w:rPr>
          <w:rFonts w:ascii="JetBrains Mono" w:hAnsi="JetBrains Mono" w:cs="JetBrains Mono"/>
          <w:lang w:val="fr-FR"/>
        </w:rPr>
      </w:pPr>
      <w:r w:rsidRPr="002928EE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740 QEs (15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4A07B0" w:rsidRPr="002928EE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 xml:space="preserve">Cardiologie — cas cliniques (transversal : antithrombotiques, IEC/ARA2, </w:t>
            </w: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β</w:t>
            </w: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-bloquants, inhib. calciques, statines, anti-angineux, digitaliques)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Pharmacocinétique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Les règles générales de la prescription médicamenteuse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vie du médicament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Toxicologie (module S6 toxico-pharma)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essais cliniques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Effets indésirables des médicaments et pharmacovigilance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interactions médicamenteuses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Les anti-inflammatoires (AINS + corticoïdes)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La prescription médicamenteuse chez l'enfant et le sujet âgé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La prescription chez la femme enceinte et allaitante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Anti-bacillaires (antituberculeux)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Médicament et pathologie du foie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Le suivi thérapeutique pharmacologique (STP)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diurétiques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Bêta-lactamines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Antiviraux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Traitement de la maladie ulcéreuse gastroduodénale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antalgiques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Antiépileptiques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Anxiolytiques (benzodiazépines)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Antidépresseurs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Antitussifs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Rein et médicaments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Prise en charge médicamenteuse de la constipation (laxatifs)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Endocrinologie — insulines &amp; antidiabétiques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Bronchodilatateurs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Anti-infectieux — divers (diffusion BHM, temps/conc-dépendance, voie digestive)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Antibiothérapie — généralités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Aminosides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Imidazolés / nitro-imidazolés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Macrolides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Glycopeptides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Questions inclassifiables (recoupe cardio + corticoïdes)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Antifongiques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Sulfamides (cotrimoxazole)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Cyclines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Quinolones / fluoroquinolones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Antispasmodiques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4A07B0" w:rsidRPr="002928EE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Les inhibiteurs calciques (item isolé)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</w:tbl>
    <w:p w:rsidR="004A07B0" w:rsidRPr="002928EE" w:rsidRDefault="007D545D">
      <w:pP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br w:type="page"/>
      </w:r>
    </w:p>
    <w:p w:rsidR="004A07B0" w:rsidRPr="002928EE" w:rsidRDefault="007D545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2928EE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2 — MOYENNE DE QUESTIONS PAR LEÇON PAR EXAMEN</w:t>
      </w:r>
    </w:p>
    <w:p w:rsidR="004A07B0" w:rsidRPr="002928EE" w:rsidRDefault="007D545D">
      <w:pPr>
        <w:spacing w:before="60" w:after="60"/>
        <w:rPr>
          <w:rFonts w:ascii="JetBrains Mono" w:hAnsi="JetBrains Mono" w:cs="JetBrains Mono"/>
          <w:lang w:val="fr-FR"/>
        </w:rPr>
      </w:pPr>
      <w:r w:rsidRPr="002928EE">
        <w:rPr>
          <w:rFonts w:ascii="JetBrains Mono" w:hAnsi="JetBrains Mono" w:cs="JetBrains Mono"/>
          <w:i/>
          <w:iCs/>
          <w:color w:val="000000"/>
          <w:lang w:val="fr-FR"/>
        </w:rPr>
        <w:t>Statistiques calculées sur 15 sessions, chaque examen ~49.33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4A07B0" w:rsidRPr="002928EE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 xml:space="preserve">Cardiologie — cas cliniques (transversal : antithrombotiques, IEC/ARA2, </w:t>
            </w: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β</w:t>
            </w: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-bloquants, inhib. calciques, statines, anti-angineux, digitaliques)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83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5.53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11.2%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Pharmacocinétique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65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8.8%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Les règles générales de la prescription médicamenteuse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52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3.47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7.0%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vie du médicament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45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6.1%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Toxicologie (module S6 toxico-pharma)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5.4%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essais cliniques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5.4%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Effets indésirables des médicaments et pharmacovigilance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36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4.9%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interactions médicamenteuses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3.9%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Les anti-inflammatoires (AINS + corticoïdes)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26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3.5%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La prescription médicamenteuse chez l'enfant et le sujet âgé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  <w:lang w:val="fr-FR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La prescription chez la femme enceinte et allaitante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3.0%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Anti-bacillaires (antituberculeux)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Médicament et pathologie du foie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2.6%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suivi thérapeutique pharmacologique (STP)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18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2.4%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diurétiques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Bêta-lactamines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Antiviraux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2.2%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Traitement de la maladie ulcéreuse gastroduodénale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antalgiques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Antiépileptiques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Anxiolytiques (benzodiazépines)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Antidépresseurs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Antitussifs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Rein et médicaments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lastRenderedPageBreak/>
              <w:t>Prise en charge médicamenteuse de la constipation (laxatifs)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Endocrinologie — insulines &amp; antidiabétiques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Bronchodilatateurs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1.2%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Anti-infectieux — divers (diffusion BHM, temps/conc-dépendance, voie digestive)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Antibiothérapie — généralités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0.47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0.9%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Aminosides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0.8%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Imidazolés / nitro-imidazolés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Macrolides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Glycopeptides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inclassifiables (recoupe cardio + corticoïdes)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0.5%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Antifongiques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0.5%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Sulfamides (cotrimoxazole)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0.5%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Cyclines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Quinolones / fluoroquinolones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Antispasmodiques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0.3%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inhibiteurs calciques (item isolé)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0.1%</w:t>
            </w:r>
          </w:p>
        </w:tc>
      </w:tr>
      <w:tr w:rsidR="004A07B0" w:rsidRPr="002928EE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— toutes leçons examinées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740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49.33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jc w:val="center"/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100%</w:t>
            </w:r>
          </w:p>
        </w:tc>
      </w:tr>
    </w:tbl>
    <w:p w:rsidR="004A07B0" w:rsidRPr="002928EE" w:rsidRDefault="007D545D">
      <w:pP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br w:type="page"/>
      </w:r>
    </w:p>
    <w:p w:rsidR="004A07B0" w:rsidRPr="002928EE" w:rsidRDefault="007D545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2928EE">
        <w:rPr>
          <w:rFonts w:ascii="Segoe UI Symbol" w:hAnsi="Segoe UI Symbol" w:cs="Segoe UI Symbol"/>
          <w:i/>
          <w:iCs/>
          <w:color w:val="000000"/>
        </w:rPr>
        <w:t>📖</w:t>
      </w:r>
      <w:r w:rsidRPr="002928EE">
        <w:rPr>
          <w:rFonts w:ascii="JetBrains Mono" w:hAnsi="JetBrains Mono" w:cs="JetBrains Mono"/>
          <w:i/>
          <w:iCs/>
          <w:color w:val="000000"/>
        </w:rPr>
        <w:t>) / lien cours (</w:t>
      </w:r>
      <w:r w:rsidRPr="002928EE">
        <w:rPr>
          <w:rFonts w:ascii="Segoe UI Symbol" w:hAnsi="Segoe UI Symbol" w:cs="Segoe UI Symbol"/>
          <w:i/>
          <w:iCs/>
          <w:color w:val="000000"/>
        </w:rPr>
        <w:t>📎</w:t>
      </w:r>
      <w:r w:rsidRPr="002928EE">
        <w:rPr>
          <w:rFonts w:ascii="JetBrains Mono" w:hAnsi="JetBrains Mono" w:cs="JetBrains Mono"/>
          <w:i/>
          <w:iCs/>
          <w:color w:val="000000"/>
        </w:rPr>
        <w:t>) / citations (</w:t>
      </w:r>
      <w:r w:rsidRPr="002928EE">
        <w:rPr>
          <w:rFonts w:ascii="Segoe UI Symbol" w:hAnsi="Segoe UI Symbol" w:cs="Segoe UI Symbol"/>
          <w:i/>
          <w:iCs/>
          <w:color w:val="000000"/>
        </w:rPr>
        <w:t>📋</w:t>
      </w:r>
      <w:r w:rsidRPr="002928EE">
        <w:rPr>
          <w:rFonts w:ascii="JetBrains Mono" w:hAnsi="JetBrains Mono" w:cs="JetBrains Mono"/>
          <w:i/>
          <w:iCs/>
          <w:color w:val="000000"/>
        </w:rPr>
        <w:t>)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1] CARDIOLOGIE — CAS CLINIQUES (TRANSVERSAL : ANTITHROMBOTIQUES, IEC/ARA2, Β-BLOQUANTS, INHIB. CALCIQUES, STATINES, ANTI-ANGINEUX, DIGITALIQUES)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~5.53 Q/examen (83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Antivitamines K (acénocoumarol, warfarine) &amp; gestion de l'INR — LE sujet le plus répété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Mécanisme : inhibition de la synthèse hépatique des facteurs vitamine K-dépendants (II, VII, IX, X) → effet anticoagulant RETARDÉ (24-48 h), jamais immédiat. Surveillance = INR.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Indications AVK : prothèse valvulaire MÉCANIQUE, FA valvulaire, embolie pulmonaire / TVP.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Prothèse mécanique avec INR infra-cible (1 à 1,5) : ajouter une HBPM + augmenter la dose d'AVK (relais protecteur tant que l'INR n'est pas dans la cible).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INR dans la cible (≈2,5 pour la plupart, 3 pour prothèse mécanique) : garder la même dose et poursuivre la surveillance.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Surdosage modéré (INR ≈4 sous 5 mg) : réduire la dose (ex. alterner 1 cp et 1 cp ¼).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Surdosage majeur (INR ≈8) : sauter une prise (et envisager un relais/arrêt selon le risque).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Chez un porteur de prothèse valvulaire MÉCANIQUE, on ne remplace JAMAIS l'AVK par un AOD (apixaban/rivaroxaban/dabigatran contre-indiqués) — distracteur présent presque chaque année.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L'effet des AVK n'est pas immédiat dès la 1re prise.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AVK = nombreuses interactions médicamenteuses ET alimentaires ; « sans interaction » est faux.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« Le rivaroxaban est la seule molécule disponible au Maroc » : faux.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Q37, 2019N Q38, 2020N Q37, 2023N Q37-38, 2024N Q38-39, 2024R Q38-39, 2025N Q26, 2026N Q42 (≥10×)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Surveillance biologique des anticoagulants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Héparine non fractionnée (IV) → TCA.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AVK → INR (TP-INR).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HBPM (sous-cutanée) → pas de surveillance de routine ; si besoin, activité anti-Xa.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L'HNF agit via l'ANTITHROMBINE III (action indirecte, surtout anti-Xa et anti-IIa) — elle n'agit pas « directement » et ne se surveille pas par le TP.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surveillance d'un anticoagulant par voie sous-cutanée ne passe pas systématiquement par TCA/TP/INR.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Q39, 2021N Q39, 2022N Q42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Antiplaquettaires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lastRenderedPageBreak/>
        <w:t>Aspirine (dose antiagrégante) : IDM, post-angioplastie coronaire, AOMI, AVC ischémique.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Clopidogrel (thiénopyridine, prodrogue) : AOMI, post-angioplastie ; ticagrelor : anti-P2Y12 (anti-ADP) RÉVERSIBLE, ce n'est PAS une prodrogue.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Post-angioplastie : bithérapie aspirine + clopidogrel ~1 mois, puis monothérapie (aspirine) à distance.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Ticagrelor / clopidogrel ne sont pas indiqués dans la FA valvulaire, la TVP, ni la prévention primaire du diabétique.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thiénopyridines (clopidogrel) ne couvrent pas la FA (qui relève des anticoagulants).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Q37, 2020N Q38, 2021R Q38, 2023N Q39-40, 2023R Q37, 2025N Q27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Anticoagulants oraux directs (AOD : apixaban, rivaroxaban, dabigatran)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Apixaban / rivaroxaban = inhibiteurs DIRECTS du facteur Xa ; indications EP/TVP, FA NON valvulaire ; pas de surveillance biologique de routine ; moins d'hémorragies que les AVK.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Apixaban contre-indiqué si insuffisance rénale sévère (clairance ≤15 mL/min).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AOD n'agissent pas via l'antithrombine III (contrairement aux héparines).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AOD contre-indiqués dans la FA VALVULAIRE et chez le porteur de prothèse mécanique.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Apixaban n'est pas surveillé par TP-INR.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Q39, 2021R Q37, 2023R Q42, 2025N Q28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Thrombolytiques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Indications : IDM à la phase aiguë (avant la 12e heure), embolie pulmonaire GRAVE.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Contre-indications : HTA sévère, péricardite (+ tout risque hémorragique majeur).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« AVC ischémique après 6 h » : hors fenêtre de thrombolyse — distracteur classique.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Q42, 2021R Q39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Hypolipémiants (statines, fibrates, ézétimibe)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Statines = inhibition de l'HMG-CoA réductase → ↓ synthèse hépatique du cholestérol.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Indications statines : IDM, AVC ischémique, AOMI, prévention secondaire de l'athérosclérose.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Hypertriglycéridémie MAJEURE (ex. TG 6 g/L) → fibrate ; LDL élevé avec TG modérés → statine.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Surveillance statine : bilan hépatique (ALAT/ASAT) AVANT initiation.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Une élévation LÉGÈRE des transaminases ne contre-indique pas les statines ; la surveillance clinique seule est insuffisante.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statines n'agissent ni par catabolisme des HDL ni par inhibition de l'absorption intestinale du cholestérol (= mécanisme de l'ézétimibe).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Q40, 2019N Q39, 2022N Q39, 2025N Q33, 2026N Q38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Bêtabloquants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Indications : HTA, angor d'effort, troubles du rythme, insuffisance cardiaque chronique (introduction à faible dose progressive).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lastRenderedPageBreak/>
        <w:t>Effet rebond adrénergique à l'arrêt brutal → sevrage progressif.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Contre-indications : asthme, syndrome de Raynaud, troubles de conduction AV, IC décompensée/congestive.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Ils ralentissent (n'augmentent pas) la FC et la conduction AV ; ils ne sont pas tous cardiosélectifs et ne stimulent pas les récepteurs α.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Q38, 2020N Q41, 2021N Q41, 2021R Q41, 2023R Q41, 2025N Q30, 2026N Q39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Inhibiteurs calciques (dihydropyridines vs non-dihydropyridines)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DHP (amlodipine, nicardipine) : effet VASCULAIRE prédominant → HTA, angor de Prinzmetal, Raynaud ; effets indésirables = œdèmes des membres inférieurs, céphalées, flush.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Non-DHP « bradycardisants » (vérapamil, diltiazem) : effet CARDIAQUE → ralentissent la conduction AV → troubles du rythme supraventriculaire, angor, HTA ; le diltiazem ralentit la cadence ventriculaire en FA.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DHP ne sont pas bradycardisantes ; l'amlodipine n'est pas un non-DHP.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L'IC systolique n'est PAS l'indication privilégiée des non-DHP (effet inotrope négatif).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 vérapamil n'a pas un effet « vasculaire exclusif ».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Q42, 2021N Q42, 2021R Q42, 2023N Q42, 2025N Q31, 2026N Q40-41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IEC vs ARA2 (sartans)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IEC : insuffisance cardiaque, néphroprotection (HTA + néphropathie, diabétique).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IEC et ARA2 diffèrent par la TOUX sèche (effet de classe des IEC, absente sous ARA2).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ARA2 + IEC ou ARA2 + inhibiteur calcique = associations synergiques ; néphroprotection diabétique.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Sous ARA2 en monothérapie avec TA non contrôlée, le traitement n'est pas suffisant.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Surveiller la KALIÉMIE (risque d'hyperkaliémie), pas la calcémie ni la natrémie — piège récurrent.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2022N Q41, 2023N Q41, 2023R Q39, 2024N Q42, 2024R Q42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Digoxine (digitaliques)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Mécanisme : inhibition de la pompe Na⁺/K⁺-ATPase membranaire.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Ralentit la cadence ventriculaire en FA (utile chez le sujet en IC).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N'agit pas par blocage calcique, ni stimulation β1, ni blocage des récepteurs AT-II (distracteurs).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Association digoxine + diurétique hypokaliémiant = interaction pharmacodynamique dangereuse (l'hypokaliémie majore la toxicité digitalique).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Q37, 2023N Q9, 2026N Q37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Ivabradine &amp; autres anti-angineux (dérivés nitrés, trimétazidine, nicorandil)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Ivabradine : anti-angineux qui RÉDUIT la fréquence cardiaque (inhibiteur du courant If sinusal) sans agir sur la conduction AV.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Dérivés nitrés : action rapide par voie SUBLINGUALE ; effet indésirable typique = céphalées.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L'ivabradine ne ralentit pas la conduction AV et ne sert pas à ralentir la cadence ventriculaire en FA.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L'effet indésirable des nitrés n'est ni bradycardie, ni toux, ni diarrhée, mais les céphalées.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Q41, 2019R Q41, 2025N Q32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Ordonnances types à mémoriser (questions de cas cliniques)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IDM phase aiguë : aspirine + 2e antiagrégant (clopidogrel/prasugrel/ticagrelor) + statine + β-bloquant + HBPM.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AOMI symptomatique : antiagrégant (clopidogrel ou aspirine) + statine.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AVC ischémique sur sténose carotidienne : antiagrégant (aspirine) + statine.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ICC post-IDM : IEC + β-bloquant + aspirine + statine.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Prothèse valvulaire mécanique en FA : ralentir la cadence par β-bloquant / diltiazem / digoxine ET anticoaguler par AVK (jamais un AOD).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Q40, 2021N Q40, 2021R Q40, 2022N Q40, 2024N Q40-41, 2025N Q29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2] PHARMACOCINÉTIQUE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~4.33 Q/examen (65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phases (vs pharmacodynamie)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Pharmacocinétique = devenir du médicament dans l'organisme : phases d'absorption, distribution, métabolisme, élimination (ADME).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Pharmacodynamie = effet principal et mécanisme d'action du médicament (≠ ADME).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La phase galénique = libération du principe actif à partir de la forme pharmaceutique (plus longue pour une forme solide que pour un sirop) ; fait partie de l'absorption.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phase galénique n'est PAS la fixation protéique, ni la distribution, ni l'élimination.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pharmacocinétique ne « comprend pas » la fixation protéique comme phase à part : c'est une étape de la distribution.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Q3, 2019N Q3/Q10, 2021R Q11, 2022N Q11, 2023R Q1, 2026N Q10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Mécanismes de franchissement membranaire (diffusion passive vs active)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Diffusion passive : non saturable, pas de compétition, dans le sens du gradient, sans énergie ; observée en absorption ET en distribution. C'est le mode le plus répandu de la distribution.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Transport/diffusion active : saturable, soumis à compétition, contre le gradient, consomme de l'énergie, via transporteurs ; possible en absorption, métabolisme et élimination.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Autres mécanismes digestifs : transport paracellulaire, pinocytose.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diffusion passive ne consomme pas d'énergie et ne se fait pas contre le gradient (erreurs systématiquement proposées).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 transport actif n'est pas « le plus prépondérant ».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Q9/Q14, 2019R Q10, 2021N Q10/Q12, 2022N Q10/Q12, 2024N Q9, 2026N Q12-13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Premier passage hépatique &amp; biodisponibilité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lastRenderedPageBreak/>
        <w:t>Premier passage : se fait essentiellement au niveau du FOIE, lors de la phase d'absorption ; marqué pour les médicaments LIPOSOLUBLES ; peut entraîner une perte importante du médicament.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Biodisponibilité = fraction de la dose atteignant la circulation générale + vitesse d'apparition ; quantifie l'absorption ; absolue ou relative (vs voie de référence).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 1er passage n'augmente PAS la demi-vie ni l'absorption ; il n'est pas marqué pour les hydrosolubles.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voie orale n'évite pas le 1er passage hépatique (à la différence des voies transdermique, sublinguale, rectale partielle).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Q12, 2020N Q10-11, 2023N Q12-13, 2024N Q10, 2025N Q7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Métabolisme (biotransformation)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Lieu privilégié = le FOIE (enzymes du cytochrome P450) ; réactions de phase 1 et de phase 2.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Aboutit généralement à une inactivation, mais peut produire des métabolites ACTIFS (parfois toxiques).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Influencé par le facteur génétique et les interactions (induction/inhibition enzymatique).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 métabolisme n'est pas évalué par la biodisponibilité ni le volume de distribution.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Il EST influencé par le facteur génétique (proposition inverse fausse).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Q13, 2020N Q12, 2021N Q13, 2024N Q11, 2026N Q14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Inducteurs et inhibiteurs enzymatiques (à connaître par cœur)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Inducteurs : phénytoïne, carbamazépine, rifampicine, phénobarbital → accélèrent le catabolisme → ↓ effet et ↓ demi-vie du médicament associé.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Inhibiteurs : cimétidine, isoniazide → ↑ concentration et effet du médicament associé.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carbamazépine et la phénytoïne sont des INDUCTEURS (souvent proposées à tort comme inhibiteurs).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L'induction n'augmente pas la demi-vie ni l'absorption du médicament associé.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Q13, 2023R Q9-Q10, 2024R Q11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Distribution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Étape de diffusion vers les tissus, indispensable à l'action ; comprend la fixation protéique ; nécessite le franchissement de membranes.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Facteurs : fixation aux protéines plasmatiques, nature des barrières tissulaires, solubilité du médicament ; peut être modifiée par une interaction.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distribution ne se fait pas « essentiellement par diffusion active » (c'est la diffusion passive).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Elle ne comprend pas de réabsorption tubulaire ni de filtration glomérulaire (= élimination).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Q14, 2020N Q13, 2022N Q14, 2023N Q14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Élimination &amp; demi-vie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Voies : rénale (filtration glomérulaire = petites molécules ; sécrétion et réabsorption tubulaires), pulmonaire, sudorale, lactée, biliaire.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lastRenderedPageBreak/>
        <w:t>Filtration glomérulaire modulée par la fixation protéique ; réabsorption tubulaire DÉPEND du pH urinaire.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Le médicament peut être éliminé sous forme ACTIVE.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Demi-vie plasmatique = temps pour que la concentration diminue de 50 %.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Paramètres d'élimination = clairance et demi-vie.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filtration glomérulaire concerne les PETITES molécules (pas les grandes).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réabsorption tubulaire dépend bien du pH urinaire (proposition inverse fausse).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L'élimination peut être sujette à interaction (induction/inhibition).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Q11, 2019R Q14, 2020N Q14, 2021N Q14, 2021R Q14, 2023R Q11, 2025N Q10-11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3] LES RÈGLES GÉNÉRALES DE LA PRESCRIPTION MÉDICAMENTEUSE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~3.47 Q/examen (52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Mentions obligatoires d'une ordonnance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Lisible, nom du patient, nom + adresse du prescripteur, signature ; délivrée après examen du patient.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Peut comporter : prescription d'examens complémentaires, de soins infirmiers, de lunettes de correction, le poids/âge du patient.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Types : simple, sécurisée, bizone (ALD), non renouvelable.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Première délivrance dans les 3 mois suivant la prescription.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L'ordonnance ne comporte pas obligatoirement le diagnostic, ni les antécédents/résultats de bilan (sauf l'essentiel).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Q18, 2023N Q20-21, 2024R Q17-19, 2026N Q18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Classement des médicaments (listes)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Liste I : médicaments classés pouvant présenter un risque ; prescription obligatoire ; non renouvelable sauf mention.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Liste II : renouvelable sauf si la prescription l'exclut.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Médicaments non listés : vente libre / automédication, pas dénués de risque à forte dose ou usage prolongé.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Stupéfiants : ordonnance SÉCURISÉE (papier filigrané, numéro d'identification, nombre d'unités/prises/dosage en TOUTES LETTRES).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médicaments de liste I ne sont ni « particulièrement coûteux » ni « stupéfiants » par définition.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stupéfiants ne se prescrivent ni sur ordonnance simple ni bizone.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Q18/Q21, 2020N Q18, 2021N Q18, 2022N Q19/Q21, 2023R Q18, 2026N Q19-21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Catégories particulières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Médicaments d'exception : coûteux, indications précises, ordonnance spéciale.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ATU (autorisation temporaire d'utilisation) : maladies graves ou rares sans alternative thérapeutique.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Médicaments à surveillance particulière : prescription/renouvellement subordonnés à des examens périodiques (= prescription restreinte).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lastRenderedPageBreak/>
        <w:t>Usage hospitalier / prescription hospitalière : prescrits par un médecin hospitalier, délivrés par un pharmacien hospitalier.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ATU ne sont pas définis comme « médicaments coûteux » ni « pour ALD ».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Q19, 2019N Q20, 2021N Q19-20, 2025N Q19, 2026N Q21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Prescripteurs, observance, générique/princeps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Prescripteurs : médecin, chirurgien-dentiste, sage-femme (dans leur champ).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Observance = adhésion du patient à son traitement ; influencée par l'âge, la maladie, les EI, le nombre de médicaments ; peut expliquer un échec thérapeutique.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Générique vs princeps : bioéquivalents (même composition qualitative ET quantitative en PA).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L'observance EST influencée par le nombre de médicaments et l'âge (propositions inverses fausses).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Générique et princeps n'ont pas une composition « différente ».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Q10/Q21, 2020N Q19, 2021R Q19, 2022N Q20, 2024N Q19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4] LA VIE DU MÉDICAMENT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~3.0 Q/examen (45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Origines &amp; phase de découverte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Origines : substance minérale, plante, organisme vivant (biotechnologie), synthèse chimique.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Découverte : tirage aléatoire (passage sur une batterie de tests), modification de structure d'un médicament existant, fabrication rationnelle basée sur la physiopathologie.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Un médicament issu de la biotechnologie est produit à partir d'un organisme vivant.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 tirage aléatoire n'a pas une « grande probabilité de succès » et ne part pas d'un médicament existant amélioré.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Q1-2, 2020N Q3, 2021N Q3, 2023N Q4, 2026N Q1/Q3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Études précliniques (chez l'animal)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Pharmacodynamie animale : effet principal + mécanisme d'action + effets concomitants.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Pharmacocinétique animale : absorption, distribution, métabolisme, élimination.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Toxicologie : toxicité aiguë (DL50), toxicité en administration réitérée/prolongée, fonction de reproduction (foetotoxicité, développement postnatal), cancérogenèse, mutagenèse/génotoxicité, fertilité.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Supports : animaux vivants, organes isolés, tissus, cellules en culture, récepteurs.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études précliniques NE testent PAS le médicament chez l'homme.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études de cancérogenèse sont de longue durée, par la voie thérapeutique, déclenchées si images suspectes en toxicologie réitérée — elles n'étudient pas la tératogenèse ni la PK.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Elles ne prédisent pas « dans tous les cas » la toxicité chez l'homme.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Q4, 2020N Q1-2/Q4, 2021N Q1-2/Q4, 2021R Q1-5, 2024N Q1-3, 2024R Q1-2, 2026N Q2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AMM &amp; critères d'enregistrement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Le dossier de demande d'AMM est déposé lorsqu'on veut commercialiser le médicament (après les essais cliniques).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Critères d'enregistrement : qualité pharmaceutique, sécurité d'utilisation, efficacité thérapeutique.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 COÛT n'est pas un critère d'enregistrement.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L'AMM n'est pas déposée avant les études de toxicité ni pendant les phases précliniques.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Q1-2, 2022N Q4, 2023N Q1-2, 2023R Q3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5] TOXICOLOGIE (MODULE S6 TOXICO-PHARMA)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~2.67 Q/examen (40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Toxicocinétique &amp; techniques analytiques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Distribution des toxiques : surtout diffusion passive, dépend de l'ionisation, de la liaison protéique, du tropisme d'organe.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Élimination urinaire : toxiques hydrophiles, non liés aux protéines, filtration glomérulaire ; modulable thérapeutiquement (diurèse, pH) — pas toujours passive.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Extraction liquide-liquide : un acide est extrait en phase organique quand le milieu est ACIDE (pH &lt; pKa, forme non ionisée). Bon solvant = non miscible, grande affinité, faible toxicité.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Minéralisation : sèche (four à moufle, cendres, perte d'éléments volatils) ; humide (acides concentrés, pour les métaux Pb/Hg).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Une forte liaison protéique d'un toxique diminue la toxicité aiguë immédiate mais PROLONGE l'intoxication (ex. warfarine liée à 99 % vs phénobarbital à 50 %).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minéralisation sèche n'utilise PAS d'acides concentrés ; la minéralisation humide ne s'applique pas aux métaux volatils.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DL50 évalue la toxicité AIGUË (pas chronique).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ToxS6-2025 Q1-13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Pesticides — organophosphorés, carbamates, organochlorés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Organophosphorés : inhibition de l'acétylcholinestérase (syndrome muscarinique + nicotinique) ; antidote = pralidoxime (régénère l'AChE, effets muscariniques ET nicotiniques) ± atropine.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Carbamates : inhibition RÉVERSIBLE de l'AChE, PAS de phénomène d'aging ; syndrome cholinergique possible.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Organochlorés : très liposolubles, persistants dans l'environnement, pas d'antidote efficace.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organophosphorés inhibent l'AChE de façon IRRÉVERSIBLE (aging) — pas réversible.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Avec les carbamates, la pralidoxime n'est pas systématiquement recommandée (inhibition réversible).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ToxS6-2025 Q14-18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Toxiques gazeux &amp; solvants — phosphure d'aluminium, CO, benzène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Phosphure d'aluminium : libère la phosphine (PH₃) dans l'estomac, inhibe la cytochrome c oxydase (bloque la phosphorylation oxydative) ; N-acétylcystéine contre le stress oxydatif.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Monoxyde de carbone : gaz inodore, réducteur, absorbe les IR ; dosage de la carboxyhémoglobine (HbCO) par spectrophotométrie / carboxymètre ; triade céphalées-vomissements-vertiges ; oxygénothérapie hyperbare ; séquelles neurologiques possibles.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Benzène : toxicité médullaire (aplasie), cancérogène avéré chez l'homme ; métabolites = phénol, hydroquinone, acide trans-muconique, acide phénylmercapturique.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L'atropine n'est PAS l'antidote de la phosphine.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 CO donne une TACHYcardie (la bradycardie est l'item faux) ; l'affinité Hb-CO est ~210 fois SUPÉRIEURE (pas inférieure) à celle de l'O₂ ; le CO est éliminé par voie pulmonaire.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L'acide benzoïque n'est pas un métabolite du benzène.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ToxS6-2025 Q19, Q25-30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Alcools — éthanol, méthanol, éthylène glycol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Éthanol : ADH → acétaldéhyde (métabolite TOXIQUE) → ALDH → acide acétique. Disulfirame (Antabuse) = inhibiteur de l'ALDH (accumulation d'acétaldéhyde, effet antabuse).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Méthanol : acidose métabolique, atteinte oculaire sévère ; antidote = fomépizole (4-méthylpyrazole, inhibiteur de l'ADH).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Éthylène glycol : IRA avec cristaux d'oxalate de calcium urinaires, acidose métabolique à trou anionique élevé, hypocalcémie.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 métabolisme du méthanol est PLUS LENT que celui de l'éthanol (item « plus rapide » faux).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 disulfirame inhibe l'ALDH (pas l'ADH) et n'augmente pas l'élimination rénale de l'éthanol.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ToxS6-2025 Q20-24, Q39-40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Métaux lourds — plomb, mercure, cadmium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Mécanisme commun : inhibition enzymatique par liaison aux groupements THIOL.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Plomb (saturnisme) : anémie, bandes métaphysaires radiologiques, troubles neuro ; surveillance = plombémie, plomburie, ALA-urinaire (acide delta-aminolévulinique), porphyrines urinaires ; relargage osseux favorisé par ostéoporose et corticothérapie.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Mercure : le dosage urinaire ne reflète pas le méthylmercure (élimination biliaire).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Cadmium : maladie Itaï-Itaï. Dosage le plus précis des métaux = spectrométrie d'absorption atomique.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méthémoglobinémie n'est pas un marqueur d'exposition au plomb (distracteur).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ToxS6-2025 Q31-38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6] LES ESSAIS CLINIQUES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—  •  ~2.67 Q/examen (40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finalité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Essais cliniques = études chez l'HOMME, après les études chez l'animal ; étudient l'effet thérapeutique, la tolérance et la pharmacocinétique chez l'homme.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Comportent des phases successives ; peuvent être faits en double aveugle.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essais cliniques n'évaluent pas les effets indésirables RARES (cela relève de la pharmacovigilance / phase IV).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Ils ne se font pas chez l'animal ni in vitro ; ils ne se font pas sur sujets « non volontaires ».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Q4, 2023R Q5, 2024N Q4, 2024R Q4, 2025N Q4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phases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Phase I : 1re administration à l'homme (volontaires sains), tolérance + dose maximale tolérée + PK.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Phase II : efficacité sur une population limitée de malades + posologie efficace pour la phase III.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Phase III : efficacité à grande échelle, multicentrique, déterminante pour la commercialisation.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Phase IV : après commercialisation, détection des effets indésirables + nouvelles indications.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phase I ne recherche pas l'efficacité ni la dose efficace (c'est la phase II) et ne comporte pas d'études de cancérogenèse.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phase III n'est pas « après mise sur le marché » (c'est la phase IV).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Q5-6, 2019R Q6-7, 2020N Q6, 2021N Q6, 2022N Q5-7, 2024N Q5, 2025N Q5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Méthodologie : les 3 principes majeurs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Comparativité (groupe témoin), aveugle (le malade ignore le traitement reçu), randomisation (répartition au hasard par tirage au sort).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Groupes parallèles : chaque groupe reçoit un traitement différent ; multicentrique : plusieurs centres.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Avant le démarrage : protocole de recherche + autorisation des autorités compétentes + avis du comité de protection des personnes + randomisation.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3 principes ne sont ni « grand nombre de patients » ni « longue durée » ni « in vitro »/« rétrospectif ».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L'AMM n'est pas demandée avant le démarrage d'un essai.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Q5/Q7, 2021N Q7, 2021R Q7, 2023N Q7, 2024R Q5, 2025N Q6, 2026N Q7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Études animales requises avant un essai clinique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Obligatoires : pharmacodynamie, pharmacocinétique, fertilité, mutagenèse/génotoxicité ; permettent de calculer la dose et la durée d'administration prévues chez l'homme.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La cancérogenèse n'est PAS obligatoire avant tout essai.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études animales ne prédisent pas « dans tous les cas » le risque de toxicité chez l'homme.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Q6-7, 2019R Q2, 2021N Q5, 2021R Q5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lastRenderedPageBreak/>
        <w:t>[RANG 7] EFFETS INDÉSIRABLES DES MÉDICAMENTS ET PHARMACOVIGILANCE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~2.4 Q/examen (36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Mécanismes des effets indésirables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Dose-dépendant (lié à l'effet pharmacologique principal recherché/non recherché ou à une propriété parallèle).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Immuno-allergique : non prévisible, nécessite une SENSIBILISATION préalable, survient à posologie normale, atteintes cutanée/bronchique/hépatique, peut être grave.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Idiosyncrasique : réaction qualitativement anormale, susceptibilité GÉNÉTIQUE, survient chez un nombre limité de patients.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Un EI peut être bénin ou grave, cause d'arrêt du traitement, et peut survenir à posologie normale.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L'effet idiosyncrasique n'est PAS une réaction immuno-allergique et n'exige pas de sensibilisation préalable ; il n'est pas « lié au mécanisme d'action ».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Un EI ne survient pas « toujours » à forte posologie ; ce n'est pas la 1re cause à évoquer devant tout symptôme (éliminer d'abord une cause non médicamenteuse).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Q15, 2019N Q15-16, 2020N Q15, 2021R Q16, 2023N Q15/Q17, 2025N Q12-13, 2026N Q15/Q17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Imputabilité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Repose sur des critères CHRONOLOGIQUES (délai de survenue, évolution à l'arrêt, à la réintroduction) et SÉMIOLOGIQUES (tableau clinique).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Un EI est évoqué après élimination d'une cause non médicamenteuse.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L'imputabilité ne repose pas sur les caractéristiques chimiques du médicament ni sur le nombre de prises par jour.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Q16, 2021N Q16, 2022N Q15, 2024N Q14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Pharmacovigilance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Surveillance des risques après commercialisation ; met en évidence les effets indésirables RARES ; fait appel à des méthodes d'imputabilité ; organisation variable selon les pays ; contribue à la sécurité d'utilisation.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Prévention d'un EI : prise en compte du terrain, du RCP, des contre-indications et des interactions ; pas toujours possible.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pharmacovigilance ne peut PAS être remplacée par l'étude des EI lors des essais cliniques (et inversement).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Elle n'évalue pas l'efficacité des médicaments et n'est pas destinée aux effets « fréquents ».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2024N Q13, 2024R Q13-14, 2025N Q14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Médicaments de contrefaçon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Reproduction frauduleuse ; peuvent contenir le bon PA mais sous-dosé, ou aucune trace de PA ; nuisibles, peuvent entraîner une insuffisance de traitement voire le décès.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Ils ne respectent PAS les exigences de qualité/sécurité et ne sont pas vendus en pharmacie.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Q16, 2023N Q16, 2026N Q16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8] LES INTERACTIONS MÉDICAMENTEUSES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~1.93 Q/examen (29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Interactions pharmacocinétiques vs pharmacodynamiques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Pharmacocinétiques : fixation protéique (↑ forme libre → ↑ effet), induction/inhibition enzymatique, modification du pH gastrique, transport actif ; surviennent en absorption, distribution, métabolisme et élimination.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Pharmacodynamiques : même récepteur, même fonction physiologique, modification de l'équilibre ionique.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Une interaction PD au niveau du récepteur n'est pas une interaction PK de fixation protéique (ne pas confondre les niveaux).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interactions peuvent survenir en phase d'élimination et d'absorption (propositions inverses fausses).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Q8, 2021N Q8, 2023R Q7, 2024N Q7, 2025N Q25, 2026N Q8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Synergie, potentialisation, antagonisme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Synergie : deux médicaments à activité qualitativement SEMBLABLE.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Potentialisation : deux médicaments à activité qualitativement DIFFÉRENTE.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Antagonisme : compétitif ou non compétitif, ↓ effet des médicaments associés, peut avoir un intérêt thérapeutique.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Les interactions peuvent être recherchées et UTILES (potentialisation/synergie en thérapeutique).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Ne pas inverser synergie (semblable) et potentialisation (différente) — piège classique.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L'antagonisme n'augmente pas l'effet et n'est pas une incompatibilité physico-chimique entre injectables.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Q7-8, 2021N Q9, 2021R Q9, 2022N Q8, 2024R Q7, 2026N Q9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Inducteurs/inhibiteurs &amp; associations contre-indiquées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Inducteur enzymatique → accélère l'inactivation / le catabolisme → ↓ effet du médicament associé (et ↓ sa demi-vie).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Inhibiteurs : cimétidine, isoniazide. Inducteurs : phénytoïne, carbamazépine, rifampicine, phénobarbital.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Contre-indication absolue = association à conséquences cliniques GRAVES et FRÉQUENTES.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Exemple PD : digoxine + hypokaliémiant (interaction par modification de l'équilibre ionique).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Dans une CI absolue, l'association n'est PAS possible « dans certains cas » ni « sous surveillance » (≠ association déconseillée).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Q9, 2019R Q9, 2023N Q9, 2023R Q9-10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9] LES ANTI-INFLAMMATOIRES (AINS + CORTICOÏDES)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—  •  ~1.73 Q/examen (26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AINS — classification, contre-indications, grossesse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Classification basée sur la sélectivité d'inhibition de la cyclo-oxygénase (COX) et la demi-vie.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Contre-indications : 1er et 3e trimestres de grossesse, allaitement, insuffisance hépatique sévère, ulcère gastrique évolutif, IC avancée, IR terminale, syndrome de Widal, infection évolutive.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Au 3e trimestre : fermeture prématurée du canal artériel, risque hémorragique fœtal, retard d'accouchement ; tératogène possible au 1er trimestre.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Risque d'IRA fonctionnelle SAUF en cas d'insuffisance hépatique (item « non justifié si insuffisance hépatique »).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 risque d'ulcère est majoré par l'âge, la forte dose, l'association aux corticoïdes et les antécédents — PAS par l'association à un IPP (qui est protecteur) ni au paracétamol.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Q47, 2021N Q47, 2022N Q47, 2023N Q47, 2024R Q47, 2025N Q43, 2026N Q46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Corticoïdes — effets, mécanisme, contre-indications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Mécanisme génomique : effets anti-inflammatoire, immunosuppresseur et anti-allergique (cellules de la lignée blanche, cellules endothéliales, cytokines).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Effets indésirables au long cours : ostéoporose, ostéonécrose aseptique, diabète, HTA, rétention hydrosodée, hypokaliémie, retard staturo-pondéral, psychose/troubles de l'humeur, acné, syndrome cushingoïde.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Contre-indications : diabète décompensé, HTA sévère, infections non contrôlées.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Mesures associées : régime sans sel, riche en protéines, supplémentation potassique et calcique.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Prednisone vs dexaméthasone : équivalence différente ; la dexaméthasone a une demi-vie plus longue et un effet freinateur plus important.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corticoïdes donnent une HYPOkaliémie (pas d'hyperkaliémie) et une rétention hydrosodée.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Effet anticoagulant et anti-infectieux : FAUX (les corticoïdes ne sont ni anticoagulants ni anti-infectieux).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Q46, 2020N Q46, 2021R Q46, 2022N Q48, 2023N Q46, 2024N Q46-47, 2024R Q46, 2026N Q47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Sevrage de la corticothérapie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Arrêt PROGRESSIF → évite l'insuffisance surrénale aiguë, la cortico-dépendance et le syndrome de sevrage.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Sevrage sans substitution si cortisolémie correcte ; substitution par hydrocortisone si cortisolémie effondrée (&lt; 5 ng/dL).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Un sevrage BRUTAL ne prévient rien — il provoque l'insuffisance surrénale aiguë iatrogène.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Q46, 2019R Q47, 2021N Q46, 2021R Q47, 2023R Q47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10] LA PRESCRIPTION MÉDICAMENTEUSE CHEZ L'ENFANT ET LE SUJET ÂGÉ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—  •  ~1.6 Q/examen (24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Prescription chez l'ENFANT — particularités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L'AMM pédiatrique conditionne l'usage : beaucoup de médicaments n'ont pas d'AMM chez l'enfant (prescription hors-AMM encadrée).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La forme galénique doit être adaptée à l'âge (sirop, suspension, gouttes) — pas de comprimés non sécables chez le nourrisson.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Pharmacocinétique particulière : immaturité hépatique et rénale (clairance réduite chez le nouveau-né), eau corporelle totale plus élevée, fixation protéique plus faible, barrière hémato-encéphalique immature.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Effets indésirables spécifiques : cyclines (coloration dentaire &lt;8 ans), fluoroquinolones (cartilage), aspirine (sd de Reye), chloramphénicol (sd gris du nouveau-né).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Ordonnance pédiatrique : doit mentionner le nom, l'âge ET le poids de l'enfant (posologie en mg/kg), plus l'adresse du prescripteur.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posologie pédiatrique ne se déduit pas en « fraction de dose adulte » au hasard : elle se calcule en mg/kg (ou mg/m²).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Q22, 2019N Q22-23, 2020N Q22-23, 2022N Q22-23, 2023N Q24, 2024N Q22-23, 2025N Q20-21, 2026N Q22-24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Prescription chez le SUJET ÂGÉ — règles d'or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Règles : commencer à FAIBLE dose, schémas SIMPLES, RÉDUIRE le nombre de prises, adapter à la clairance de la créatinine (Cockcroft).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PK gériatrique : accumulation des médicaments LIPOPHILES (↑ masse grasse), augmentation de la demi-vie, augmentation de la sensibilité du SNC (chutes, confusion).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Polymédication = iatrogénie : interactions et effets indésirables croissent avec le nombre de lignes.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Médicaments potentiellement inappropriés (listes Beers / Laroche) : benzodiazépines à longue demi-vie, imipraminiques (tricycliques), anti-H1 anticholinergiques, laxatifs stimulants au long cours.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récurrent : les β-lactamines NE figurent PAS sur les listes de médicaments inappropriés du sujet âgé (ce sont les BZD longues, anticholinergiques et tricycliques qui y sont).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Réduire la posologie n'est PAS systématique pour tout médicament : c'est l'adaptation à la fonction rénale et à la sensibilité qui prime.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Q23, 2021N Q23, 2021R Q23, 2022N Q22, 2023R Q22-23, 2024Exc Q22-23, 2024R Q22-23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11] LA PRESCRIPTION CHEZ LA FEMME ENCEINTE ET ALLAITANTE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~1.47 Q/examen (22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Passage placentaire &amp; risque tératogène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Le passage transplacentaire se fait essentiellement par DIFFUSION PASSIVE (favorisée si liposolubilité élevée, faible PM, faible fixation protéique, non ionisation).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lastRenderedPageBreak/>
        <w:t>Tératogènes majeurs à connaître : valproate (acide valproïque), thalidomide, isotrétinoïne (rétinoïdes), carbamazépine, IEC/ARA2 (atteinte rénale fœtale au 2e-3e trimestre).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Période de la tératogénèse = 1er trimestre (organogénèse). Au 2e-3e trimestre : fœtotoxicité / toxicité néonatale (inadaptation à la vie extra-utérine, RCIU).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×plusieurs : les AINS ne sont PAS tératogènes — ils sont FŒTOTOXIQUES au 3e trimestre (fermeture prématurée du canal artériel, oligoamnios, toxicité rénale).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L'héparine (HNF/HBPM) n'est PAS tératogène : gros poids moléculaire → ne traverse pas le placenta. C'est l'anticoagulant de la grossesse (vs AVK tératogènes).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Q23-24, 2019N Q24, 2020N Q24, 2021N Q22+24, 2022N Q24, 2023N Q22-23, 2024N Q20-21, 2025N Q22-23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Allaitement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Le passage dans le lait est augmenté si le médicament est LIPOSOLUBLE, peu lié aux protéines, de petit poids moléculaire, et à forte dose maternelle.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Évaluer le rapport lait/plasma et la demi-vie ; préférer les molécules à passage lacté faible et demi-vie courte.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Un médicament « sûr pendant la grossesse » n'est pas automatiquement « sûr pendant l'allaitement » — les déterminants du passage diffèrent.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Q24, 2021R Q22+24, 2023R Q20-21, 2024Exc Q20-21, 2024R Q20-21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12] ANTI-BACILLAIRES (ANTITUBERCULEUX)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~1.33 Q/examen (20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5 antituberculeux majeurs — profil complet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Isoniazide (INH) : bactéricide intracellulaire ; toxicité HÉPATIQUE et neuro/psychiatrique (neuropathie périphérique → prévention par vitamine B6).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Rifampicine (RIF) : inhibe l'ARN-polymérase bactérienne ; INDUCTEUR ENZYMATIQUE puissant (++) → diminue l'efficacité des contraceptifs oraux, AVK, corticoïdes, digoxine ; colore les urines/sécrétions en ORANGE ; syndrome grippal + anémie hémolytique (immuno-allergique, formes intermittentes).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Pyrazinamide (PZA) : bactéricide intracellulaire ; HYPERURICÉMIE (→ goutte) et hépatotoxicité.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Éthambutol (EMB) : BACTÉRIOSTATIQUE, extracellulaire ; névrite optique rétrobulbaire / dyschromatopsie (rouge-vert) ; contre-indiqué/adapté dans l'insuffisance rénale.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Streptomycine (SM, aminoside) : ototoxicité (cochléo-vestibulaire), forme INJECTABLE.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Contre-indiqués en cas d'hépatite sévère : INH, PZA, RIF (les trois hépatotoxiques). Contre-indiqués en cas de porphyrie : PZA et RIF.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multirésistance (MDR-TB) = résistance simultanée à INH + RIF (les deux piliers).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Intracellulaires (donc actifs sur le bacille quiescent) : INH, PZA, RIF. EMB est extracellulaire.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Q36, 2020N Q35, 2021N Q34, 2021R Q34-35, 2022N Q34-35, 2023N Q33-34, 2023R Q34, 2024N Q34-35, 2024R Q34-35, 2025N Q39-40, 2026N Q34-35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13] MÉDICAMENT ET PATHOLOGIE DU FOIE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~1.27 Q/examen (19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Hépatotoxicité médicamenteuse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Mécanismes/types : cytolytique, cholestatique (ou mixte), immuno-allergique, idiosyncrasique (imprévisible, non dose-dépendant).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Le médicament est la 1re cause de RETRAIT du marché et un motif fréquent d'arrêt de développement.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Diagnostic = chronologique (délai d'apparition, régression à l'arrêt, récidive à la réintroduction) + élimination des autres causes.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Toxicité de surdosage (cytolytique, PRÉCOCE et PRÉVISIBLE) : paracétamol +++ (via le métabolite réactif NAPQI), antidote N-acétylcystéine.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Favorisée par : jeûne / dénutrition (déplétion en glutathion), interactions (inducteurs), terrain génétique.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Idiosyncrasique ≠ immuno-allergique : l'idiosyncrasique est imprévisible et non immunologique au sens strict (piège classique).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En cas d'insuffisance hépatique : préférer un médicament peu métabolisé par le foie / à élimination rénale sous forme inchangée.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Q17, 2019N Q17, 2019R Q17, 2020N Q17, 2021N Q17, 2021R Q17, 2022N Q17, 2023N Q18-19, 2023R Q15-16, 2024N Q15-16, 2024R Q15-16, 2025N Q15-16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14] LE SUIVI THÉRAPEUTIQUE PHARMACOLOGIQUE (STP)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~1.2 Q/examen (18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&amp; modalités du suivi thérapeutique pharmacologique (STP / TDM)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Indications : marge thérapeutique ÉTROITE, variabilité INTERINDIVIDUELLE importante, bonne corrélation concentration-effet, absence d'autre marqueur d'efficacité, dosage validé et disponible ; suspicion de sous-/sur-dosage ; contrôle de l'observance.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Modalités : prélever À L'ÉTAT D'ÉQUILIBRE, respecter le moment du prélèvement (concentration résiduelle avant la prise, ou pic selon le médicament), matrice = sang total ou plasma selon la molécule, interpréter vs la zone thérapeutique.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Exemples : digoxine, lithium, aminosides, vancomycine, antiépileptiques, immunosuppresseurs.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 STP ne concerne PAS tous les médicaments : inutile si marge LARGE ou si variabilité interindividuelle faible.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Q25, 2019R Q25, 2020N Q25, 2021N Q25, 2021R Q25, 2022N Q25, 2023N Q25, 2023R Q24-25, 2024N Q24-25, 2024R Q24-25, 2025N Q17+24, 2026N Q25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lastRenderedPageBreak/>
        <w:t>[RANG 15] LES DIURÉTIQUES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~1.13 Q/examen (17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par site d'action &amp; mécanisme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Proximaux : inhibiteurs de l'anhydrase carbonique (acétazolamide) et osmotiques (mannitol).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Anse de Henle : diurétiques de l'anse (furosémide, bumétanide) — les plus puissants/natriurétiques.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Tube contourné distal : thiazidiques (hydrochlorothiazide, indapamide).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Distaux/collecteur, épargneurs de potassium : anti-aldostérone (spironolactone) et bloqueurs du canal Na (amiloride/modamide).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Mécanisme commun en amont : tous dépendent de la Na/K-ATPase basolatérale ; les natriurétiques les plus puissants sont ceux de l'anse (et proximaux).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Kaliémie : anse + thiazidiques + proximaux → HYPOkaliémie ; anti-aldostérone + canal Na → HYPERkaliémie (piège de polarité).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Indications de l'anse : surcharge hydrosodée, OAP, insuffisance cardiaque, œdème cérébral, hypercalcémie majeure. Proximaux (acétazolamide) : glaucome, œdème cérébral / HTIC.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Contre-indications communes : obstacle des voies urinaires, insuffisance hépatocellulaire sévère, hyperuricémie (sauf anti-aldostérone), allaitement.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Q27, 2019R Q26-27, 2021N Q27, 2021R Q26-27, 2022N Q27, 2023N Q26-27, 2023R Q26-27, et sessions 2024/2025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16] BÊTA-LACTAMINES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~1.13 Q/examen (17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Mécanisme &amp; pénicillines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Mécanisme : inhibition de la synthèse de la paroi (peptidoglycane) par fixation aux PLP → bactéricidie TEMPS-dépendante.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Pénicilline G : voie IV uniquement, active sur le tréponème (syphilis), même spectre que la péni V (orale) ; Benzathine-pénicilline = forme retard IM.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Pénicilline M (oxacilline/cloxacilline) : staphylocoque méti-S ; bonne diffusion articulaire mais PAS dans les méninges.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Amoxicilline : orale, angine à streptocoque, ± acide clavulanique (inhibiteur de β-lactamase), diffuse dans la prostate, élimination urinaire ; effet indésirable = allergie (jusqu'à l'œdème de Quincke / anaphylaxie).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Céphalosporines : classées par générations ; INACTIVES sur l'entérocoque ; toutes ne passent pas la barrière hémato-méningée.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majeur : la VANCOMYCINE n'est PAS une β-lactamine (c'est un glycopeptide) bien qu'elle agisse aussi sur le peptidoglycane.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β-lactamines sont INACTIVES sur le SARM (staph méti-R) et sur les germes intracellulaires.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Q32, 2019N Q28-29, 2019R Q29-30, 2020N Q30, 2021N Q29, 2021R Q30-31, 2022N Q31, 2024Exc Q28, 2024N Q28-29, 2025N Q48, 2026N Q28-30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lastRenderedPageBreak/>
        <w:t>[RANG 17] ANTIVIRAUX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~1.07 Q/examen (16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Antirétroviraux (VIH) &amp; antiherpétiques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Antirétroviraux : VIRUSTATIQUES (ne guérissent pas), prescrits en ASSOCIATION obligatoire (≥3 molécules sur des étapes différentes du cycle), à VIE, exposés à la résistance ; servent aussi en prévention (AES, transmission materno-fœtale).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Aciclovir : inhibe l'ADN-polymérase virale (après phosphorylation par la thymidine-kinase virale) ; actif sur HSV/VZV ; traitement de l'encéphalite herpétique et prévention des récidives ; adapter à la fonction rénale.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Ganciclovir : CMV (IV). Oseltamivir : grippe. Molnupiravir / antiviraux oraux : SARS-CoV-2.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: les antirétroviraux ne sont PAS actifs sur le CMV ; l'aciclovir n'est PAS actif sur le VIH ni sur le SARS-CoV-2.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Les antirétroviraux ne « guérissent » pas l'infection VIH et ne sont jamais prescrits en monothérapie.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Q31, 2019N Q33, 2019R Q33, 2020N Q29+31, 2021R Q29, 2022N Q30, 2023R Q31-32, 2024Exc Q33, 2024N Q32-33, 2024R Q28-29, 2025N Q50, 2026N Q32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18] TRAITEMENT DE LA MALADIE ULCÉREUSE GASTRODUODÉNALE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~0.87 Q/examen (13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Anti-sécrétoires &amp; anti-ulcéreux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IPP (oméprazole, ésoméprazole…) : inhibition IRRÉVERSIBLE de la pompe H+/K+-ATPase de la cellule pariétale ; prise unique (matin, avant repas) ; voie orale ET parentérale ; plus efficaces que les anti-H2.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Anti-H2 (ranitidine, famotidine) : suppriment PARTIELLEMENT la sécrétion acide ; élimination rénale ; troubles de la conscience possibles chez le sujet âgé/insuffisant rénal.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Famille des anti-sécrétoires/anti-acides : IPP, anti-H2, analogues des prostaglandines (misoprostol), anti-acides et topiques/protecteurs.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: l'inhibition de la pompe à protons est IRRÉVERSIBLE (la sécrétion ne reprend qu'après synthèse de nouvelles pompes), ce qui explique la prise unique malgré une demi-vie courte.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Une association de l'éradication d'H. pylori (IPP + 2 antibiotiques) est la règle pour l'ulcère à H. pylori.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Q44, 2019N Q43-44, 2019R Q45, 2020N Q45, 2021R Q43-44, 2022N Q44, 2023R Q44, 2024N Q44-45, 2024R Q44, 2026N Q43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19] LES ANTALGIQUES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~0.87 Q/examen (13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Paliers OMS &amp; molécules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Palier 1 (douleur faible) : paracétamol, néfopam, AINS. Palier 2 (modérée) : codéine, tramadol (opioïdes faibles). Palier 3 (intense) : morphine et opioïdes forts.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Néfopam : antalgique central NON morphinique ; dose max ≈120 mg/j ; contre-indiqué en cas de convulsions / glaucome / adénome prostatique (effet anticholinergique).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Codéine : PRODROGUE → transformée en morphine par déméthylation hépatique (CYP2D6) ; durée d'action ≈4 h ; contre-indiquée chez l'asthmatique et l'enfant &lt;12 ans.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Paracétamol : palier 1, antipyrétique ; métabolite toxique NAPQI (N-acétyl-p-benzoquinone-imine) ; antidote = N-acétylcystéine ; n'est PAS contre-indiqué pendant l'allaitement.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répété ×4 : les effets indésirables des morphiniques incluent la CONSTIPATION (pas la diarrhée), avec sédation, confusion, rétention urinaire, sécheresse buccale, dépression respiratoire.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Q43, 2019N Q36, 2019R Q36, 2020N Q36, 2021N Q36, 2023N Q45, 2023R Q43, 2024Exc Q43-44, 2024N Q43, 2024R Q43, 2026N Q44-45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20] ANTIÉPILEPTIQUES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 Q/examen (12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Générations &amp; mécanismes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1re génération : phénobarbital, phénytoïne, carbamazépine, valproate (acide valproïque), éthosuximide.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Nouvelle génération : felbamate, lamotrigine, vigabatrin, gabapentine (et lévétiracétam, topiramate…).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Mécanismes : blocage des canaux sodiques et/ou calciques, potentialisation GABAergique.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Indications hors épilepsie : douleurs neuropathiques (gabapentine, carbamazépine), troubles psychiatriques/thymorégulation (valproate, carbamazépine).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inducteurs : la carbamazépine et le phénobarbital sont des INDUCTEURS enzymatiques ; le valproate ne l'est PAS (c'est plutôt un inhibiteur).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Interactions/contre-indications fréquemment testées : associations avec antirétroviraux, antifongiques azolés, certains antibiotiques (inducteurs/inhibiteurs).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Q48, 2019N Q48, 2019R Q48, 2020N Q48, 2021N Q48, 2021R Q48, 2023N Q48, 2023R Q48, 2024Exc Q48, 2024N Q48, 2024R Q48, 2026N Q48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21] ANXIOLYTIQUES (BENZODIAZÉPINES)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 Q/examen (12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Benzodiazépines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Effets pharmacologiques : anxiolytique, sédatif/hypnotique, MYORELAXANT, amnésiant (antérograde), anticonvulsivant (via potentialisation du GABA-A).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lastRenderedPageBreak/>
        <w:t>Risque de dépendance → durée de prescription LIMITÉE et arrêt PROGRESSIF (jamais brutal : risque de rebond/convulsions).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Antidote en cas de surdosage : flumazénil.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: les BZD n'ont PAS d'effet antipsychotique ni antidépresseur.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Contre-indications : hypersensibilité, insuffisance respiratoire sévère, syndrome d'apnées du sommeil, myasthénie, insuffisance hépatique sévère.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Q49, 2019N Q49, 2019R Q49, 2020N Q49, 2021N Q49, 2021R Q49, 2022N Q49, 2023N Q49, 2023R Q49, 2024Exc Q49, 2024N Q49, 2024R Q49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22] ANTIDÉPRESSEURS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 Q/examen (12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Classes &amp; mécanismes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ISRS (fluoxétine, sertraline…) : blocage de la recapture de la SÉROTONINE. IRSNa (venlafaxine, duloxétine) : recapture sérotonine + noradrénaline.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Tricycliques (imipraminiques) : blocage de recapture + effets anticholinergiques. IMAO : INHIBENT la monoamine-oxydase.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Délai d'action de plusieurs semaines (effet thymique non immédiat).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Indications : épisode dépressif modéré à sévère, troubles anxieux / attaque de panique, algies rebelles (tricycliques).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Pièges : les antidépresseurs ne FAVORISENT pas la recapture (ils la bloquent), les IMAO INHIBENT la MAO (ne la stimulent pas), l'effet n'est PAS immédiat, et ils n'ont PAS d'effet myorelaxant.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Q50, 2019N Q50, 2019R Q50, 2020N Q50, 2021N Q50, 2021R Q50, 2022N Q50, 2023N Q50, 2023R Q50, 2024Exc Q50, 2024N Q50, 2024R Q50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23] ANTITUSSIFS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~0.73 Q/examen (11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Centraux vs périphériques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Antitussifs centraux opioïdes : codéine, codéthyline, pholcodine (déprimés du centre de la toux) — toxicomanogènes et dépresseurs respiratoires.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Central NON opioïde : dextrométhorphane (et noscapine) — non dépresseur respiratoire, non toxicomanogène.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Antitussifs périphériques : anti-histaminiques H1 (chlorphénamine, prométhazine).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Indication : toux SÈCHE, non productive et gênante.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: les antitussifs opioïdes sont CONTRE-INDIQUÉS dans l'asthme (dépression respiratoire / bronchoconstriction) ; la pholcodine a aussi une activité analgésique.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Ne jamais inhiber une toux PRODUCTIVE (grasse) — elle est utile au drainage.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Q34, 2019R Q34, 2020N Q34, 2021N Q35, 2022N Q36, 2023N Q35, 2023R Q35, 2024Exc Q36, 2024N Q36, 2025N Q41, 2026N Q36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lastRenderedPageBreak/>
        <w:t>[RANG 24] REIN ET MÉDICAMENTS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~0.73 Q/examen (11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Insuffisance rénale &amp; médicaments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Conséquences de l'IR : ACCUMULATION (↓ élimination), ↑ fraction libre si hypoalbuminémie, ↑ volume de distribution des hydrosolubles en cas d'œdèmes, modification du métabolisme.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Conséquence principale = augmentation du risque d'atteindre des concentrations TOXIQUES → adaptation posologique.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« Méthode de la dose » (réduction de la dose unitaire en gardant l'intervalle) : adaptée aux médicaments à demi-vie courte / temps-dépendants ; « méthode de l'intervalle » : on espace les prises.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Néphrotoxicité favorisée par : forte activité tubulaire de la molécule, hypovolémie / bas débit, cirrhose, associations néphrotoxiques.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Dose de CHARGE de la digoxine RÉDUITE en cas d'IR.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: l'IR ne modifie PAS la biodisponibilité d'une voie IV (100% par définition) et ne change pas le mécanisme d'action de la molécule.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Q26-27, 2019N Q26, 2020N Q26-27, 2021N Q26, 2022N Q26, 2024Exc Q27, 2024N Q27, 2024R Q27, 2025N Q35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25] PRISE EN CHARGE MÉDICAMENTEUSE DE LA CONSTIPATION (LAXATIFS)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~0.73 Q/examen (11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Classes de laxatifs (constipation)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Laxatifs de LEST / mucilages : augmentent la masse fécale et retiennent l'eau ; effets indésirables = ballonnements, bouchons ; CI sténose digestive / maladie de Crohn occlusive.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Laxatifs OSMOTIQUES : sucres non absorbables (lactulose) et macrogols (PEG) → attirent l'eau dans le côlon ; flatulences.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Laxatifs STIMULANTS / purgatifs : action motrice + sécrétoire ; risque de dépendance, troubles hydro-électrolytiques (hypokaliémie), rectite/colite (mélanose) au long cours.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Laxatifs ÉMOLLIENTS / lubrifiants (paraffine) : suintement anal, risque de pneumopathie d'inhalation, malabsorption des vitamines liposolubles.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: ce sont les laxatifs STIMULANTS qui exposent à la dépendance et aux désordres ioniques (pas les osmotiques ni le lest en première intention).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Q45, 2019N Q45, 2019R Q43-44, 2020N Q44, 2021N Q43-44, 2022N Q43, 2023N Q43-44, 2024Exc Q45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26] ENDOCRINOLOGIE — INSULINES &amp; ANTIDIABÉTIQUES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~0.67 Q/examen (10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Insulines &amp; antidiabétiques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Insulines RAPIDES / analogues rapides : lispro, aspart, glulisine (durée ≈4 h, en prandial). LENTES : glargine, détémir, NPH (basales).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Metformine (biguanide) : diminue l'insulino-RÉSISTANCE et la production hépatique de glucose ; dose max ≈2000-3000 mg/j ; risque rare d'acidose lactique (CI si IR sévère).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Sulfamides hypoglycémiants : insulino-sécréteurs → risque d'HYPOGLYCÉMIE (majoré avec l'insuline).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Gliptines (iDPP-4) : diminuent la dégradation du GLP-1. Gliflozines (iSGLT2) : inhibition de la réabsorption rénale du glucose.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Association sulfamide + insuline = risque hypoglycémique majeur (à connaître). La metformine seule ne donne PAS d'hypoglycémie.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Q33, 2021N Q45, 2021R Q45, 2022N Q45-46, 2025N Q36-38, 2026N Q49-50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27] BRONCHODILATATEURS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 Q/examen (9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β2-mimétiques, anticholinergiques, théophylline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β2-mimétiques de COURTE durée (salbutamol, terbutaline) = traitement de la CRISE/urgence. β2 de LONGUE durée (salmétérol, formotérol, indacatérol) = traitement de FOND, toujours associés à un corticoïde inhalé dans l'asthme.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Anticholinergiques (ipratropium, tiotropium) : antagonistes muscariniques ; ES = sécheresse buccale, irritation pharyngée, paradoxalement bronchospasme.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Théophylline (base xanthique) : marge étroite, ES cardiaques (tachycardie) et neurologiques (tremblements, convulsions).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Crise d'asthme : β2 courte durée + ipratropium + corticoïdes systémiques. Piège : les antitussifs opioïdes (codéine) y sont CONTRE-INDIQUÉS.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Q34-35, 2019N Q35, 2019R Q35, 2021R Q36, 2023N Q36, 2023R Q36, 2024R Q36, 2025N Q42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28] ANTI-INFECTIEUX — DIVERS (DIFFUSION BHM, TEMPS/CONC-DÉPENDANCE, VOIE DIGESTIVE)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~0.53 Q/examen (8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Diffusion, temps/concentration-dépendance, voie digestive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Bonne diffusion hémato-méningée (LCR) : amoxicilline ± clavulanique, C3G (céfotaxime, ceftriaxone), aciclovir, cotrimoxazole, métronidazole.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Mauvaise diffusion méningée : aminosides, pénicilline G, vancomycine.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Bonne absorption digestive (biodisponibilité orale) : amoxicilline, pénicilline V, cotrimoxazole, fluoroquinolones, métronidazole.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Temps-dépendants : β-lactamines, chloramphénicol. Concentration-dépendants : aminosides, fluoroquinolones.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 xml:space="preserve">Clé discutable signalée : 2 questions (2024R Q31, 2023N Q30) classent l'AMPHOTÉRICINE B parmi les molécules traversant la BHM. En pratique, </w:t>
      </w:r>
      <w:r w:rsidRPr="002928EE">
        <w:rPr>
          <w:rFonts w:ascii="JetBrains Mono" w:hAnsi="JetBrains Mono" w:cs="JetBrains Mono"/>
          <w:i/>
          <w:iCs/>
          <w:color w:val="B45309"/>
        </w:rPr>
        <w:lastRenderedPageBreak/>
        <w:t>l'amphotéricine B diffuse MAL dans le LCR — réponse retenue selon la clé officielle, médecine correcte indiquée ici.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Q47, 2020N Q28, 2022N Q28-29, 2023N Q28-30, 2024R Q31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29] ANTIBIOTHÉRAPIE — GÉNÉRALITÉS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~0.47 Q/examen (7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Définitions &amp; résistance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Antibiotiques d'origine naturelle, semi-synthétique ou synthétique ; classés par familles ; tous ne sont PAS bactéricides (certains bactériostatiques).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Résistance NATURELLE (intrinsèque) = inhérente à l'espèce (pas d'acquisition de gène). Résistance ACQUISE = par mutation ou transfert horizontal de gènes (plasmides).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Mécanismes de résistance : efflux actif, modification de la cible, inactivation enzymatique (β-lactamases), imperméabilité de la paroi.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Paramètres : CMI, CMB, antibiogramme, effet post-antibiotique.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: la résistance NATURELLE ne résulte PAS de l'acquisition d'un gène (c'est la résistance acquise qui le fait).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Néphrotoxiques : vancomycine + aminosides. Bonne diffusion prostatique : fluoroquinolones, cotrimoxazole, C3G.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2019R Q28, 2021N Q28, 2021R Q28, 2023R Q28-29, 2025N Q45, 2026N Q31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30] AMINOSIDES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~0.4 Q/examen (6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Aminosides (gentamicine, amikacine…)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Bactéricides CONCENTRATION-dépendants ; inhibition de la synthèse protéique sur la sous-unité 30S ; effet post-antibiotique prolongé → dose unique journalière.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Toxicité : NÉPHROtoxicité (tubulaire) et COCHLÉO-VESTIBULAIRE (ototoxicité) — majorées par la durée et les associations.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Contre-indiqués dans la myasthénie (effet curarisant).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Pièges : pas d'absorption digestive (administration parentérale), inactifs sur les anaérobies et sur les germes intracellulaires.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Q30, 2020N Q32, 2023N Q32, 2024Exc Q30, 2024N Q31, 2025N Q46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31] IMIDAZOLÉS / NITRO-IMIDAZOLÉS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~0.33 Q/examen (5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Nitro-imidazolés (métronidazole)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Bactéricide ; inhibe la synthèse des acides nucléiques (après réduction du groupe nitro) ; actif sur les ANAÉROBIES et les protozoaires (amibiase, abcès hépatique amibien, giardiase, trichomonase).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Bonne diffusion, y compris dans le LCR. Effet antabuse avec l'alcool.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: le métronidazole n'agit PAS sur le peptidoglycane (ce n'est pas une β-lactamine).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Q32, 2020N Q33, 2021N Q32, 2022N Q33, 2026N Q33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32] MACROLIDES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~0.33 Q/examen (5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Macrolides (érythromycine, clarithromycine, azithromycine)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Inhibition de la synthèse protéique sur la sous-unité 50S ; bonne concentration INTRACELLULAIRE.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Indications : angine à streptocoque (alternative à l'allergie aux pénicillines), infections respiratoires/atypiques ; clarithromycine dans l'éradication d'H. pylori ; azithromycine dans les IST urogénitales.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: tous les macrolides ne sont PAS à 14 atomes (azithromycine = azalide à 15 atomes). Contre-indication classique : association aux dérivés de l'ergot de seigle (ergotisme) ; inhibiteurs enzymatiques (CYP3A4) sauf azithromycine.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2021N Q33, 2023N Q31, 2024Exc Q31, 2024R Q33, 2025N Q47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33] GLYCOPEPTIDES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~0.33 Q/examen (5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Glycopeptides (vancomycine, teicoplanine)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Bactéricides ; inhibent la synthèse du peptidoglycane (à une étape différente des β-lactamines) ; spectre Gram POSITIF uniquement, dont le SARM (++).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Administration IV (la voie orale n'est utilisée que pour la colite à C. difficile, action locale digestive).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Pièges : INACTIFS sur les bacilles à Gram négatif ; pas d'absorption digestive ; néphrotoxiques (surveillance des taux = STP).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2021N Q30-31, 2024Exc Q29, 2024N Q30, 2024R Q30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34] QUESTIONS INCLASSIFIABLES (RECOUPE CARDIO + CORTICOÏDES)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~0.27 Q/examen (4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Items isolés (recoupent cardio + corticoïdes)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AVK : INR à 2,8 (dans la cible 2-3) → maintenir la même dose. Thiénopyridines (clopidogrel) : AOMI, après angioplastie/stent.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Apixaban (AOD) : contre-indiqué en cas d'insuffisance rénale sévère.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Corticoïdes : l'effet minéralocorticoïde augmente l'excrétion rénale du POTASSIUM (→ hypokaliémie) et la rétention sodée.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Ces questions renvoient aux fiches cardio (antithrombotiques) et anti-inflammatoires (corticoïdes) — à réviser conjointement.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2025N Q26-28, 2025N Q44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35] ANTIFONGIQUES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~0.27 Q/examen (4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Antifongiques systémiques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Fluconazole (azolé) : agit sur la membrane fongique (inhibition de la synthèse de l'ergostérol) ; voie orale + IV ; actif sur Candida albicans et la cryptococcose neuroméningée (BONNE diffusion dans le LCR) ; élimination URINAIRE.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Amphotéricine B (forme liposomale) : IV ; mauvaise absorption digestive ; large spectre mais néphrotoxique.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Pièges : le fluconazole n'est PAS actif sur l'aspergillus ; son élimination est urinaire (pas biliaire). À distinguer de l'amphotéricine B (diffusion LCR médiocre — voir « clé discutable » en divers infectieuse).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Q28, 2024Exc Q32, 2024R Q32, 2025N Q49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36] SULFAMIDES (COTRIMOXAZOLE)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~0.27 Q/examen (4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Cotrimoxazole (sulfaméthoxazole + triméthoprime)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Association SYNERGIQUE (blocage séquentiel de la synthèse des folates) ; bonne diffusion prostatique et dans le LCR.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Indications : Pneumocystis jirovecii (référence), listériose, fièvre typhoïde, infections urinaires.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Toxicité : hématologique (cytopénies), cutanée (Lyell/Stevens-Johnson).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Contre-indications : déficit en G6PD (hémolyse), nouveau-né (ictère nucléaire), grossesse (3e trimestre).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Q30, 2019R Q32, 2022N Q32, 2023R Q30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37] CYCLINES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~0.2 Q/examen (3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Cyclines (doxycycline)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Bactériostatiques ; inhibition de la synthèse protéique sur la sous-unité 30S ; actifs en intra- ET extracellulaire ; spectre large incluant les germes atypiques et les rickettsies (fièvre boutonneuse méditerranéenne).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Effet indésirable caractéristique : photosensibilité ; absorption diminuée par les anti-acides/cations (chélation).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Contre-indiqués chez l'enfant &lt;8 ans (coloration dentaire), pendant la grossesse et l'allaitement.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Q31, 2021R Q33, 2023R Q33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lastRenderedPageBreak/>
        <w:t>[RANG 38] QUINOLONES / FLUOROQUINOLONES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~0.2 Q/examen (3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Fluoroquinolones (ciprofloxacine, lévofloxacine)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Bactéricides CONCENTRATION-dépendants ; inhibent l'ADN-gyrase (topoisomérase II) ; excellente absorption orale et diffusion prostatique.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Lévofloxacine (3e génération) = antipneumococcique ; la ciprofloxacine (2e génération) ne l'est PAS (active surtout sur les BGN, dont Pseudomonas).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Effets indésirables classiques : tendinopathie / rupture tendineuse (tendon d'Achille), photosensibilité, allongement du QT.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Q29, 2019R Q31, 2021R Q32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39] ANTISPASMODIQUES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~0.13 Q/examen (2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Antispasmodiques musculotropes (phloroglucinol, mébévérine)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Action directe sur la fibre musculaire LISSE (digestive et génito-urinaire), indépendante du récepteur muscarinique.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Indications : spasmes digestifs, coliques. Bien tolérés ; alternative quand les anticholinergiques sont contre-indiqués (glaucome, adénome prostatique).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À distinguer des antispasmodiques ANTICHOLINERGIQUES (atropiniques), qui partagent les contre-indications de l'atropine.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2023R Q45, 2024R Q45</w:t>
      </w:r>
    </w:p>
    <w:p w:rsidR="004A07B0" w:rsidRPr="002928EE" w:rsidRDefault="007D545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[RANG 40] LES INHIBITEURS CALCIQUES (ITEM ISOLÉ)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~0.07 Q/examen (1 Q sur 15 sessions)</w:t>
      </w:r>
    </w:p>
    <w:p w:rsidR="004A07B0" w:rsidRPr="002928EE" w:rsidRDefault="007D545D">
      <w:pPr>
        <w:spacing w:before="1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Inhibiteurs calciques (item isolé — voir aussi bloc cardio)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Dihydropyridines (amlodipine, nicardipine) : vasodilatateurs artériels périphériques → effet indésirable = ŒDÈMES des membres inférieurs, céphalées, flush ; pas d'effet bradycardisant.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Non-dihydropyridines (vérapamil, diltiazem) : effet cardiaque (bradycardisant, inotrope négatif) → non privilégiés dans l'insuffisance cardiaque systolique.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Piège : les dihydropyridines ne sont PAS bradycardisantes (réflexe : tachycardie possible) ; ne pas associer vérapamil/diltiazem aux β-bloquants (risque de BAV).</w:t>
      </w:r>
    </w:p>
    <w:p w:rsidR="004A07B0" w:rsidRPr="002928EE" w:rsidRDefault="007D545D">
      <w:pPr>
        <w:spacing w:before="20" w:after="60"/>
        <w:rPr>
          <w:rFonts w:ascii="JetBrains Mono" w:hAnsi="JetBrains Mono" w:cs="JetBrains Mono"/>
        </w:rPr>
      </w:pPr>
      <w:r w:rsidRPr="002928EE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928EE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2026N Q41</w:t>
      </w:r>
    </w:p>
    <w:p w:rsidR="004A07B0" w:rsidRPr="002928EE" w:rsidRDefault="007D545D">
      <w:pP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br w:type="page"/>
      </w:r>
    </w:p>
    <w:p w:rsidR="004A07B0" w:rsidRPr="002928EE" w:rsidRDefault="007D545D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4A07B0" w:rsidRPr="002928EE" w:rsidRDefault="007D545D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4A07B0" w:rsidRPr="002928EE" w:rsidRDefault="007D545D">
      <w:pPr>
        <w:spacing w:before="80" w:after="12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4A07B0" w:rsidRPr="002928EE" w:rsidRDefault="007D545D">
      <w:pPr>
        <w:spacing w:before="12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Apparaître en question résiduelle ou rattrapage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Être recyclés à la dernière minute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Servir de "culture générale" médicale</w:t>
      </w:r>
    </w:p>
    <w:p w:rsidR="004A07B0" w:rsidRPr="002928EE" w:rsidRDefault="007D545D">
      <w:pPr>
        <w:spacing w:before="20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4A07B0" w:rsidRPr="002928EE" w:rsidRDefault="007D545D">
      <w:pPr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br w:type="page"/>
      </w:r>
    </w:p>
    <w:p w:rsidR="004A07B0" w:rsidRPr="002928EE" w:rsidRDefault="007D545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FFFFFF"/>
          <w:sz w:val="24"/>
          <w:szCs w:val="24"/>
        </w:rPr>
        <w:t>AIDE-MÉMOIRE FINAL — HIGH-YIELD CONCOURS PHARMACOLOGIE &amp; TOXICOLOGIE</w:t>
      </w:r>
    </w:p>
    <w:p w:rsidR="004A07B0" w:rsidRPr="002928EE" w:rsidRDefault="007D545D">
      <w:pPr>
        <w:pStyle w:val="Heading2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** CLASSIFICATIONS &amp; PALIERS À RETENIR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A07B0" w:rsidRPr="002928EE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Paliers OMS des antalgiques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 = paracétamol / néfopam / AINS ; 2 = codéine / tramadol ; 3 = morphine et opioïdes forts</w:t>
            </w:r>
          </w:p>
        </w:tc>
      </w:tr>
      <w:tr w:rsidR="004A07B0" w:rsidRPr="002928EE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Antiépileptiques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1re génération = phénobarbital, phénytoïne, carbamazépine, valproate, éthosuximide ; nouvelle = lamotrigine, gabapentine, vigabatrin, lévétiracétam…</w:t>
            </w:r>
          </w:p>
        </w:tc>
      </w:tr>
      <w:tr w:rsidR="004A07B0" w:rsidRPr="002928EE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Diurétiques (par site)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Proximaux (acétazolamide, mannitol) → anse (furosémide) → thiazidiques → distaux épargneurs de K (spironolactone, amiloride)</w:t>
            </w:r>
          </w:p>
        </w:tc>
      </w:tr>
      <w:tr w:rsidR="004A07B0" w:rsidRPr="002928EE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Listes de prescription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Liste I (cadre rouge), Liste II (cadre vert), Stupéfiants (ordonnance sécurisée, durée limitée)</w:t>
            </w:r>
          </w:p>
        </w:tc>
      </w:tr>
      <w:tr w:rsidR="004A07B0" w:rsidRPr="002928EE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Phases des essais cliniques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I = tolérance (volontaires sains) ; II = efficacité/dose ; III = comparatif vs référence (grande échelle) ; IV = post-AMM / pharmacovigilance</w:t>
            </w:r>
          </w:p>
        </w:tc>
      </w:tr>
      <w:tr w:rsidR="004A07B0" w:rsidRPr="002928EE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Insulines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Rapides/analogues (lispro, aspart, glulisine) vs lentes (glargine, détémir, NPH)</w:t>
            </w:r>
          </w:p>
        </w:tc>
      </w:tr>
    </w:tbl>
    <w:p w:rsidR="004A07B0" w:rsidRPr="002928EE" w:rsidRDefault="007D545D">
      <w:pPr>
        <w:pStyle w:val="Heading2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** MÉCANISMES D'ACTION CLÉS (par classe)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4A07B0" w:rsidRPr="002928EE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4A07B0" w:rsidRPr="002928EE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β-lactamines / glycopeptides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Inhibition de la synthèse de la paroi (peptidoglycane / PLP) — temps-dépendant</w:t>
            </w:r>
          </w:p>
        </w:tc>
      </w:tr>
      <w:tr w:rsidR="004A07B0" w:rsidRPr="002928EE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Aminosides / cyclines / macrolides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Inhibition de la synthèse protéique : 30S (aminosides, cyclines) ; 50S (macrolides)</w:t>
            </w:r>
          </w:p>
        </w:tc>
      </w:tr>
      <w:tr w:rsidR="004A07B0" w:rsidRPr="002928EE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Fluoroquinolones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Inhibition de l'ADN-gyrase — concentration-dépendant</w:t>
            </w:r>
          </w:p>
        </w:tc>
      </w:tr>
      <w:tr w:rsidR="004A07B0" w:rsidRPr="002928EE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Métronidazole / sulfamides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Métronidazole → acides nucléiques (anaérobies) ; cotrimoxazole → blocage séquentiel des folates</w:t>
            </w:r>
          </w:p>
        </w:tc>
      </w:tr>
      <w:tr w:rsidR="004A07B0" w:rsidRPr="002928EE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IPP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Inhibition IRRÉVERSIBLE de la pompe H+/K+-ATPase pariétale</w:t>
            </w:r>
          </w:p>
        </w:tc>
      </w:tr>
      <w:tr w:rsidR="004A07B0" w:rsidRPr="002928EE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AVK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Inhibition des facteurs vitamine K-dépendants (II, VII, IX, X) — effet retardé, surveillance INR</w:t>
            </w:r>
          </w:p>
        </w:tc>
      </w:tr>
      <w:tr w:rsidR="004A07B0" w:rsidRPr="002928EE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Rifampicine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Inhibe l'ARN-polymérase + inducteur enzymatique puissant</w:t>
            </w:r>
          </w:p>
        </w:tc>
      </w:tr>
      <w:tr w:rsidR="004A07B0" w:rsidRPr="002928EE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Antifongiques azolés / amphotéricine B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07B0" w:rsidRPr="002928EE" w:rsidRDefault="007D545D">
            <w:pPr>
              <w:rPr>
                <w:rFonts w:ascii="JetBrains Mono" w:hAnsi="JetBrains Mono" w:cs="JetBrains Mono"/>
              </w:rPr>
            </w:pPr>
            <w:r w:rsidRPr="002928EE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Cible l'ergostérol de la membrane fongique</w:t>
            </w:r>
          </w:p>
        </w:tc>
      </w:tr>
    </w:tbl>
    <w:p w:rsidR="004A07B0" w:rsidRPr="002928EE" w:rsidRDefault="007D545D">
      <w:pPr>
        <w:pStyle w:val="Heading2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** PIÈGES CLASSIQUES DU CONCOURS **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Morphiniques → CONSTIPATION (jamais « diarrhée ») : piège répété au moins 4 fois.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Synergie = effet de molécules de même sens potentialisé ; potentialisation/addition à distinguer — ne pas confondre avec antagonisme.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Idiosyncrasique ≠ immuno-allergique (l'idiosyncrasique est imprévisible et non immunologique).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La vancomycine n'est PAS une β-lactamine (c'est un glycopeptide).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AINS : fœtotoxiques au 3e trimestre, PAS tératogènes. Héparine : NON tératogène (gros PM). AVK &amp; valproate &amp; IEC : tératogènes.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Carbamazépine, phénobarbital, rifampicine = INDUCTEURS ; le valproate n'est PAS inducteur.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Dihydropyridines = NON bradycardisantes ; ne pas associer vérapamil/diltiazem + β-bloquant.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Surveiller la KALIÉMIE : hyperkaliémie sous IEC/ARA2 et épargneurs de K ; hypokaliémie sous anse/thiazidiques, corticoïdes, laxatifs stimulants.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Résistance NATURELLE ≠ acquisition d'un gène (c'est la résistance ACQUISE).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L'inhibition de la pompe à protons est IRRÉVERSIBLE → explique la prise unique malgré une demi-vie courte.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STP : ne concerne PAS tous les médicaments (seulement marge étroite + variabilité interindividuelle + corrélation conc-effet).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2928EE">
        <w:rPr>
          <w:rFonts w:ascii="JetBrains Mono" w:hAnsi="JetBrains Mono" w:cs="JetBrains Mono"/>
          <w:i/>
          <w:iCs/>
          <w:color w:val="B45309"/>
        </w:rPr>
        <w:t>Le STP/adaptation rénale ne modifie pas la biodisponibilité d'une voie IV (100%).</w:t>
      </w:r>
    </w:p>
    <w:p w:rsidR="004A07B0" w:rsidRPr="002928EE" w:rsidRDefault="007D545D">
      <w:pPr>
        <w:pStyle w:val="Heading2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** EFFETS INDÉSIRABLES ICONIQUES &amp; ANTIDOTES (TOXICOLOGIE) **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Paracétamol → métabolite NAPQI → antidote N-acétylcystéine (déplétion en glutathion).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Organophosphorés (insecticides) → syndrome cholinergique → atropine + PRALIDOXIME.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Méthanol → toxicité oculaire/acidose → antidote fomépizole (ou éthanol).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Éthylène glycol → cristaux d'oxalate de calcium / IR → fomépizole.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Benzodiazépines → dépression respiratoire → flumazénil. Opioïdes → naloxone.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Rifampicine → urines/sécrétions ORANGE + inducteur enzymatique.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Éthambutol → névrite optique / dyschromatopsie (surveillance ophtalmo).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Aminosides → ototoxicité + néphrotoxicité (surveillance audiométrie + créatinine).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Statines → myalgies / rhabdomyolyse (surveillance CPK) + cytolyse hépatique (bilan hépatique).</w:t>
      </w:r>
    </w:p>
    <w:p w:rsidR="004A07B0" w:rsidRPr="002928EE" w:rsidRDefault="007D545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</w:rPr>
        <w:t>Monoxyde de carbone → carboxyhémoglobine → oxygène (normo-/hyperbare).</w:t>
      </w:r>
    </w:p>
    <w:p w:rsidR="004A07B0" w:rsidRPr="002928EE" w:rsidRDefault="007D545D">
      <w:pPr>
        <w:spacing w:before="24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color w:val="000000"/>
        </w:rPr>
        <w:t xml:space="preserve"> </w:t>
      </w:r>
    </w:p>
    <w:p w:rsidR="004A07B0" w:rsidRPr="002928EE" w:rsidRDefault="004A07B0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(claude-opus-4-8) — Version 1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740 QEs officielles × Cours AIO pharmaco générale (882 p.) + pharmaco spécifique (954 p.) + registre AMMPS (DCI Maroc)</w:t>
      </w:r>
    </w:p>
    <w:p w:rsidR="004A07B0" w:rsidRPr="002928EE" w:rsidRDefault="007D545D">
      <w:pPr>
        <w:spacing w:before="60" w:after="60"/>
        <w:jc w:val="center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FMPM — concours 2026 (module Pharmacologie &amp; Toxicologie, S6)</w:t>
      </w:r>
    </w:p>
    <w:p w:rsidR="004A07B0" w:rsidRPr="002928EE" w:rsidRDefault="007D545D">
      <w:pPr>
        <w:spacing w:before="20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4A07B0" w:rsidRPr="002928EE" w:rsidRDefault="007D545D">
      <w:pPr>
        <w:spacing w:before="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color w:val="065F46"/>
          <w:sz w:val="18"/>
          <w:szCs w:val="18"/>
        </w:rPr>
        <w:t>✓ Banque de 740 QE analysée sur 15 sessions (2018→2026), 40 thèmes ; aucune question écartée (parseur tolérant).</w:t>
      </w:r>
    </w:p>
    <w:p w:rsidR="004A07B0" w:rsidRPr="002928EE" w:rsidRDefault="007D545D">
      <w:pPr>
        <w:spacing w:before="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color w:val="065F46"/>
          <w:sz w:val="18"/>
          <w:szCs w:val="18"/>
        </w:rPr>
        <w:t>✓ Les citations renvoient uniquement à des sessions/numéros réels du corpus fourni.</w:t>
      </w:r>
    </w:p>
    <w:p w:rsidR="004A07B0" w:rsidRPr="002928EE" w:rsidRDefault="007D545D">
      <w:pPr>
        <w:spacing w:before="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color w:val="065F46"/>
          <w:sz w:val="18"/>
          <w:szCs w:val="18"/>
        </w:rPr>
        <w:t>✓ Contenu synthétisé à partir des corrections officielles ; les rares erreurs probables des clés sont signalées « clé discutable » avec la médecine correcte (ex. amphotéricine B / BHM en « divers infectieuse »).</w:t>
      </w:r>
    </w:p>
    <w:p w:rsidR="004A07B0" w:rsidRPr="002928EE" w:rsidRDefault="007D545D">
      <w:pPr>
        <w:spacing w:before="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color w:val="065F46"/>
          <w:sz w:val="18"/>
          <w:szCs w:val="18"/>
        </w:rPr>
        <w:t>✓ Session « 2024 Exceptionnel » sans corrections officielles dans la source : réponses reconstituées d'après la médecine non ambiguë.</w:t>
      </w:r>
    </w:p>
    <w:p w:rsidR="004A07B0" w:rsidRPr="002928EE" w:rsidRDefault="007D545D">
      <w:pPr>
        <w:spacing w:before="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color w:val="065F46"/>
          <w:sz w:val="18"/>
          <w:szCs w:val="18"/>
        </w:rPr>
        <w:t>✓ DCI/spécialités ancrées sur le registre AMMPS Maroc fourni ; cours AIO pharmaco générale + spécifique utilisés pour la synthèse.</w:t>
      </w:r>
    </w:p>
    <w:p w:rsidR="004A07B0" w:rsidRPr="002928EE" w:rsidRDefault="007D545D">
      <w:pPr>
        <w:spacing w:before="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color w:val="065F46"/>
          <w:sz w:val="18"/>
          <w:szCs w:val="18"/>
        </w:rPr>
        <w:t>✓ PARTIE 4 (hors-programme) laissée vide faute de liste officielle des leçons annulées 2026 — voir l'avertissement obligatoire ; aucune annulation n'est déduite de la fréquence.</w:t>
      </w:r>
    </w:p>
    <w:p w:rsidR="004A07B0" w:rsidRPr="002928EE" w:rsidRDefault="007D545D">
      <w:pPr>
        <w:spacing w:before="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color w:val="065F46"/>
          <w:sz w:val="18"/>
          <w:szCs w:val="18"/>
        </w:rPr>
        <w:t>✓ Liens cliquables par leçon en attente de la liste officielle des URL de cours FMPM (non fournie) — d'où l'absence de liens dans cette version.</w:t>
      </w:r>
    </w:p>
    <w:p w:rsidR="004A07B0" w:rsidRPr="002928EE" w:rsidRDefault="007D545D">
      <w:pPr>
        <w:spacing w:before="60" w:after="60"/>
        <w:rPr>
          <w:rFonts w:ascii="JetBrains Mono" w:hAnsi="JetBrains Mono" w:cs="JetBrains Mono"/>
        </w:rPr>
      </w:pPr>
      <w:r w:rsidRPr="002928EE">
        <w:rPr>
          <w:rFonts w:ascii="JetBrains Mono" w:hAnsi="JetBrains Mono" w:cs="JetBrains Mono"/>
          <w:color w:val="065F46"/>
          <w:sz w:val="18"/>
          <w:szCs w:val="18"/>
        </w:rPr>
        <w:t>✓ Correctif persistant requis dans le skill : élargir le groupe de capture « session » du parseur (analyze_questions.py) pour accepter les noms de session multi-mots (ex. « toxico pharma s6 2025 »), sinon ces sessions sont muettement perdues.</w:t>
      </w:r>
      <w:bookmarkEnd w:id="0"/>
    </w:p>
    <w:sectPr w:rsidR="004A07B0" w:rsidRPr="002928E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630A12"/>
    <w:multiLevelType w:val="hybridMultilevel"/>
    <w:tmpl w:val="0DF490B8"/>
    <w:lvl w:ilvl="0" w:tplc="74C40C80">
      <w:start w:val="1"/>
      <w:numFmt w:val="bullet"/>
      <w:lvlText w:val="•"/>
      <w:lvlJc w:val="left"/>
      <w:pPr>
        <w:ind w:left="720" w:hanging="360"/>
      </w:pPr>
    </w:lvl>
    <w:lvl w:ilvl="1" w:tplc="DCDA51E0">
      <w:numFmt w:val="decimal"/>
      <w:lvlText w:val=""/>
      <w:lvlJc w:val="left"/>
    </w:lvl>
    <w:lvl w:ilvl="2" w:tplc="55921342">
      <w:numFmt w:val="decimal"/>
      <w:lvlText w:val=""/>
      <w:lvlJc w:val="left"/>
    </w:lvl>
    <w:lvl w:ilvl="3" w:tplc="0F661770">
      <w:numFmt w:val="decimal"/>
      <w:lvlText w:val=""/>
      <w:lvlJc w:val="left"/>
    </w:lvl>
    <w:lvl w:ilvl="4" w:tplc="6EDE9C04">
      <w:numFmt w:val="decimal"/>
      <w:lvlText w:val=""/>
      <w:lvlJc w:val="left"/>
    </w:lvl>
    <w:lvl w:ilvl="5" w:tplc="C0EA5CAE">
      <w:numFmt w:val="decimal"/>
      <w:lvlText w:val=""/>
      <w:lvlJc w:val="left"/>
    </w:lvl>
    <w:lvl w:ilvl="6" w:tplc="05FA9882">
      <w:numFmt w:val="decimal"/>
      <w:lvlText w:val=""/>
      <w:lvlJc w:val="left"/>
    </w:lvl>
    <w:lvl w:ilvl="7" w:tplc="185E0D46">
      <w:numFmt w:val="decimal"/>
      <w:lvlText w:val=""/>
      <w:lvlJc w:val="left"/>
    </w:lvl>
    <w:lvl w:ilvl="8" w:tplc="95566DC4">
      <w:numFmt w:val="decimal"/>
      <w:lvlText w:val=""/>
      <w:lvlJc w:val="left"/>
    </w:lvl>
  </w:abstractNum>
  <w:abstractNum w:abstractNumId="1" w15:restartNumberingAfterBreak="0">
    <w:nsid w:val="79A1596D"/>
    <w:multiLevelType w:val="hybridMultilevel"/>
    <w:tmpl w:val="FA10D7A6"/>
    <w:lvl w:ilvl="0" w:tplc="BD3AEDE6">
      <w:start w:val="1"/>
      <w:numFmt w:val="bullet"/>
      <w:lvlText w:val="●"/>
      <w:lvlJc w:val="left"/>
      <w:pPr>
        <w:ind w:left="720" w:hanging="360"/>
      </w:pPr>
    </w:lvl>
    <w:lvl w:ilvl="1" w:tplc="55D8A596">
      <w:start w:val="1"/>
      <w:numFmt w:val="bullet"/>
      <w:lvlText w:val="○"/>
      <w:lvlJc w:val="left"/>
      <w:pPr>
        <w:ind w:left="1440" w:hanging="360"/>
      </w:pPr>
    </w:lvl>
    <w:lvl w:ilvl="2" w:tplc="F7366648">
      <w:start w:val="1"/>
      <w:numFmt w:val="bullet"/>
      <w:lvlText w:val="■"/>
      <w:lvlJc w:val="left"/>
      <w:pPr>
        <w:ind w:left="2160" w:hanging="360"/>
      </w:pPr>
    </w:lvl>
    <w:lvl w:ilvl="3" w:tplc="30D0FD12">
      <w:start w:val="1"/>
      <w:numFmt w:val="bullet"/>
      <w:lvlText w:val="●"/>
      <w:lvlJc w:val="left"/>
      <w:pPr>
        <w:ind w:left="2880" w:hanging="360"/>
      </w:pPr>
    </w:lvl>
    <w:lvl w:ilvl="4" w:tplc="36108E34">
      <w:start w:val="1"/>
      <w:numFmt w:val="bullet"/>
      <w:lvlText w:val="○"/>
      <w:lvlJc w:val="left"/>
      <w:pPr>
        <w:ind w:left="3600" w:hanging="360"/>
      </w:pPr>
    </w:lvl>
    <w:lvl w:ilvl="5" w:tplc="F8A8F9E2">
      <w:start w:val="1"/>
      <w:numFmt w:val="bullet"/>
      <w:lvlText w:val="■"/>
      <w:lvlJc w:val="left"/>
      <w:pPr>
        <w:ind w:left="4320" w:hanging="360"/>
      </w:pPr>
    </w:lvl>
    <w:lvl w:ilvl="6" w:tplc="0D142F76">
      <w:start w:val="1"/>
      <w:numFmt w:val="bullet"/>
      <w:lvlText w:val="●"/>
      <w:lvlJc w:val="left"/>
      <w:pPr>
        <w:ind w:left="5040" w:hanging="360"/>
      </w:pPr>
    </w:lvl>
    <w:lvl w:ilvl="7" w:tplc="25D6D2C6">
      <w:start w:val="1"/>
      <w:numFmt w:val="bullet"/>
      <w:lvlText w:val="●"/>
      <w:lvlJc w:val="left"/>
      <w:pPr>
        <w:ind w:left="5760" w:hanging="360"/>
      </w:pPr>
    </w:lvl>
    <w:lvl w:ilvl="8" w:tplc="7F58BB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7B0"/>
    <w:rsid w:val="002928EE"/>
    <w:rsid w:val="004A07B0"/>
    <w:rsid w:val="007D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D24E2A-3613-42FE-96AB-618531EB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10426</Words>
  <Characters>59432</Characters>
  <Application>Microsoft Office Word</Application>
  <DocSecurity>0</DocSecurity>
  <Lines>495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PHARMACOLOGIE &amp; TOXICOLOGIE - QE Haute Fréquence</vt:lpstr>
    </vt:vector>
  </TitlesOfParts>
  <Company/>
  <LinksUpToDate>false</LinksUpToDate>
  <CharactersWithSpaces>69719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PHARMACOLOGIE &amp; TOXICOLOGIE - QE Haute Fréquence</dc:title>
  <dc:creator>Claude.ai</dc:creator>
  <dc:description>Generated by qe-analysis skill</dc:description>
  <cp:lastModifiedBy>tool</cp:lastModifiedBy>
  <cp:revision>4</cp:revision>
  <cp:lastPrinted>2026-06-13T22:47:00Z</cp:lastPrinted>
  <dcterms:created xsi:type="dcterms:W3CDTF">2026-06-13T18:56:00Z</dcterms:created>
  <dcterms:modified xsi:type="dcterms:W3CDTF">2026-07-06T19:22:00Z</dcterms:modified>
</cp:coreProperties>
</file>