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678" w:rsidRPr="0094211A" w:rsidRDefault="00DC5459">
      <w:pPr>
        <w:spacing w:after="10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1F3A5F"/>
          <w:sz w:val="44"/>
          <w:szCs w:val="44"/>
        </w:rPr>
        <w:t xml:space="preserve">IMMUNOLOGIE · GÉNÉTIQUE · MÉDECINE </w:t>
      </w:r>
      <w:bookmarkStart w:id="0" w:name="_GoBack"/>
      <w:bookmarkEnd w:id="0"/>
      <w:r w:rsidRPr="0094211A">
        <w:rPr>
          <w:rFonts w:ascii="JetBrains Mono" w:hAnsi="JetBrains Mono" w:cs="JetBrains Mono"/>
          <w:b/>
          <w:bCs/>
          <w:color w:val="1F3A5F"/>
          <w:sz w:val="44"/>
          <w:szCs w:val="44"/>
        </w:rPr>
        <w:t>INTERNE</w:t>
      </w:r>
    </w:p>
    <w:p w:rsidR="004F0678" w:rsidRPr="0094211A" w:rsidRDefault="00DC5459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Version 1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</w:rPr>
        <w:t>Cross-match : 785 QEs officielles (2017→2025) × Cours AIO (Génétique 412 p. + Immunopath 383 p. + Maladies de système 496 p.)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000000"/>
          <w:sz w:val="18"/>
          <w:szCs w:val="18"/>
        </w:rPr>
        <w:t>FMP · 16 sessions analysées (Normal génétique 2017 → Normal 2025)</w:t>
      </w:r>
    </w:p>
    <w:p w:rsidR="004F0678" w:rsidRPr="0094211A" w:rsidRDefault="00DC545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</w:rPr>
        <w:t>Classement basé sur la fréquence réelle dans 785 QEs (16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4F0678" w:rsidRPr="0094211A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chromosomique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Génétique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Modes de transmission des maladies héréditaires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Génétique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hypersensibilités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Auto-immunité et maladie auto-immune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Immuno-intervention (vaccins · Ac monoclonaux · immunosuppr.)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Lupus érythémateux systémique (LES)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Phénomène de Raynaud (et sclérodermie)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Généralités en génétique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Génétique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déficits immunitaires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anténatal et caryotype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Génétique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Vascularites systémiques et Horton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Granulomatose avec polyangéite (Wegener / GPA)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Immunité anti-infectieuse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Myopathie inflammatoire (poly/dermatomyosite)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Gougerot-Sjögren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conseil génétique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Génétique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des antiphospholipides (SAPL)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Behçet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Sclérodermie systémique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Immunité anti-tumorale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Immunopathologie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Dermatomyosite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Artérite de Takayasu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interne</w:t>
            </w:r>
          </w:p>
        </w:tc>
      </w:tr>
      <w:tr w:rsidR="004F0678" w:rsidRPr="0094211A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(vignettes transversales)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Transv. · 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Mixte</w:t>
            </w:r>
          </w:p>
        </w:tc>
      </w:tr>
    </w:tbl>
    <w:p w:rsidR="004F0678" w:rsidRPr="0094211A" w:rsidRDefault="00DC5459">
      <w:pP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br w:type="page"/>
      </w:r>
    </w:p>
    <w:p w:rsidR="004F0678" w:rsidRPr="0094211A" w:rsidRDefault="00DC545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</w:rPr>
        <w:t>Statistiques calculées sur 16 sessions, chaque examen ~49.1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4F0678" w:rsidRPr="0094211A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chromosomique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15.3%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Modes de transmission des maladies héréditaires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5.19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10.6%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hypersensibilités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8.9%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Auto-immunité et maladie auto-immune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Immuno-intervention (vaccins · Ac monoclonaux · immunosuppr.)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Lupus érythémateux systémique (LES)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Phénomène de Raynaud (et sclérodermie)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Généralités en génétique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déficits immunitaires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anténatal et caryotype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Vascularites systémiques et Horton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Granulomatose avec polyangéite (Wegener / GPA)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Immunité anti-infectieuse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Myopathie inflammatoire (poly/dermatomyosite)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Gougerot-Sjögren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conseil génétique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des antiphospholipides (SAPL)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Behçet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Sclérodermie systémique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Immunité anti-tumorale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Dermatomyosite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Artérite de Takayasu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(transversal)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5.3%</w:t>
            </w:r>
          </w:p>
        </w:tc>
      </w:tr>
      <w:tr w:rsidR="004F0678" w:rsidRPr="0094211A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22 leçons officielles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743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46.4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jc w:val="center"/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94.6%</w:t>
            </w:r>
          </w:p>
        </w:tc>
      </w:tr>
    </w:tbl>
    <w:p w:rsidR="004F0678" w:rsidRPr="0094211A" w:rsidRDefault="00DC5459">
      <w:pP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br w:type="page"/>
      </w:r>
    </w:p>
    <w:p w:rsidR="004F0678" w:rsidRPr="0094211A" w:rsidRDefault="00DC545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94211A">
        <w:rPr>
          <w:rFonts w:ascii="Segoe UI Symbol" w:hAnsi="Segoe UI Symbol" w:cs="Segoe UI Symbol"/>
          <w:i/>
          <w:iCs/>
          <w:color w:val="000000"/>
        </w:rPr>
        <w:t>📖</w:t>
      </w:r>
      <w:r w:rsidRPr="0094211A">
        <w:rPr>
          <w:rFonts w:ascii="JetBrains Mono" w:hAnsi="JetBrains Mono" w:cs="JetBrains Mono"/>
          <w:i/>
          <w:iCs/>
          <w:color w:val="000000"/>
        </w:rPr>
        <w:t>) / lien cours (</w:t>
      </w:r>
      <w:r w:rsidRPr="0094211A">
        <w:rPr>
          <w:rFonts w:ascii="Segoe UI Symbol" w:hAnsi="Segoe UI Symbol" w:cs="Segoe UI Symbol"/>
          <w:i/>
          <w:iCs/>
          <w:color w:val="000000"/>
        </w:rPr>
        <w:t>📎</w:t>
      </w:r>
      <w:r w:rsidRPr="0094211A">
        <w:rPr>
          <w:rFonts w:ascii="JetBrains Mono" w:hAnsi="JetBrains Mono" w:cs="JetBrains Mono"/>
          <w:i/>
          <w:iCs/>
          <w:color w:val="000000"/>
        </w:rPr>
        <w:t>) / citations (</w:t>
      </w:r>
      <w:r w:rsidRPr="0094211A">
        <w:rPr>
          <w:rFonts w:ascii="Segoe UI Symbol" w:hAnsi="Segoe UI Symbol" w:cs="Segoe UI Symbol"/>
          <w:i/>
          <w:iCs/>
          <w:color w:val="000000"/>
        </w:rPr>
        <w:t>📋</w:t>
      </w:r>
      <w:r w:rsidRPr="0094211A">
        <w:rPr>
          <w:rFonts w:ascii="JetBrains Mono" w:hAnsi="JetBrains Mono" w:cs="JetBrains Mono"/>
          <w:i/>
          <w:iCs/>
          <w:color w:val="000000"/>
        </w:rPr>
        <w:t>)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1] PATHOLOGIE CHROMOSOMIQUE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Génétique  •  ~7.50 Q/examen (n°1 — 15,3 %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Génétique AIO (412 p.) · nomenclature ISCN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Trisomie 21 (Down) — 47,XX/XY,+21 — clinique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Épicanthus + fentes palpébrales obliques (yeux bridés), excès de peau à la nuque, pli palmaire transverse unique, écart exagéré 1er–2e orteils (sandal-gap), hypotonie.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Risque augmenté par l'ÂGE MATERNEL avancé (non-disjonction méiotique).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T21 libre et homogène (~95 %) → conseil génétique : récurrence faible (~1 %), caryotype parental NON indiqué.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la fente labio-palatine n'est PAS un signe de T21 → c'est Patau (T13) ou Edwards (T18).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l'âge PATERNEL avancé → maladies autosomiques DOMINANTES de novo, pas la T21.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Q40, Sep24/Nov24 Q42, NG17 Q24/Q26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Trisomie 18 (Edwards) et Trisomie 13 (Patau)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Edwards 47,+18 : hypotrophie/RCIU, oreilles bas implantées (« faunesques »), chevauchement des doigts, pieds en piolet (rocker-bottom), dysmorphie cranio-faciale.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Patau 47,+13 : fente labio-palatine bilatérale, microphtalmie, hexa/polydactylie, holoprosencéphalie.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Piolet + chevauchement des doigts = Edwards ; fente + microphtalmie + hexadactylie = Patau. Ne pas inverser.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Q42, N25 Q46, Sep24/Nov24 Q41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Syndromes par délétion — formule chromosomique à connaître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Cri-du-chat = del(5)(p15) → 46,XY,del(5)(p15) : cri aigu de chat, microcéphalie, retard.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Wolf-Hirschhorn = del(4)(p16) → 46,XX,del(4)(p16) : dysmorphie « en casque de guerrier grec ».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Syndrome 1p36 = del(1)(p36).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Piège récurrent : del(4)(p16) = Wolf-Hirschhorn ; del(5)(p15) = Cri-du-chat. C'est le chiffre du bras court p qui les sépare.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Q44, Mai24 Q44, Sep24/Nov24 Q43, NG17 Q28-29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Turner (45,X) vs Klinefelter (47,XXY)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Turner 45,X (variantes : mos 45,X/46,XX ; anneau r(X) ; isochromosome i(Xq)) — fille : retard statural, impubérisme/dysgénésie gonadique, cou palmé, coarctation de l'aorte, lymphœdème.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Klinefelter 47,XXY (ou mosaïque) — garçon : grande taille, atrophie testiculaire, stérilité (azoospermie), hypogonadisme, gynécomastie ; risque de CANCER DU SEIN ×20–50.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Turner : conseil génétique RASSURANT (récurrence faible) si 45,X, mosaïque, anneau ou isochromosome X.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Turner = X manquant (monosomie) ; Klinefelter = X surnuméraire. Le cancer du sein masculin oriente vers Klinefelter.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Conseil NON rassurant si Turner secondaire à un remaniement parental.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Q40/Q48, Mai24 Q45/Q46, Mai23 Q49, NG17 Q32/Q34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l'X fragile (Martin-Bell)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Triade : dysmorphie faciale (visage long, grandes oreilles) + macro-orchidie À LA PUBERTÉ + retard mental (1re cause héréditaire de déficience intellectuelle).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Anomalie moléculaire : EXPANSION du triplet CGG du gène FMR1 (mutation instable).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Caryotype standard normal → 2e intention = méthyl-PCR / étude de FMR1 (le caryotype ne voit pas l'expansion).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macro-orchidie « congénitale » → elle apparaît À LA PUBERTÉ.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duplication ou mutation faux-sens de FMR1 → c'est une EXPANSION de triplet CGG.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Q41/Q42, NG17 Q31/Q37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Anomalies de STRUCTURE vs de NOMBRE — définitions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Sur UN SEUL chromosome : délétion (terminale/interstitielle), duplication, inversion (péri/paracentrique), isochromosome, anneau.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Sur DEUX chromosomes : translocation réciproque et translocation robertsonienne.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Robertsonienne → uniquement chromosomes ACROCENTRIQUES : 13, 14, 15, 21, 22 (groupes D et G).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Aneuploïdie = nombre anormal non multiple de n (47,+18 ; 45,X). Polyploïdie = 69 (triploïde) / 92 (tétraploïde).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Clé officielle discutable (N25 Q47) : une translocation réciproque implique DEUX chromosomes — ne pas la classer « sur un seul chromosome ». Retenir la règle académique ci-dessus.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69,XXX et 92,XXYY ne sont PAS des aneuploïdies (= polyploïdies).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Q47, Sep24/Nov24 Q46, Sep24/Nov24 Q48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Quand demander le caryotype des PARENTS (enfant malade)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Devant un remaniement de STRUCTURE : der(14;21)+21, der(21;21)+21, del(4)(p16), t(15;21)… → recherche d'un parent porteur équilibré.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der(21;21) homologue chez un parent → 100 % de gamètes déséquilibrés (aucun enfant sain possible).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trisomie libre 47,+21 / 47,+13 de novo ou 47,XXY ne nécessitent PAS le caryotype parental.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Q43, Mai24 Q47, Mai23 Q48, NG17 Q20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2] MODES DE TRANSMISSION DES MALADIES HÉRÉDITAIRES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Génétique  •  ~5.19 Q/examen (n°2 — 10,6 %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Génétique AIO (412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Risque de récurrence — règles mendéliennes (le cœur du sujet)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AR, 2 parents hétérozygotes → 1/4 (25 %) à CHAQUE grossesse (indépendant du nombre d'enfants déjà atteints).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Deux sujets ATTEINTS d'une AR (homozygotes) → 100 % d'enfants atteints (ex : drépanocytose × drépanocytose).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AD, 1 parent atteint hétérozygote × sain → 1/2 (50 %) (ex : achondroplasie).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Récessive LIÉE À L'X : mère conductrice → 1/2 des garçons atteints ; père atteint → TOUTES les filles conductrices, TOUS les garçons sains.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grossesses sont indépendantes : 2-3 enfants déjà atteints d'une AR ne changent pas le 1/4.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X récessive : pas de transmission père→fils (l'homme atteint transmet son X à ses filles).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Q36, Mai24 Q40/Q41, R22 Q42, récurrent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Hardy-Weinberg — fréquence des hétérozygotes à partir de l'incidence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Incidence (homozygotes atteints) = q² → q = √incidence ; fréquence hétérozygotes = 2pq ≈ 2q.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Mucoviscidose 1/2500 → q = 1/50 → hétérozygotes ≈ 1/25.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Maladie AR 1/1 000 000 → q = 1/1000 → hétérozygotes ≈ 1/500.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Conditions : population large, pas de migration, pas de mutation, panmixie (unions au hasard), pas de sélection.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« effectif limité » ou « présence de sélection » → ce sont les conditions qui INVALIDENT Hardy-Weinberg.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Q39, N21 Q37, Mai23 Q40, N25 Q45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Consanguinité et coefficient de parenté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La consanguinité augmente le risque de maladies AUTOSOMIQUES RÉCESSIVES.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Coefficient de parenté entre 2 cousins germains = 1/8.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Hétérozygote connu × cousin(e) germain(e), maladie AR : risque = 1 × 1/8 × 1/4 = 1/32.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la consanguinité n'augmente PAS le risque d'AD (clé erronée à ce sujet dans une session ; retenir AR).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Q50, N25 Q38, N22 Q41, N21 Q38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Hérédité mitochondriale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Transmission EXCLUSIVEMENT maternelle (mitochondries apportées par l'ovocyte).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Hétéroplasmie = mélange d'ADNmt muté et sain ; la gravité dépend de la PROPORTION mutée (effet de seuil).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Tous les enfants d'une mère atteinte peuvent être touchés ; un PÈRE atteint ne transmet PAS.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transmission père→fils → impossible.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« mélange muté + sain » = HÉTÉROplasmie (pas homoplasmie).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Q42, Sep24 Q50, NG17 Q41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Hémophilie (X récessive) et conductrices obligatoires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Conductrice OBLIGATOIRE = femme ayant un frère atteint ET un fils atteint ; ou toute fille d'un homme hémophile.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Hémophilie A/B = récessives liées à l'X (atteignent surtout les garçons).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« toutes les tantes maternelles » ou « toutes les sœurs » d'un hémophile ne sont PAS obligatoirement conductrices (seulement à risque).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Q47, R22 Q42, Sep24/Nov24 Q39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Hétérozygote composite, hémizygote, hétérogénéité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Hétérozygote composite = 2 allèles mutés DIFFÉRENTS sur les 2 loci homologues (même gène).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État hémizygote = gènes portés par l'X chez le sexe MASCULIN (un seul allèle).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Hétérogénéité ALLÉLIQUE = mutations différentes d'un MÊME gène (intralocus) ; hétérogénéité de LOCUS = gènes différents (interlocus).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Hétérozygote composite ≠ 2 mutations sur le même allèle ; les 2 allèles mutés sont différents mais sur le même locus.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NG17 Q4/Q5, N19 Q40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3] LES HYPERSENSIBILITÉS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Immunopathologie  •  ~4.38 Q/examen (n°3 — 8,9 %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 · classification de Gell &amp; Coombs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4 types de Gell &amp; Coombs (à savoir classer +++):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Type I (immédiate, IgE) : asthme, rhinite, urticaire, choc anaphylactique, dermatite atopique. Sensibilisation = production d'IgE spécifiques fixées sur mastocytes/basophiles.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Type II (cytotoxique, IgG/IgM anti-membrane) : accident transfusionnel, incompatibilité fœto-maternelle Rhésus (allo-immunisation), cytopénies auto-immunes, Basedow.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Type III (complexes immuns) : maladie sérique, cryoglobulinémie, néphrite lupique, GN post-infectieuse, alvéolite allergique extrinsèque (maladie des éleveurs d'oiseaux).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Type IV (retardée, lymphocytes T) : eczéma/dermite de contact, tuberculose (IDR), toxidermies médicamenteuses, rejet de greffe.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Incompatibilité Rhésus &amp; accident transfusionnel = type II (pas III) ; maladie sérique &amp; cryoglobulinémie = type III (pas II).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Q24/Q25/Q26, Mai24 Q22, Déc24 Q22, R19 Q28/Q30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 I — phases, cytokines et exploration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Phase de sensibilisation (1er contact, asymptomatique) → phase effectrice (réintroduction, dégranulation, manifestations en 15–30 min).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Cytokines PRO-allergiques (Th2) : IL-4, IL-5, IL-9, IL-13. Cytokine ANTI-allergique : IFN-γ (Th1).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Exploration d'une allergie IgE-dépendante : clinique + prick-tests (tests cutanés) + IgE SPÉCIFIQUES (± test d'activation des basophiles). Les IgE spécifiques confirment une sensibilisation à un allergène suspecté.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IgE TOTALES seules ne suffisent pas au diagnostic d'allergie (élevées aussi dans parasitoses, atopie, hyper-IgE).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Q22/Q23, Sep24/Nov24 Q20/Q21, Déc24 Q20/Q21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Choc anaphylactique vs anaphylactoïde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Anaphylactique : IgE-dépendant, activation SPÉCIFIQUE mastocyte/basophile, ↑ tryptasémie, urgence → adrénaline immédiate.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Anaphylactoïde : NON IgE-dépendant, induit par les anaphylatoxines (C3a, C5a) ou histamino-libération directe ; mime cliniquement l'anaphylaxie ; urgence.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Désensibilisation/immunothérapie allergénique : réservée au type I IgE-médié.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l'anaphylactoïde nécessite une désensibilisation → non (il n'est pas IgE-dépendant).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Q21, Mai23 Q21, N22 Q20, R19 Q27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 IV : toxidermies médicamenteuses et tuberculose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Médiée par les lymphocytes T ; lésions à 48–72 h (pas 30 min) ; phase de sensibilisation asymptomatique.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Toxidermies : DRESS (éosinophilie, Th2), AGEP (LTh17 + PNN), Stevens-Johnson / Lyell-NET (LT CD8 cytotoxiques).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Test IGRA (QuantiFERON) : libération in vitro d'IFN-γ par les LT mémoires après stimulation par des Ag spécifiques de M. tuberculosis ; dépiste la tuberculose LATENTE ; systématique avant biothérapie anti-TNFα.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Avantage clé de l'IGRA : NON faussement positivé par le BCG (contrairement à l'IDR).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L'IGRA peut être positif dans une mycobactériose non tuberculeuse ; il ne distingue pas latente/active.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Q27, Mai24 Q23/Q24, Déc24 Q23/Q24, R19 Q31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Cryoglobulinémie (type III)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Ig qui précipitent au froid et se resolubilisent à 37 °C ; prélèvement à 37 °C strict.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Associée/révélatrice : hépatite virale C (+++), hémopathies malignes, maladies auto-immunes.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Exploration d'une maladie à complexes immuns : dosage du complément (C3/C4 abaissés), recherche de cryoglobulines, complexes immuns circulants.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test de Coombs (direct/indirect) explore le type II, pas le type III.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Q23, Sep24/Nov24/Déc24 Q22, R19 Q29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4] AUTO-IMMUNITÉ ET MALADIE AUTO-IMMUNE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Immunopathologie  •  ~2.56 Q/examen (n°4 — 5,2 %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Tolérance immunitaire — centrale vs périphérique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Tolérance CENTRALE (thymus pour T, moelle pour B) : délétion clonale des clones auto-réactifs de forte affinité ; pour les B, receptor editing (BCR editing).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Tolérance PÉRIPHÉRIQUE : anergie (inhibition du 2e signal, ex. CTLA-4), ignorance immunologique (Ag des sites privilégiés — œil, testicule), suppression par Treg, apoptose (AICD/Fas).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CTLA-4 inhibe CD28 → anergie ; ophtalmie sympathique = rupture de l'ignorance immunologique.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receptor editing est un mécanisme CENTRAL (B), pas périphérique.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L'anergie est RÉVERSIBLE et n'est pas une immunosuppression au sens des Treg.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Q28, Mai23 Q26, N22 Q26, R22 Q24, N20 Q18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Auto-anticorps ↔ maladie (carte à mémoriser +++):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Anti-récepteur de la TSH (stimulant) → Basedow (TSH basse, T3/T4 hautes). Anti-récepteur de l'acétylcholine → myasthénie. Anti-membrane basale glomérulaire → Goodpasture.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Anti-ADN natif (double brin) IgG → LES (corrèle à l'atteinte rénale) ; anti-Sm → LES (spécifique). AAN → dépistage de toutes les connectivites.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Anti-Scl70 (anti-topo-isomérase I) → sclérodermie diffuse ; anti-centromère → forme limitée/CREST. Anti-Jo1 → myosites (antisynthétases). ANCA → vascularites.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Clé officielle erronée (Mai24 Q27) : c'est l'anti-Sm (et l'anti-ADNn) qui est spécifique du LES — l'anti-CCP est le marqueur de la POLYARTHRITE RHUMATOÏDE, pas du lupus.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Q25/Q26/Q27, Sep24/Nov24/Déc24 Q24-Q28, N21 Q26, R21 Q26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Maladies AI spécifiques d'organe vs systémiques ; techniques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Spécifiques d'organe : pemphigus, diabète de type 1, hépatite auto-immune, thyroïdite auto-immune, myasthénie, Goodpasture.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Systémiques (non spécifiques d'organe) : lupus, sclérodermie, Sjögren, polyarthrite rhumatoïde.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Technique de RÉFÉRENCE pour les AAN = immunofluorescence indirecte (IFI sur cellules HEp-2) ; puis identification des spécificités (anti-ENA, anti-ADNn).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Maladie cœliaque (1re intention) : anti-transglutaminase IgA + dosage pondéral des IgA (éliminer un déficit en IgA) ; confirmation par anti-endomysium IgA.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LES n'est PAS spécifique d'organe (maladie systémique).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Anti-CCP, anti-TPO, anti-tTG, facteur rhumatoïde = dosés par ELISA, pas par IFI.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R22 Q25, R21 Q27, N20 Q20, Mai23 Q27, N22 Q27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des cytopénies auto-immunes et facteurs favorisants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Cytopénies auto-immunes (AHAI, PTI) : cytotoxicité dépendante des anticorps (ADCC) + cytotoxicité dépendante du complément (CDC).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Facteurs favorisant l'auto-immunité : génétiques (HLA), hormonaux (femme ++, œstrogènes), environnementaux (infections, médicaments, UV), immunologiques.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Une cytopénie auto-immune n'est PAS due à des anticorps anti-récepteurs ni à des dépôts de complexes immuns (mécanisme = ADCC + CDC).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R19 Q19, N19 Q18, N19 Q19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5] IMMUNO-INTERVENTION (VACCINS, AC MONOCLONAUX, IMMUNOSUPPRESSEURS)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Immunopathologie  •  ~2.56 Q/examen (n°5 — 5,2 %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Anticorps monoclonaux — nomenclature par le suffixe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-momab = murin ; -ximab = CHIMÉRIQUE (Infliximab, Rituximab, Cetuximab) ; -zumab = humanisé (Tocilizumab, Natalizumab, Alemtuzumab) ; -umab = humain (Adalimumab, Nivolumab, Certolizumab).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Anti-tumoraux : Rituximab (anti-CD20), Cetuximab (anti-EGFR), Trastuzumab (anti-HER2), Bevacizumab (anti-VEGF).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Immunomodulateurs (maladies inflammatoires) : anti-TNFα (Adalimumab, Infliximab, Certolizumab), Natalizumab, Tocilizumab.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Produits par la technique de l'HYBRIDOME.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Infliximab = chimérique (-ximab) ; Adalimumab/Nivolumab = humains (-umab). Le suffixe donne l'origine.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Q31, Mai24 Q34, Sep24/Nov24/Déc24 Q34, N21 Q33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de vaccins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Vivants atténués : BCG, ROR, fièvre jaune, varicelle — CONTRE-INDIQUÉS chez l'immunodéprimé et la femme enceinte.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Polysaccharidiques NON conjugués : thymo-INDÉPENDANTS, IgM, sans mémoire, INEFFICACES avant 2 ans.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Polysaccharidiques CONJUGUÉS (à une protéine) : deviennent thymo-DÉPENDANTS → font intervenir les LT → mémoire B et T, anticorps de différentes classes → EFFICACES chez le nourrisson contre les germes encapsulés (pneumocoque, Hib, méningocoque).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Vaccin HPV : pseudo-particules virales (VLP) → anticorps neutralisants → prévient le cancer du col.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Cancers évitables par vaccination : carcinome hépatocellulaire (VHB) et cancer du col (HPV).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Patient immunodéprimé/maladie chronique → vacciner précocement (grippe, pneumocoque) avec des vaccins INACTIVÉS, pas vivants.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Q30, Mai24 Q31/Q32, R22 Q30/Q32, N20 Q32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Adjuvants et immunosuppresseurs — classes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Adjuvants : améliorent l'immunogénicité, retardent l'élimination de l'Ag, activent les CPA ; souvent dans les vaccins inactivés (pas nécessaires aux vivants).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Anti-calcineurines : Ciclosporine, Tacrolimus. Anti-métabolites : Azathioprine, Mycophénolate mofétil, Méthotrexate. Anti-mitotique (alkylant) : Cyclophosphamide (Endoxan). Anti-mTOR : Sirolimus, Évérolimus. Déplétant : sérum anti-lymphocytaire (thymoglobuline).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Méthotrexate = anti-métabolite ; Endoxan = anti-mitotique/alkylant ; Ciclosporine/Tacrolimus = anti-calcineurines. Ne pas mélanger les classes.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immunoglobulines polyvalentes ne sont PAS des immunosuppresseurs.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Q33, Déc24 Q33, N22 Q33, R21 Q33, N21 Q31/Q32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Immunoglobulines polyvalentes, CAR-T et BCG-thérapie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Ig polyvalentes : issues de pools de plasma (PAS hybridome), majoritairement IgG ; visées substitutive (déficits humoraux), immunomodulatrice/anti-inflammatoire (PTI, Kawasaki), anti-idiotypique.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CAR-T : réinjection de lymphocytes T AUTOLOGUES génétiquement modifiés (récepteur chimérique anti-Ag tumoral).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BCG-thérapie : immunothérapie du cancer urothélial vésical non invasif (instillation intravésicale).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Ig polyvalentes ne sont ni anti-tumorales ni produites par hybridome.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CAR-T ≠ vaccin antitumoral ni anti-checkpoint : c'est un transfert de LT modifiés.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Q30, N22 Q31/Q32, R22 Q33, N20 Q33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6] LUPUS ÉRYTHÉMATEUX SYSTÉMIQUE (LES)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~2.44 Q/examen (n°6 — 5,0 %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critères ACR/EULAR 2019 · classes ISN/RPS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Terrain, mécanisme et manifestations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Femme jeune en âge de procréer ; facteurs déclenchants : œstroprogestatifs, grossesse, UV.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Mécanisme : dépôt de COMPLEXES IMMUNS (hypersensibilité de type III) + auto-anticorps.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Atteintes : polyarthrite inflammatoire non érosive (peut mimer une PR au début), rash malaire/photosensibilité, sérites (PÉRICARDITE = atteinte cardiaque la plus fréquente, souvent bénigne, révélatrice possible), cytopénies auto-immunes (anémie hémolytique, leuco/lymphopénie, thrombopénie), néphropathie.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La péricardite est rarement compliquée de tamponnade et n'est PAS corticorésistante.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Endocardite de Libman-Sacks (verruqueuse aseptique) à connaître.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Q1, N22 Q1-Q5, R21 Q1-Q6, N20 Q1-Q6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Biologie et immunologie (très discriminant)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Dissociation VS–CRP : VS élevée mais CRP normale/basse (sauf sérite ou infection) — très caractéristique.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AAN (dépistage par IFI, quasi constants) ; anti-ADN natif IgG (spécifique, corrèle à l'activité et à l'atteinte rénale) ; anti-Sm (très spécifique) ; anti-nucléosome ; hypocomplémentémie C3/C4.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Démarche : IFI (AAN) → spécificités anti-ADNn/anti-Sm/anti-nucléosome → C3/C4 → confrontation clinico-immunologique.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Pas d'hyperleucocytose ni de thrombocytose (au contraire : cytopénies).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Anti-CCP = polyarthrite rhumatoïde ; anti-Scl70/anti-centromère = sclérodermie ; ANCA = vascularites — pas le lupus.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Déc24 Q1/Q2, Sep24/Nov24 Q1/Q2, R20 Q20, N19 Q20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Néphropathie lupique et bilan d'extension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Classes ISN/RPS I→VI ; la classe IV (proliférative diffuse) est la plus grave et la plus fréquente.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Bilan d'extension : échographie cardiaque (sérite), protéinurie des 24 h + sédiment urinaire (atteinte rénale).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La capillaroscopie et l'EFR ne sont pas systématiques dans le LES (capillaroscopie → sclérodermie/Raynaud).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Q1, Sep24/Nov24 Q3/Q4, N22 Q5, R21 Q6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Hydroxychloroquine (Plaquenil) : traitement de fond quasi systématique chez tout lupique (réduit les poussées, bénéfice de survie).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Néphropathie proliférative active (classe III/IV) — induction : mycophénolate mofétil OU cyclophosphamide + bolus de méthylprednisolone.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rituximab/bélimumab sont réservés aux formes sévères ou réfractaires (pas d'emblée en routine).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Q2, N20 Q6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7] PHÉNOMÈNE DE RAYNAUD (ET SCLÉRODERMIE)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~2.44 Q/examen (n°7 — 5,0 %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Phénomène de Raynaud : phases et définition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Trouble vasomoteur paroxystique des extrémités déclenché par le froid/l'émotion.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Triphasique : 1) phase SYNCOPALE (pâleur) — OBLIGATOIRE, vasoconstriction/ischémie digitale ; 2) phase asphyxique (cyanose) — stase capillaire ; 3) phase érythermalgique/hyperhémique (rougeur) — vasodilatation réflexe, brûlure, dure 5–10 min.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La phase de pâleur (syncopale) est la seule phase constante exigée au diagnostic.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phases asphyxique et érythermalgique sont INCONSTANTES ; seule la pâleur est obligatoire.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Q3, Mai23 Q3, N20 Q15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de Raynaud (primitive) vs Raynaud secondaire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Maladie de Raynaud (primitive) : femme jeune, bilatéral et symétrique, pas de troubles trophiques, bilan étiologique négatif, AAN négatifs, capillaroscopie NORMALE, recul ≥ 2 ans.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Raynaud SECONDAIRE : unilatéral/asymétrique, troubles trophiques (ulcérations pulpaires, gangrène), AAN+, MÉGACAPILLAIRES à la capillaroscopie.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Étiologies : sclérodermie (++), lupus, dermatomyosite, Sjögren ; médicaments (bêtabloquants) ; maladie des engins vibrants, défilé thoraco-brachial ; cryoglobulinémie ; hypothyroïdie.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La capillaroscopie périunguéale est l'examen clé : mégacapillaires → sclérodermie ; normale → forme primitive.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Q16, Mai24 Q3/Q4, Mai23 Q4, R22 Q12, N21 Q11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du phénomène de Raynaud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Mesures : protection du froid, arrêt du tabac, éviction des vasoconstricteurs (bêtabloquants).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1re intention médicamenteuse : INHIBITEURS CALCIQUES (nifédipine).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Formes sévères/ulcères : analogues de la prostacycline (iloprost), inhibiteurs de la PDE5.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bêtabloquants (aggravent) ou corticothérapie en 1re intention.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Q4, R22 Q8, R20 Q14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Sclérodermie systémique (continuum à partir du Raynaud)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Raynaud + sclérodactylie + ulcérations pulpaires + télangiectasies ; CREST = Calcinose, Raynaud, atteinte Œsophagienne, Sclérodactylie, Télangiectasies.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1re cause de MORTALITÉ = pneumopathie interstitielle diffuse (fibrose pulmonaire) → traitement : mycophénolate mofétil ou cyclophosphamide.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HTAP : dépistée par échocardiographie, CONFIRMÉE par cathétérisme cardiaque droit → prostacycline, antagonistes des récepteurs de l'endothéline (bosentan), inhibiteurs PDE5.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Crise rénale : HTA maligne + IRA (atteinte vasculaire) → les IEC (captopril) améliorent la survie.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Anti-Scl70 → fibrose pulmonaire ; anti-ARN-polymérase III → crise rénale ; anti-centromère → forme limitée/HTAP. Ne pas attribuer la crise rénale à l'anti-Scl70.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L'HTAP de la sclérodermie ne se traite PAS par inhibiteurs calciques (réservés au Raynaud).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Q5/Q6, Mai23 Q14-Q17, N22 Q6/Q7, R20 Q5-Q9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8] GÉNÉRALITÉS EN GÉNÉTIQUE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Génétique  •  ~2.31 Q/examen (n°8 — 4,7 %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Génétique AIO (412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Vocabulaire fondamental (questions de cours répétées presque chaque session)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Phénotype = manifestation apparente (la maladie observée).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Génotype = constitution génétique du gamète/zygote/individu.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Allèle = forme/version différente d'un gène.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Locus = position d'un gène sur le chromosome ; Gène = unité d'hérédité ; Génome = ensemble du matériel génétique.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Ne pas confondre : « manifestation apparente » = phénotype ; « constitution génétique » = génotype ; « forme différente d'un gène » = allèle.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Q34, Mai24 Q35/Q36, N22 Q34/Q35, récurrent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liés à l'âge parental et à la consanguinité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Âge MATERNEL avancé → maladies CHROMOSOMIQUES (trisomies, non-disjonction).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Âge PATERNEL avancé → maladies autosomiques DOMINANTES (nouvelles mutations).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Consanguinité → maladies autosomiques RÉCESSIVES.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Triade à mémoriser : Mère→chromosomique ; Père→AD ; Consanguinité→AR.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Q35, R22 Q36, N22 Q36, N21 Q35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Triploïdie et formules de polyploïdie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Triploïdie = 69 chromosomes : 69,XXX / 69,XXY / 69,XYY.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Tétraploïdie = 92 chromosomes (92,XXYY).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46,XX = normal ; 47,+21 = aneuploïdie (trisomie), pas une triploïdie.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R22 Q35, NG18 Q2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9] LES DÉFICITS IMMUNITAIRES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Immunopathologie  •  ~2.12 Q/examen (n°9 — 4,3 %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 humoral primitif vs déficit immunitaire combiné sévère (DICS/SCID)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 HUMORAL : agammaglobulinémie de Bruton (liée à l'X, BTK), DICV, syndrome hyper-IgM (défaut de coopération B-T, CD40L), déficit sélectif en IgA. Révélé APRÈS 6 mois (protection par les IgG maternelles) ; infections à germes ENCAPSULÉS (ORL/respiratoires récidivantes).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DICS/SCID : urgence pédiatrique, révélé TÔT (&lt; 6 mois), infections sévères à germes INTRACELLULAIRES/opportunistes, lymphopénie profonde, retard de croissance ; nécessite une GREFFE de CSH précoce.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Diagnostic : éliminer d'abord un déficit ACQUIS (sérologie VIH) ; puis dosage pondéral des Ig + EPP (adulte) + immunophénotypage lymphocytaire.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Devant un nourrisson &lt; 6 mois avec infections sévères + lymphopénie profonde → penser DICS en premier (pas un déficit humoral).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Un déficit humoral est rarement révélé avant 6 mois (IgG maternelles).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Q19/Q20, R22 Q18, N20 Q21, R19 Q22/Q23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génétique du SCID (par phénotype lymphocytaire)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T-B+NK- : déficit en chaîne γc (IL2RG, lié à l'X — le plus fréquent), déficit en Jak3.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T-B-NK+ : déficit en RAG1/RAG2, déficit en Artemis (défaut de recombinaison V(D)J).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T-B-NK- : déficit en ADA (adénosine désaminase), dysgénésie réticulaire.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Clé officielle erronée (Mai23 Q18) : le déficit en ADA est T-B-NK- (toutes les lignées touchées), PAS T-B-NK+. Le phénotype T-B-NK+ correspond à RAG/Artemis (confirmé en R19 Q24).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Q18, N22 Q17, R19 Q24, N19 Q23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Déficits des phagocytes et du complément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Phagocytes : granulomatose septique chronique (NADPH oxydase → burst test/explosion oxydative anormale, infections à germes catalase+ et aspergillus), Chediak-Higashi, Kostmann (neutropénie congénitale), déficit d'adhérence leucocytaire (LAD).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Complément : déficits terminaux (C5-C9) → infections à Neisseria/méningocoque à répétition ; exploration par CH50, C3, C4.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Signes d'alarme à relier : lymphopénie → cellulaire ; hypogammaglobulinémie → humoral ; neutropénie → phagocytes ; méningocoque récidivant → complément.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N22 Q18, R22 Q19, R20 Q22, R19 Q25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10] DIAGNOSTIC ANTÉNATAL ET CARYOTYPE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Génétique  •  ~1.88 Q/examen (n°10 — 3,8 %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Génétique AIO (412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caryotype : technique et limites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Obtenu au stade de MÉTAPHASE (ou prométaphase) — chromosomes condensés.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Met en évidence les anomalies de NOMBRE et de STRUCTURE ; classement par taille, indice centromérique et bandes.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Sources anténatales : amniocytes (amniocentèse, 15–17 SA) ; trophoblastes/villosités choriales (12–14 SA, risque de fausse couche 1–2 %).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caryotype obtenu en télophase/interphase → c'est la MÉTAPHASE.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le caryotype détecte les mutations géniques (ponctuelles) → NON, seulement nombre et structure.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Déc24 Q42, R19 Q47, NG18 Q29/Q37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du caryotype CONSTITUTIONNEL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Nouveau-né / enfant : anomalie de la différenciation sexuelle, syndrome dysmorphique, syndrome malformatif, retard mental.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Adulte : aménorrhée primaire, azoospermie/oligospermie sévère, ménopause précoce, fausses couches à répétition (maladie abortive), parents d'enfant porteur d'une anomalie chromosomique.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Anténatal : âge maternel &gt; 38 ans, signes d'appel échographiques, remaniement équilibré chez un parent, antécédent d'enfant porteur d'anomalie chromosomique, diagnostic de sexe (maladies liées à l'X).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hypogonadisme d'origine HAUTE (central) → ce n'est PAS une indication de caryotype.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antécédent d'enfant avec maladie AUTOSOMIQUE DOMINANTE → relève du diagnostic moléculaire, pas du caryotype.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Q49, Mai24 Q43, N21 Q47/Q50, NG18 Q44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anténatal (DPN) : nature et moyens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Acte de médecine PRÉDICTIVE : dépistage in utero d'anomalies géniques/chromosomiques ; doit être PRÉCÉDÉ d'un conseil génétique.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Permet de rassurer un couple à risque (résultat normal), de planifier l'accouchement/la prise en charge néonatale et de préparer psychologiquement.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Moyens biologiques (caryotype, biologie moléculaire) OU radiologiques (échographie).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Diagnostic moléculaire DIRECT : maladies monogéniques, si gène localisé ET identifié et mutation connue dans la famille.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« acte de médecine préventive » et « traitement in utero pour TOUTES les pathologies » → non.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moléculaire direct si « gène localisé mais NON identifié » → on passe alors à l'analyse indirecte (liaison).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Q49, N22 Q48, N21 Q45, NG18 Q43/Q45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11] VASCULARITES SYSTÉMIQUES ET HORTON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~1.56 Q/examen (n°11 — 3,2 %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classification de Chapel Hill 2012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 Chapel Hill 2012 (par calibre des vaisseaux)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Gros vaisseaux : artérite à cellules géantes (Horton), maladie de Takayasu.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Moyens vaisseaux : périartérite noueuse, Kawasaki.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Petits vaisseaux ANCA+ : GPA (Wegener), polyangéite microscopique, granulomatose éosinophilique (Churg-Strauss).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Calibre variable (artères ET veines) : maladie de Behçet.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vascularites se classent selon le CALIBRE, l'histologie et le caractère primitif/secondaire — pas selon l'organe ni la fièvre.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Q15, R22 Q13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Artérite à cellules géantes (Horton) — clinique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Sujet ÂGÉ &gt; 50 ans (souvent &gt; 70) ; vascularite des gros vaisseaux (artères crâniennes, aorte).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Céphalées temporales inhabituelles, hyperesthésie du cuir chevelu, claudication de la mâchoire (très évocatrice), abolition du pouls temporal, pseudo-polyarthrite rhizomélique associée.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Atteinte oculaire = neuropathie optique ischémique antérieure aiguë → risque de CÉCITÉ (urgence).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L'atteinte oculaire n'est PAS un glaucome ; c'est une NOIAA potentiellement cécitante.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Q13, Sep24 Q16, R22 Q14, N21 Q17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Horton — histologie, biologie, 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Histologie (biopsie d'artère temporale) : infiltrat à cellules géantes/macrophages, atteinte segmentaire et PLURIFOCALE, DESTRUCTION de la limitante élastique interne.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Biologie : syndrome inflammatoire majeur (VS, CRP), bilan immunologique NÉGATIF (AAN-, ANCA-).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Traitement : CORTICOTHÉRAPIE en urgence (IV/bolus si atteinte oculaire, sans attendre la biopsie) ; méthotrexate ou tocilizumab en épargne/rechute.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Pas de nécrose fibrinoïde dans Horton (ça oriente vers PAN/vascularite à ANCA).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AINS ou antibiotiques en 1re intention ; le traitement est corticoïde et urgent.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Q14, R22 Q16/Q17, R21 Q12, N20 Q12/Q13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de Takayasu (gros vaisseaux du sujet jeune)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Femme jeune &lt; 40 ans ; atteinte de l'aorte, ses branches et les artères pulmonaires ; « maladie des femmes sans pouls ».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HTA rénovasculaire (sténose d'artère rénale) — facteur de mauvais pronostic ; claudication des membres, asymétrie tensionnelle, AVC, atteinte coronaire.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Complications : dissection/anévrisme aortique, artériopathie oblitérante des membres.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Horton = sujet âgé, cécité ; Takayasu = femme jeune, abolition de pouls/HTA. L'âge est le grand discriminant.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Q15/Q16, R21 Q11, Mai23 Q7/Q8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12] GRANULOMATOSE AVEC POLYANGÉITE (WEGENER / GPA)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~1.56 Q/examen (n°12 — 3,2 %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vascularite à ANCA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et triade d'atteinte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Vascularite des PETITS vaisseaux, granulomateuse nécrosante, à ANCA.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3 sites de prédilection : ORL (rhinorrhée purulente/croûteuse, sinusite, nez en selle), PULMONAIRE (nodules, hémorragie alvéolaire), RÉNAL (glomérulonéphrite).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Terrain : adulte, fièvre prolongée, purpura vasculaire, arthralgies.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Atteinte HÉPATIQUE et « articulaire » ne font PAS partie des 3 sites de prédilection (ORL-poumon-rein).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Q14/Q15, N22 Q13/Q14, N21 Q7/Q8, R20 Q1-Q3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Marqueur immunologique et atteinte rénale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Marqueur : c-ANCA anti-PR3 (protéinase 3). (MPA et formes rénales → p-ANCA anti-MPO.)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Atteinte rénale : glomérulonéphrite rapidement progressive (GNRP) extracapillaire à croissants, PAUCI-IMMUNE (peu de dépôts), de mauvais pronostic.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L'atteinte rénale n'est PAS tubulo-interstitielle ni purement vasculaire : c'est une GNRP pauci-immune.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Ne pas confondre c-ANCA/PR3 (GPA) et p-ANCA/MPO (MPA, EGPA).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Q16/Q17, N22 Q15/Q16, N21 Q9, R20 Q4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Induction : corticothérapie + cyclophosphamide (Endoxan) ou rituximab ; entretien : rituximab/azathioprine.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colchicine ou antipaludéens de synthèse pour une vascularite à ANCA — ce sont corticoïdes + immunosuppresseur.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Q10, N19 Q8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13] IMMUNITÉ ANTI-INFECTIEUSE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Immunopathologie  •  ~1.56 Q/examen (n°13 — 3,2 %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Acteurs immunitaires selon le pathogène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Bactéries EXTRA-cellulaires : phagocytes (PNN), anticorps (opsonisation/neutralisation), complément.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Bactéries INTRA-cellulaires (mycobactéries, Listeria) : Th1 (IFN-γ → active les macrophages) + LT cytotoxiques. Le Th1 est l'acteur principal.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Virus : IFN α/β (innée) + cellules NK (innée) + LT CD8 cytotoxiques + anticorps neutralisants.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Parasites/helminthes : IgE, éosinophiles, Th2.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Contre les mycobactéries, ce sont les macrophages activés (Th1) et les CTL — pas les anticorps neutralisants ni le complément.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Q29, Mai23 Q29, N20 Q28, R19 Q32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Échappement viral : Drift vs Shift ; datation d'une infection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Drift (glissement) : mutations PONCTUELLES de l'hémagglutinine/neuraminidase → grippe humaine saisonnière, baisse d'efficacité des anticorps anti-H → échec vaccinal (reformulation annuelle).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Shift (cassure) : RÉASSORTIMENT (échange de segments) entre 2 souches → nouveaux sous-types → pandémies (grippe aviaire/porcine). Drift et Shift = VIRUS uniquement.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Datation d'une infection : cinétique IgM/IgG spécifiques + AVIDITÉ des IgG (faible = récente ; forte = ancienne). Sujet immunisé/ancien : IgM- IgG+ de forte avidité.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Drift = mutations ponctuelles (H) ; Shift = réassortiment génétique. Ne pas confondre.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marqueurs d'inflammation et le dosage pondéral ne datent PAS une infection.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Q28/Q29, Mai23 Q30, R22 Q27, N22 Q29, R21 Q29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Super-antigènes et orage cytokinique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Super-antigène : pontage CMH-II/TCR hors site spécifique → activation POLYCLONALE massive des LT → libération d'IL-2, TNF (toxi-infection alimentaire à toxines staph, choc toxique).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Hyper-inflammation du COVID-19 (SDRA) : largage massif d'IL-1, IL-6, TNFα. Le TNFα est impliqué dans le choc septique et l'hyperinflammation du COVID.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Un super-antigène active les LT (polyclonal), pas les LB ; il n'induit pas d'auto-anticorps.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Mimétisme moléculaire (RAA post-streptococcique, Guillain-Barré) ≠ super-antigène.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N22 Q28, R22 Q28, N21 Q28, N20 Q29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14] MYOPATHIE INFLAMMATOIRE (POLY/DERMATOMYOSITE)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~1.50 Q/examen (n°14 — 3,1 %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musculaire et bilan diagnostique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Déficit moteur PROXIMAL, bilatéral et symétrique, des 4 membres + axial (se peigner, monter les escaliers, relever la tête) ± troubles de déglutition.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Bilan : CPK élevées (cytolyse musculaire), EMG = tracé MYOGÈNE, biopsie musculaire (nécrose + régénération + infiltrat inflammatoire), IRM musculaire (guide la biopsie).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L'EMG montre un tracé myogène, PAS neurogène.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Atteinte distale et asymétrique → évoquer une myosite à inclusions (sujet âgé, corticorésistante).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Q10/Q11, R22 Q1, N21 Q13, R19 Q15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Dermatomyosite : signes cutanés et auto-anticorps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Érythro-œdème lilacé/héliotrope des paupières « en lunettes » et papules/signe de Gottron (en regard des MCP/IPP) — évocateurs.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Formes : DM sine myositis (cutanée pure), DM sine dermatitis (musculaire pure).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Auto-anticorps : anti-Mi2 (DM classique), anti-MDA5 (DM amyopathique + PID rapide), anti-TIF1γ (DM paranéoplasique) ; anti-Jo1/anti-SRP dans les myosites.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L'aphtose bipolaire est un signe de Behçet, pas de myosite.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Q5, R22 Q1-Q3, Déc24 Q7-Q10, R19 Q14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Pronostic, néoplasie et 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Mauvais pronostic : atteinte cardiaque (troubles de conduction → mort subite), atteinte respiratoire (PID, muscles respiratoires, pneumopathie de déglutition), NÉOPLASIE associée (surtout DM de l'adulte).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Bilan carcinologique systématique : TDM thoraco-abdomino-pelvienne, mammographie, écho prostatique/pelvienne, coloscopie.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Traitement : CORTICOTHÉRAPIE 1re intention + immunosuppresseurs (MTX, azathioprine, MMF), IgIV (formes réfractaires/dysphagie), rééducation.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 taux de CPK ne préjuge pas du pronostic ; ce sont les atteintes viscérales et la néoplasie qui comptent.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AINS ou chirurgie en traitement de la myosite.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Q12, R22 Q4/Q11, N21 Q14, R21 Q14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des antisynthétases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Anti-Jo1 (++) ; tableau : myosite + PID + arthrite + « mains de mécanicien » (fissuration/hyperkératose des doigts) + Raynaud + fièvre ; souvent résistant aux immunosuppresseurs (PID sévère).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Ce n'est PAS une entité du lupus ; les enzymes musculaires y sont généralement élevées.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R22 Q10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15] SYNDROME DE GOUGEROT-SJÖGREN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~1.31 Q/examen (n°15 — 2,7 %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critères ACR/EULAR 2016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Tableau clinique et atteinte rénale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Exocrinopathie auto-immune → syndrome SEC (xérostomie + xérophtalmie/kérato-conjonctivite sèche) ; femme 40–60 ans ; primitif ou secondaire (PR, lupus, sclérodermie).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Atteinte rénale la plus fréquente : tubulo-interstitielle CHRONIQUE → ACIDOSE TUBULAIRE DISTALE (type 1) avec hypokaliémie.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L'atteinte rénale n'est PAS d'abord glomérulaire ; le trouble électrolytique typique est l'acidose tubulaire distale (pas une hyperkaliémie).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Q7/Q8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immunologique et morphologique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Anti-SSA (anti-Ro) ++ et anti-SSB (anti-La) ; AAN+, facteur rhumatoïde+, hypergammaglobulinémie polyclonale.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Test de Schirmer (sécheresse oculaire) ; biopsie des glandes salivaires accessoires : sialadénite lymphocytaire focale (score de Chisholm III–IV).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Anti-CCP, anti-ADN, anti-Sm, anti-topo-isomérase ne sont PAS les marqueurs du Sjögren (ce sont anti-SSA/SSB).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Sep24/Nov24/Déc24 Q9/Q17, N22 Q8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Diagnostics différentiels du syndrome sec et complication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Différentiels d'un syndrome sec : VIH, hépatite C (VHC), sarcoïdose (dosage de l'enzyme de conversion), médicaments, amylose.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Complication redoutée : LYMPHOME B (MALT) — risque nettement augmenté (surveillance).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Devant un syndrome sec, penser à éliminer VIH/VHC/sarcoïdose avant de retenir un Sjögren primitif.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Sep24/Nov24 Q8, N22 Q9/Q10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16] LE CONSEIL GÉNÉTIQUE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Génétique  •  ~1.31 Q/examen (n°16 — 2,7 %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Génétique AIO (412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Risque FACILE vs DIFFICILE à calculer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FACILE : maladies monogéniques mendéliennes (AD, AR, lié à l'X) avec diagnostic PRÉCIS ; trisomies libres et homogènes (21, 13, 18).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DIFFICILE : maladies par EXPANSION de triplets (anticipation), maladies MITOCHONDRIALES (hétéroplasmie), HÉTÉROGÉNÉITÉ génétique, diagnostic imprécis, maladies multifactorielles, cas isolés, maladies de l'empreinte.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Repère mnémotechnique : « triplets + mitochondries + hétérogénéité + imprécis » = DIFFICILE ; « mendélien précis + trisomie libre » = FACILE.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Q50, N22 Q47, R22 Q48, Mai23 Q50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indications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Consultation de médecine PRÉDICTIVE : préciser le diagnostic, le mode de transmission, le pronostic et estimer le risque de récurrence.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La décision dépend du risque estimé ET de la gravité de la maladie.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Conseil prénatal indispensable : anomalies à l'échographie fœtale, anomalies des marqueurs sériques maternels, remaniement équilibré parental, antécédent d'enfant atteint.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le conseil génétique se fait « en urgence » → non, c'est une consultation programmée.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 Q44, R19 Q42, N19 Q48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Possibilités offertes à un couple à risque (ex : translocation robertsonienne)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Ne pas avoir d'enfant ; adoption ; diagnostic préimplantatoire (DPI) ; diagnostic anténatal (DPN) avec IMG éventuelle ; avoir un enfant avec un autre partenaire ; ne pas tenir compte du conseil.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rob(13;13) ou rob(21;21) HOMOLOGUE → 100 % de gamètes déséquilibrés : aucun enfant sain/équilibré possible (le DPN n'apporte rien).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Pour une robertsonienne HOMOLOGUE, l'option « enfant sain après DPN » est illusoire (tous les gamètes sont déséquilibrés).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Q49, NG18 Q26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17] SYNDROME DES ANTIPHOSPHOLIPIDES (SAPL)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~1.25 Q/examen (n°17 — 2,5 %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critères de Sydney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critères biologiques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Thrombophilie ACQUISE auto-immune : thromboses (veineuses ET/OU artérielles) + morbidité obstétricale + anticorps antiphospholipides persistants.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Les 3 aPL : anticoagulant circulant de type lupique (allonge le TCA), anti-cardiolipine, anti-β2-glycoprotéine I. Persistance ≥ 12 semaines.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Primitif ou secondaire (au lupus ++).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Paradoxe : l'anticoagulant lupique allonge le TCA in vitro mais est THROMBOSANT in vivo.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AAN et les ANCA ne font PAS partie des critères du SAPL.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Q7, Sep24/Nov24/Déc24 Q28, N21 Q12, R21 Q15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et indications de recherche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Thromboses veineuses (parfois de siège inhabituel) et artérielles ; AVC ischémique = principale manifestation neurologique ; valvulopathie (Libman-Sacks) ; livedo ; thrombopénie.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Quand chercher des aPL : thrombose veineuse de siège inhabituel, thrombose du sujet jeune, ≥ 3 fausses couches précoces (&lt; 10 SA), fausse sérologie syphilitique (VDRL+ / TPHA−).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rechercher des aPL devant un IDM du sujet âgé ou un athérome banal.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Fausse sérologie syphilitique = VDRL POSITIF / TPHA NÉGATIF (à connaître précisément).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Q1/Q2, N22 Q11/Q12, R21 Q15/Q16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Thrombose : héparine initiale puis relais par AVK, INR cible 2–3 (3–4 si thromboses artérielles récidivantes).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Prévention des pertes fœtales : aspirine faible dose + héparine (HBPM) + surveillance échographique mensuelle.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CAPS (SAPL catastrophique) : ≥ 3 organes atteints en &lt; 1 semaine + microangiopathie histologique — urgence vitale.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aspirine seule ou corticoïdes/immunosuppresseurs en routine pour la thrombose obstétricale → c'est aspirine + héparine.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Q8, R19 Q17, N20 Q17, R20 Q17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18] MALADIE DE BEHÇET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~0.94 Q/examen (n°18 — 1,9 %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Terrain et manifestations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Vascularite de calibre VARIABLE (artères + veines) ; homme jeune, bassin méditerranéen (Turquie/Maghreb), HLA-B51.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Aphtose BIPOLAIRE récidivante (buccale + génitale) ; atteinte oculaire = uvéite antérieure ET postérieure + vascularite rétinienne → risque de CÉCITÉ (mauvais pronostic).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Vasculaire : thromboses veineuses, thrombophlébite cérébrale (thrombose des sinus), anévrismes artériels ; neuro-Behçet (méningo-encéphalite, myélite). Pathergie cutanée.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L'atteinte n'est PAS exclusivement veineuse (atteinte artérielle possible) ; il n'y a pas d'auto-anticorps spécifiques (AAN-, ANCA-).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Mai24 Q12, N21 Q1-Q4, N19 Q1-Q3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Biologie et traitement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Syndrome inflammatoire INCONSTANT (son absence n'élimine pas le diagnostic).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Aphtose/articulaire : COLCHICINE. Thrombose : anticoagulation (HBPM puis AVK) + immunosuppression. Atteinte grave (œil, neuro, vasculaire) : corticoïdes + immunosuppresseurs/anti-TNF.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Pas d'anti-DNA, pas de déficit en protéine C : ce ne sont pas des critères de Behçet.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N21 Q5/Q6, N19 Q4/Q5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19] SCLÉRODERMIE SYSTÉMIQUE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~0.88 Q/examen (n°19 — 1,8 %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critères ACR/EULAR 2013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Formes, auto-anticorps et atteintes viscérales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Forme cutanée DIFFUSE (anti-Scl70/topo-isomérase I) vs LIMITÉE/CREST (anti-centromère). Le pronostic dépend de l'extension cutanée et viscérale ; surmortalité.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Atteinte pulmonaire : PID (1re cause de mortalité) → MMF/cyclophosphamide ; HTAP (surtout forme limitée) confirmée par cathétérisme droit.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Crise rénale sclérodermique : HTA maligne + IRA (atteinte vasculaire) → IEC (captopril) qui améliorent la survie.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Anti-Scl70 → fibrose pulmonaire ; anti-ARN-polymérase III → crise rénale ; anti-centromère → HTAP/forme limitée. Ne pas attribuer la crise rénale à l'anti-Scl70.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L'atteinte rénale est vasculaire (pas une glomérulonéphrite primitive).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Q14-Q17, N22 Q6/Q7, R20 Q5-Q9 (cf. n°7 Raynaud)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d'extension et traitement de fond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Bilan : échographie cardiaque, TDM thoracique (PID), EFR + DLCO, manométrie œsophagienne.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D-pénicillamine (Trolovol) : ancien traitement cutané ; effets indésirables : cytopénies, protéinurie, lupus induit.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L'HTAP sclérodermique ne se traite pas par inhibiteurs calciques (réservés au Raynaud).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N22 Q7, R20 Q8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20] IMMUNITÉ ANTI-TUMORALE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Immunopathologie  •  ~0.81 Q/examen (n°20 — 1,6 %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Immunopathologie AIO (383 p.)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Effecteurs et immunothérapie anti-tumorale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Effecteurs PRINCIPAUX : cellules NK (immunosurveillance, reconnaissance du « soi manquant » / perte du CMH-I, récepteurs activateurs) + LT cytotoxiques CD8. Aussi LT helper, anticorps (ADCC), cytokines (rôle accessoire).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Immunothérapie : anti-checkpoints (anti-PD-1/PD-L1, anti-CTLA-4), transfert adoptif (TIL, CAR-T), vaccins antitumoraux.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Facteurs oncogènes : mutation de p53, mutation de ras, translocations chromosomiques, virus oncogènes (HPV, EBV, VHB/VHC).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L'immunothérapie ne repose PAS sur l'induction d'une anergie des CTL ni sur les Ig polyvalentes.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Q31, R22 Q29, N21 Q29/Q30, N20 Q30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Inhibiteurs de points de contrôle (checkpoints)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Anticorps monoclonaux bloquant PD-1/PD-L1 (et CTLA-4) → DÉSINHIBITION / levée de l'inhibition des LT cytotoxiques contre la tumeur.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FAUX : les anti-checkpoints « inhibent directement la tumeur » ou « activent les NK par cytokines » → leur cible est le frein des LT, pas la tumeur.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N25 Q32, Sep24/Nov24 Q30, R22 Q31, R21 Q31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21] DERMATOMYOSITE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interne  •  ~0.25 Q/examen (n°21 — 0,5 %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cf. n°14 Myopathie inflammatoire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L'essentiel (sous-type de myopathie inflammatoire — voir aussi n°14)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Caractéristique clinique : éruption cutanée + faiblesse musculaire PROXIMALE.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Signes cutanés spécifiques : papules/signe de Gottron + érythème lilacé péri-orbitaire « en lunettes » (héliotrope).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Confirmation : CPK élevées (+ EMG myogène, biopsie) ; traitement de 1re intention = corticoïdes.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DM de l'adulte = forme souvent PARANÉOPLASIQUE → bilan carcinologique systématique.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L'érythème en aile de papillon (joues) = lupus ; en dermatomyosite c'est l'héliotrope des paupières + Gottron.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Déc24 Q7-Q10</w:t>
      </w:r>
    </w:p>
    <w:p w:rsidR="004F0678" w:rsidRPr="0094211A" w:rsidRDefault="00DC5459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[RANG 22] ARTÉRITE DE TAKAYASU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Médecine interne  •  ~0.12 Q/examen (n°22 — 0,2 % de l'examen)</w:t>
      </w:r>
    </w:p>
    <w:p w:rsidR="004F0678" w:rsidRPr="0094211A" w:rsidRDefault="00DC5459">
      <w:pPr>
        <w:spacing w:before="40" w:after="40"/>
        <w:jc w:val="center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</w:rPr>
        <w:t>📖</w:t>
      </w:r>
      <w:r w:rsidRPr="0094211A">
        <w:rPr>
          <w:rFonts w:ascii="JetBrains Mono" w:hAnsi="JetBrains Mono" w:cs="JetBrains Mono"/>
          <w:i/>
          <w:iCs/>
          <w:color w:val="404040"/>
        </w:rPr>
        <w:t xml:space="preserve"> Cours Maladies de système AIO (496 p.) · cf. n°11 Vascularites</w:t>
      </w:r>
    </w:p>
    <w:p w:rsidR="004F0678" w:rsidRPr="0094211A" w:rsidRDefault="00DC5459">
      <w:pPr>
        <w:spacing w:before="1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L'essentiel (vascularite des gros vaisseaux — voir aussi n°11)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Atteint l'aorte, ses branches principales et les artères pulmonaires ; femme jeune ; « maladie des femmes sans pouls ».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HTA = facteur de mauvais pronostic ; atteinte axillo-sous-clavière → claudication du membre supérieur ; diagnostic différentiel = athérome.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Traitement : corticothérapie (± immunosuppresseurs).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La complication principale de Takayasu n'est PAS la cécité (c'est Horton) ; ici dominent HTA, ischémie de membre, anévrisme/dissection.</w:t>
      </w:r>
    </w:p>
    <w:p w:rsidR="004F0678" w:rsidRPr="0094211A" w:rsidRDefault="00DC5459">
      <w:pPr>
        <w:spacing w:before="20" w:after="60"/>
        <w:rPr>
          <w:rFonts w:ascii="JetBrains Mono" w:hAnsi="JetBrains Mono" w:cs="JetBrains Mono"/>
        </w:rPr>
      </w:pPr>
      <w:r w:rsidRPr="0094211A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4211A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Mai23 Q8, R21 Q17</w:t>
      </w:r>
    </w:p>
    <w:p w:rsidR="004F0678" w:rsidRPr="0094211A" w:rsidRDefault="00DC5459">
      <w:pP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br w:type="page"/>
      </w:r>
    </w:p>
    <w:p w:rsidR="004F0678" w:rsidRPr="0094211A" w:rsidRDefault="00DC5459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F0678" w:rsidRPr="0094211A" w:rsidRDefault="00DC5459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4F0678" w:rsidRPr="0094211A" w:rsidRDefault="00DC5459">
      <w:pPr>
        <w:spacing w:before="8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4F0678" w:rsidRPr="0094211A" w:rsidRDefault="00DC5459">
      <w:pPr>
        <w:spacing w:before="12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Apparaître en question résiduelle ou rattrapage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Être recyclés à la dernière minute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Servir de "culture générale" médicale</w:t>
      </w:r>
    </w:p>
    <w:p w:rsidR="004F0678" w:rsidRPr="0094211A" w:rsidRDefault="00DC5459">
      <w:pPr>
        <w:spacing w:before="20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4F0678" w:rsidRPr="0094211A" w:rsidRDefault="00DC5459">
      <w:pPr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br w:type="page"/>
      </w:r>
    </w:p>
    <w:p w:rsidR="004F0678" w:rsidRPr="0094211A" w:rsidRDefault="00DC5459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IMMUNO · GÉNÉTIQUE · MÉDECINE INTERNE</w:t>
      </w:r>
    </w:p>
    <w:p w:rsidR="004F0678" w:rsidRPr="0094211A" w:rsidRDefault="00DC5459">
      <w:pPr>
        <w:pStyle w:val="Heading2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** CLASSIFICATIONS &amp; FORMULES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Trisomie 21 (Down)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47,+21 · épicanthus, pli palmaire unique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Trisomie 18 (Edwards)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47,+18 · piolet + chevauchement des doigts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Trisomie 13 (Patau)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47,+13 · fente + microphtalmie + hexadactylie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Cri-du-chat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del(5)(p15)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Wolf-Hirschhorn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del(4)(p16)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Turner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45,X (mosaïque / anneau / isochromosome X)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Klinefelter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47,XXY · cancer du sein ×20–50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X fragile (Martin-Bell)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expansion CGG du gène FMR1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Translocation robertsonienne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acrocentriques : 13, 14, 15, 21, 22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Néphropathie lupique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classes ISN/RPS I→VI (IV = la plus grave)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Gell &amp; Coombs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 IgE · II cytotoxique · III complexes · IV retardée T</w:t>
            </w:r>
          </w:p>
        </w:tc>
      </w:tr>
      <w:tr w:rsidR="004F0678" w:rsidRPr="0094211A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Chapel Hill 2012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gros: Horton/Takayasu · petits ANCA: GPA/MPA/EGPA · variable: Behçet</w:t>
            </w:r>
          </w:p>
        </w:tc>
      </w:tr>
    </w:tbl>
    <w:p w:rsidR="004F0678" w:rsidRPr="0094211A" w:rsidRDefault="00DC5459">
      <w:pPr>
        <w:pStyle w:val="Heading2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** AUTO-ANTICORPS &amp; MARQUEURS CLÉS (↔ maladie)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F0678" w:rsidRPr="0094211A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Anti-ADN natif IgG · anti-Sm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(anti-ADNn ↔ atteinte rénale)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Anti-Scl70 (topo-isomérase I)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Sclérodermie diffuse / fibrose pulmonaire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Anti-centromère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Sclérodermie limitée / CREST / HTAP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Anti-ARN-polymérase III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Crise rénale sclérodermique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Anti-Jo1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Myosites / syndrome des antisynthétases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Anti-Mi2 / MDA5 / TIF1γ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Dermatomyosite (TIF1γ = paranéoplasique)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Anti-SSA (Ro) / anti-SSB (La)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Gougerot-Sjögren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c-ANCA (anti-PR3)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Granulomatose avec polyangéite (Wegener)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p-ANCA (anti-MPO)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Polyangéite microscopique / EGPA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ACC lupique + anti-cardiolipine + anti-β2GPI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SAPL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Anti-récepteur TSH / anti-RACh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Basedow / Myasthénie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Anti-membrane basale glomérulaire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Goodpasture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Anti-transglutaminase IgA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cœliaque (+ doser les IgA totales)</w:t>
            </w:r>
          </w:p>
        </w:tc>
      </w:tr>
      <w:tr w:rsidR="004F0678" w:rsidRPr="0094211A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AAN par IFI sur HEp-2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0678" w:rsidRPr="0094211A" w:rsidRDefault="00DC5459">
            <w:pPr>
              <w:rPr>
                <w:rFonts w:ascii="JetBrains Mono" w:hAnsi="JetBrains Mono" w:cs="JetBrains Mono"/>
              </w:rPr>
            </w:pPr>
            <w:r w:rsidRPr="0094211A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Dépistage de toute connectivite</w:t>
            </w:r>
          </w:p>
        </w:tc>
      </w:tr>
    </w:tbl>
    <w:p w:rsidR="004F0678" w:rsidRPr="0094211A" w:rsidRDefault="00DC5459">
      <w:pPr>
        <w:pStyle w:val="Heading2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** PIÈGES CLASSIQUES DU CONCOURS (dont 3 corrections officielles erronées) **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: anti-Sm et anti-ADNn sont spécifiques ; l'anti-CCP = polyarthrite rhumatoïde (clé erronée à Mai24 Q27).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SCID : déficit en ADA = phénotype T-B-NK− ; RAG/Artemis = T-B-NK+ (clé erronée à Mai23 Q18).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Une translocation réciproque implique DEUX chromosomes (clé discutable à N25 Q47).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Triade d'âge : mère avancée → chromosomique · père avancé → AD · consanguinité → AR.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Caryotype = stade métaphase ; voit nombre + structure, PAS les mutations géniques ponctuelles.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Vaccins vivants atténués (BCG, ROR) = CONTRE-INDIQUÉS chez l'immunodéprimé et la femme enceinte.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IGRA (QuantiFERON) : non faussé par le BCG, mais ne distingue pas tuberculose latente/active.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Choc anaphylactoïde = non IgE (anaphylatoxines) → pas de désensibilisation.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Raynaud : la phase de PÂLEUR (syncopale) est la seule phase obligatoire.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LES : la PÉRICARDITE est l'atteinte cardiaque la plus fréquente (souvent bénigne).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Sclérodermie : 1re cause de mortalité = PID ; crise rénale → IEC (captopril).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Horton = sujet âgé, cécité (NOIAA) ; Takayasu = femme jeune, « sans pouls ».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Wegener/GPA : GNRP pauci-immune + c-ANCA/PR3 + triade ORL-poumon-rein.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Sjögren : néphrite tubulo-interstitielle → acidose tubulaire distale ; risque de lymphome MALT.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4211A">
        <w:rPr>
          <w:rFonts w:ascii="JetBrains Mono" w:hAnsi="JetBrains Mono" w:cs="JetBrains Mono"/>
          <w:i/>
          <w:iCs/>
          <w:color w:val="B45309"/>
        </w:rPr>
        <w:t>SAPL : fausse sérologie syphilitique = VDRL POSITIF / TPHA NÉGATIF.</w:t>
      </w:r>
    </w:p>
    <w:p w:rsidR="004F0678" w:rsidRPr="0094211A" w:rsidRDefault="00DC5459">
      <w:pPr>
        <w:pStyle w:val="Heading2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** RÈGLES DE CALCUL &amp; ENCHAÎNEMENTS À MÉMORISER **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Récurrence : AR (2 hétéroz.) → 1/4 · AD → 1/2 · deux atteints AR → 100 % · XLR (mère conductrice) → 1/2 des garçons.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Hardy-Weinberg : incidence = q² → q = √incidence → hétérozygotes ≈ 2q  (1/2500 → 1/25 ; 1/10⁶ → 1/500).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Consanguinité : hétérozygote connu × cousin germain (AR) → 1 × 1/8 × 1/4 = 1/32.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Tolérance : centrale = délétion clonale + receptor editing (B) ; périphérique = anergie + ignorance + Treg + AICD.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Vaccin polysaccharidique CONJUGUÉ → thymo-dépendant → mémoire B/T → efficace avant 2 ans (germes encapsulés).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lastRenderedPageBreak/>
        <w:t>Échappement viral : Drift = mutations ponctuelles (H) → grippe saisonnière ; Shift = réassortiment → pandémie.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Suffixes Ac monoclonaux : -ximab chimérique · -zumab humanisé · -umab humain (Infliximab chimérique, Adalimumab humain).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Immunosuppresseurs : ciclosporine/tacrolimus (calcineurine) · azathioprine/MMF/MTX (anti-métabolites) · Endoxan (alkylant) · sirolimus (mTOR).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Anti-checkpoints (PD-1/PD-L1, CTLA-4) → lèvent l'inhibition des LT cytotoxiques.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Datation d'une infection : IgM = récente ; IgG de forte avidité = ancienne/immunisé.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LES néphropathie III/IV → induction MMF ou cyclophosphamide + bolus de méthylprednisolone ; hydroxychloroquine de fond systématique.</w:t>
      </w:r>
    </w:p>
    <w:p w:rsidR="004F0678" w:rsidRPr="0094211A" w:rsidRDefault="00DC5459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</w:rPr>
        <w:t>Raynaud : pâleur → cyanose → rougeur ; 1re intention = inhibiteurs calciques (jamais bêtabloquants).</w:t>
      </w:r>
    </w:p>
    <w:p w:rsidR="004F0678" w:rsidRPr="0094211A" w:rsidRDefault="00DC5459">
      <w:pPr>
        <w:spacing w:before="24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00000"/>
        </w:rPr>
        <w:t xml:space="preserve"> </w:t>
      </w:r>
    </w:p>
    <w:p w:rsidR="004F0678" w:rsidRPr="0094211A" w:rsidRDefault="004F0678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Opus 4.8) — Version 1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785 QEs officielles × Cours AIO (Génétique 412 p. + Immunopath 383 p. + Maladies de système 496 p.)</w:t>
      </w:r>
    </w:p>
    <w:p w:rsidR="004F0678" w:rsidRPr="0094211A" w:rsidRDefault="00DC5459">
      <w:pPr>
        <w:spacing w:before="60" w:after="60"/>
        <w:jc w:val="center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 · 16 sessions analysées (Normal génétique 2017 → Normal 2025)</w:t>
      </w:r>
    </w:p>
    <w:p w:rsidR="004F0678" w:rsidRPr="0094211A" w:rsidRDefault="00DC5459">
      <w:pPr>
        <w:spacing w:before="20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785 QE officielles analysées sur 16 sessions (2017→2025)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Correction du parseur : récupération des 100 questions des sessions « génétique » 2017-2018 (nom de session à deux mots)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répétées, regroupées par leçon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FAUX explicites avec ⚠ (les pièges = le contenu à plus haut rendement au concours)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3 corrections officielles signalées comme erronées/discutables (N25 Q47, Mai24 Q27, Mai23 Q18)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PARTIE 4 vide : aucune liste de « cours annulés » n'ayant été fournie, les 22 leçons sont traitées comme étant au programme</w:t>
      </w:r>
    </w:p>
    <w:p w:rsidR="004F0678" w:rsidRPr="0094211A" w:rsidRDefault="00DC5459">
      <w:pPr>
        <w:spacing w:before="60" w:after="60"/>
        <w:rPr>
          <w:rFonts w:ascii="JetBrains Mono" w:hAnsi="JetBrains Mono" w:cs="JetBrains Mono"/>
        </w:rPr>
      </w:pPr>
      <w:r w:rsidRPr="0094211A">
        <w:rPr>
          <w:rFonts w:ascii="JetBrains Mono" w:hAnsi="JetBrains Mono" w:cs="JetBrains Mono"/>
          <w:color w:val="065F46"/>
          <w:sz w:val="18"/>
          <w:szCs w:val="18"/>
        </w:rPr>
        <w:t>✓ Sources : cours AIO Génétique / Immunopathologie / Maladies de système ; corrections officielles e-qe.online</w:t>
      </w:r>
    </w:p>
    <w:sectPr w:rsidR="004F0678" w:rsidRPr="009421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62DF"/>
    <w:multiLevelType w:val="hybridMultilevel"/>
    <w:tmpl w:val="C18EFAB8"/>
    <w:lvl w:ilvl="0" w:tplc="0570EF12">
      <w:start w:val="1"/>
      <w:numFmt w:val="bullet"/>
      <w:lvlText w:val="•"/>
      <w:lvlJc w:val="left"/>
      <w:pPr>
        <w:ind w:left="720" w:hanging="360"/>
      </w:pPr>
    </w:lvl>
    <w:lvl w:ilvl="1" w:tplc="115A09F4">
      <w:numFmt w:val="decimal"/>
      <w:lvlText w:val=""/>
      <w:lvlJc w:val="left"/>
    </w:lvl>
    <w:lvl w:ilvl="2" w:tplc="1DC6A386">
      <w:numFmt w:val="decimal"/>
      <w:lvlText w:val=""/>
      <w:lvlJc w:val="left"/>
    </w:lvl>
    <w:lvl w:ilvl="3" w:tplc="EADC95D0">
      <w:numFmt w:val="decimal"/>
      <w:lvlText w:val=""/>
      <w:lvlJc w:val="left"/>
    </w:lvl>
    <w:lvl w:ilvl="4" w:tplc="D40EB616">
      <w:numFmt w:val="decimal"/>
      <w:lvlText w:val=""/>
      <w:lvlJc w:val="left"/>
    </w:lvl>
    <w:lvl w:ilvl="5" w:tplc="EA6A75FE">
      <w:numFmt w:val="decimal"/>
      <w:lvlText w:val=""/>
      <w:lvlJc w:val="left"/>
    </w:lvl>
    <w:lvl w:ilvl="6" w:tplc="0D780CBE">
      <w:numFmt w:val="decimal"/>
      <w:lvlText w:val=""/>
      <w:lvlJc w:val="left"/>
    </w:lvl>
    <w:lvl w:ilvl="7" w:tplc="42202AC0">
      <w:numFmt w:val="decimal"/>
      <w:lvlText w:val=""/>
      <w:lvlJc w:val="left"/>
    </w:lvl>
    <w:lvl w:ilvl="8" w:tplc="7B10B218">
      <w:numFmt w:val="decimal"/>
      <w:lvlText w:val=""/>
      <w:lvlJc w:val="left"/>
    </w:lvl>
  </w:abstractNum>
  <w:abstractNum w:abstractNumId="1" w15:restartNumberingAfterBreak="0">
    <w:nsid w:val="767B14AB"/>
    <w:multiLevelType w:val="hybridMultilevel"/>
    <w:tmpl w:val="3D9E54A2"/>
    <w:lvl w:ilvl="0" w:tplc="597C76F2">
      <w:start w:val="1"/>
      <w:numFmt w:val="bullet"/>
      <w:lvlText w:val="●"/>
      <w:lvlJc w:val="left"/>
      <w:pPr>
        <w:ind w:left="720" w:hanging="360"/>
      </w:pPr>
    </w:lvl>
    <w:lvl w:ilvl="1" w:tplc="C5D075D6">
      <w:start w:val="1"/>
      <w:numFmt w:val="bullet"/>
      <w:lvlText w:val="○"/>
      <w:lvlJc w:val="left"/>
      <w:pPr>
        <w:ind w:left="1440" w:hanging="360"/>
      </w:pPr>
    </w:lvl>
    <w:lvl w:ilvl="2" w:tplc="1764B484">
      <w:start w:val="1"/>
      <w:numFmt w:val="bullet"/>
      <w:lvlText w:val="■"/>
      <w:lvlJc w:val="left"/>
      <w:pPr>
        <w:ind w:left="2160" w:hanging="360"/>
      </w:pPr>
    </w:lvl>
    <w:lvl w:ilvl="3" w:tplc="A178F440">
      <w:start w:val="1"/>
      <w:numFmt w:val="bullet"/>
      <w:lvlText w:val="●"/>
      <w:lvlJc w:val="left"/>
      <w:pPr>
        <w:ind w:left="2880" w:hanging="360"/>
      </w:pPr>
    </w:lvl>
    <w:lvl w:ilvl="4" w:tplc="C91E3E80">
      <w:start w:val="1"/>
      <w:numFmt w:val="bullet"/>
      <w:lvlText w:val="○"/>
      <w:lvlJc w:val="left"/>
      <w:pPr>
        <w:ind w:left="3600" w:hanging="360"/>
      </w:pPr>
    </w:lvl>
    <w:lvl w:ilvl="5" w:tplc="14E05A96">
      <w:start w:val="1"/>
      <w:numFmt w:val="bullet"/>
      <w:lvlText w:val="■"/>
      <w:lvlJc w:val="left"/>
      <w:pPr>
        <w:ind w:left="4320" w:hanging="360"/>
      </w:pPr>
    </w:lvl>
    <w:lvl w:ilvl="6" w:tplc="C9F8A712">
      <w:start w:val="1"/>
      <w:numFmt w:val="bullet"/>
      <w:lvlText w:val="●"/>
      <w:lvlJc w:val="left"/>
      <w:pPr>
        <w:ind w:left="5040" w:hanging="360"/>
      </w:pPr>
    </w:lvl>
    <w:lvl w:ilvl="7" w:tplc="FDF41984">
      <w:start w:val="1"/>
      <w:numFmt w:val="bullet"/>
      <w:lvlText w:val="●"/>
      <w:lvlJc w:val="left"/>
      <w:pPr>
        <w:ind w:left="5760" w:hanging="360"/>
      </w:pPr>
    </w:lvl>
    <w:lvl w:ilvl="8" w:tplc="2752CA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678"/>
    <w:rsid w:val="004F0678"/>
    <w:rsid w:val="0094211A"/>
    <w:rsid w:val="00DC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484009-BB8D-48CC-BCAB-29E26387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8349</Words>
  <Characters>47590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IMMUNOLOGIE · GÉNÉTIQUE · MÉDECINE INTERNE - QE Haute Fréquence</vt:lpstr>
    </vt:vector>
  </TitlesOfParts>
  <Company/>
  <LinksUpToDate>false</LinksUpToDate>
  <CharactersWithSpaces>55828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IMMUNOLOGIE · GÉNÉTIQUE · MÉDECINE INTERNE - QE Haute Fréquence</dc:title>
  <dc:creator>Claude.ai</dc:creator>
  <dc:description>Generated by qe-analysis skill</dc:description>
  <cp:lastModifiedBy>tool</cp:lastModifiedBy>
  <cp:revision>3</cp:revision>
  <cp:lastPrinted>2026-06-13T22:57:00Z</cp:lastPrinted>
  <dcterms:created xsi:type="dcterms:W3CDTF">2026-06-05T08:02:00Z</dcterms:created>
  <dcterms:modified xsi:type="dcterms:W3CDTF">2026-07-06T19:14:00Z</dcterms:modified>
</cp:coreProperties>
</file>