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1F3A5F"/>
          <w:sz w:val="44"/>
          <w:szCs w:val="44"/>
        </w:rPr>
        <w:t xml:space="preserve">PHARMACOLOGIE &amp; TOXICOLOGIE</w:t>
      </w:r>
    </w:p>
    <w:p>
      <w:pPr>
        <w:pBdr>
          <w:bottom w:val="double" w:color="1F3A5F" w:sz="12" w:space="4"/>
        </w:pBdr>
        <w:spacing w:after="240" w:before="0"/>
        <w:jc w:val="center"/>
      </w:pPr>
      <w:r>
        <w:rPr>
          <w:rFonts w:ascii="Arial" w:cs="Arial" w:eastAsia="Arial" w:hAnsi="Arial"/>
          <w:b/>
          <w:bCs/>
          <w:color w:val="8B0000"/>
          <w:sz w:val="30"/>
          <w:szCs w:val="30"/>
        </w:rPr>
        <w:t xml:space="preserve">Fiches QE Haute Fréquence (concours FMPM) — Version 1</w:t>
      </w:r>
    </w:p>
    <w:p>
      <w:pPr>
        <w:spacing w:after="60" w:before="6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0"/>
          <w:szCs w:val="20"/>
        </w:rPr>
        <w:t xml:space="preserve">Cross-match : 740 QEs officielles (2018→2026) × Cours AIO pharmaco générale (882 p.) + pharmaco spécifique (954 p.) + registre AMMPS (DCI Maroc)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18"/>
          <w:szCs w:val="18"/>
        </w:rPr>
        <w:t xml:space="preserve">FMPM — concours 2026 (module Pharmacologie &amp; Toxicologie, S6)</w:t>
      </w:r>
    </w:p>
    <w:p>
      <w:pPr>
        <w:pBdr>
          <w:top w:val="single" w:color="1F3A5F" w:sz="8"/>
          <w:bottom w:val="single" w:color="1F3A5F" w:sz="8"/>
        </w:pBdr>
        <w:shd w:fill="1F3A5F" w:val="clear"/>
        <w:spacing w:after="120" w:before="240"/>
        <w:jc w:val="center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PARTIE 1 — CLASSEMENT DES LEÇONS PAR ORDRE D'IMPORTANCE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0"/>
          <w:szCs w:val="20"/>
        </w:rPr>
        <w:t xml:space="preserve">Classement basé sur la fréquence réelle dans 740 QEs (15 sessions).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800"/>
        <w:gridCol w:w="1400"/>
        <w:gridCol w:w="2360"/>
      </w:tblGrid>
      <w:tr>
        <w:trPr>
          <w:tblHeader/>
        </w:trP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Rang</w:t>
            </w:r>
          </w:p>
        </w:tc>
        <w:tc>
          <w:tcPr>
            <w:tcW w:type="dxa" w:w="4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Leçon officielle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</w:t>
            </w:r>
          </w:p>
        </w:tc>
        <w:tc>
          <w:tcPr>
            <w:tcW w:type="dxa" w:w="2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Professeur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4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Cardiologie — cas cliniques (transversal : antithrombotiques, IEC/ARA2, β-bloquants, inhib. calciques, statines, anti-angineux, digitaliques)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83 Q</w:t>
            </w:r>
          </w:p>
        </w:tc>
        <w:tc>
          <w:tcPr>
            <w:tcW w:type="dxa" w:w="2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4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Pharmacocinétique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65 Q</w:t>
            </w:r>
          </w:p>
        </w:tc>
        <w:tc>
          <w:tcPr>
            <w:tcW w:type="dxa" w:w="2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4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Les règles générales de la prescription médicamenteuse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52 Q</w:t>
            </w:r>
          </w:p>
        </w:tc>
        <w:tc>
          <w:tcPr>
            <w:tcW w:type="dxa" w:w="2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4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 vie du médicament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45 Q</w:t>
            </w:r>
          </w:p>
        </w:tc>
        <w:tc>
          <w:tcPr>
            <w:tcW w:type="dxa" w:w="2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4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Toxicologie (module S6 toxico-pharma)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40 Q</w:t>
            </w:r>
          </w:p>
        </w:tc>
        <w:tc>
          <w:tcPr>
            <w:tcW w:type="dxa" w:w="2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4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Les essais cliniques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40 Q</w:t>
            </w:r>
          </w:p>
        </w:tc>
        <w:tc>
          <w:tcPr>
            <w:tcW w:type="dxa" w:w="2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4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Effets indésirables des médicaments et pharmacovigilance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36 Q</w:t>
            </w:r>
          </w:p>
        </w:tc>
        <w:tc>
          <w:tcPr>
            <w:tcW w:type="dxa" w:w="2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4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Les interactions médicamenteuses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29 Q</w:t>
            </w:r>
          </w:p>
        </w:tc>
        <w:tc>
          <w:tcPr>
            <w:tcW w:type="dxa" w:w="2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4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Les anti-inflammatoires (AINS + corticoïdes)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26 Q</w:t>
            </w:r>
          </w:p>
        </w:tc>
        <w:tc>
          <w:tcPr>
            <w:tcW w:type="dxa" w:w="2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4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 prescription médicamenteuse chez l'enfant et le sujet âgé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24 Q</w:t>
            </w:r>
          </w:p>
        </w:tc>
        <w:tc>
          <w:tcPr>
            <w:tcW w:type="dxa" w:w="2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4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 prescription chez la femme enceinte et allaitante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22 Q</w:t>
            </w:r>
          </w:p>
        </w:tc>
        <w:tc>
          <w:tcPr>
            <w:tcW w:type="dxa" w:w="2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4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Anti-bacillaires (antituberculeux)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20 Q</w:t>
            </w:r>
          </w:p>
        </w:tc>
        <w:tc>
          <w:tcPr>
            <w:tcW w:type="dxa" w:w="2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4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Médicament et pathologie du foie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19 Q</w:t>
            </w:r>
          </w:p>
        </w:tc>
        <w:tc>
          <w:tcPr>
            <w:tcW w:type="dxa" w:w="2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tcW w:type="dxa" w:w="4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 suivi thérapeutique pharmacologique (STP)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18 Q</w:t>
            </w:r>
          </w:p>
        </w:tc>
        <w:tc>
          <w:tcPr>
            <w:tcW w:type="dxa" w:w="2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4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Les diurétiques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17 Q</w:t>
            </w:r>
          </w:p>
        </w:tc>
        <w:tc>
          <w:tcPr>
            <w:tcW w:type="dxa" w:w="2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16</w:t>
            </w:r>
          </w:p>
        </w:tc>
        <w:tc>
          <w:tcPr>
            <w:tcW w:type="dxa" w:w="4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Bêta-lactamines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17 Q</w:t>
            </w:r>
          </w:p>
        </w:tc>
        <w:tc>
          <w:tcPr>
            <w:tcW w:type="dxa" w:w="2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17</w:t>
            </w:r>
          </w:p>
        </w:tc>
        <w:tc>
          <w:tcPr>
            <w:tcW w:type="dxa" w:w="4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Antiviraux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16 Q</w:t>
            </w:r>
          </w:p>
        </w:tc>
        <w:tc>
          <w:tcPr>
            <w:tcW w:type="dxa" w:w="2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18</w:t>
            </w:r>
          </w:p>
        </w:tc>
        <w:tc>
          <w:tcPr>
            <w:tcW w:type="dxa" w:w="4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Traitement de la maladie ulcéreuse gastroduodénale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13 Q</w:t>
            </w:r>
          </w:p>
        </w:tc>
        <w:tc>
          <w:tcPr>
            <w:tcW w:type="dxa" w:w="2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19</w:t>
            </w:r>
          </w:p>
        </w:tc>
        <w:tc>
          <w:tcPr>
            <w:tcW w:type="dxa" w:w="4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Les antalgiques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13 Q</w:t>
            </w:r>
          </w:p>
        </w:tc>
        <w:tc>
          <w:tcPr>
            <w:tcW w:type="dxa" w:w="2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dxa" w:w="4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Antiépileptiques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12 Q</w:t>
            </w:r>
          </w:p>
        </w:tc>
        <w:tc>
          <w:tcPr>
            <w:tcW w:type="dxa" w:w="2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21</w:t>
            </w:r>
          </w:p>
        </w:tc>
        <w:tc>
          <w:tcPr>
            <w:tcW w:type="dxa" w:w="4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Anxiolytiques (benzodiazépines)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12 Q</w:t>
            </w:r>
          </w:p>
        </w:tc>
        <w:tc>
          <w:tcPr>
            <w:tcW w:type="dxa" w:w="2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22</w:t>
            </w:r>
          </w:p>
        </w:tc>
        <w:tc>
          <w:tcPr>
            <w:tcW w:type="dxa" w:w="4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Antidépresseurs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12 Q</w:t>
            </w:r>
          </w:p>
        </w:tc>
        <w:tc>
          <w:tcPr>
            <w:tcW w:type="dxa" w:w="2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23</w:t>
            </w:r>
          </w:p>
        </w:tc>
        <w:tc>
          <w:tcPr>
            <w:tcW w:type="dxa" w:w="4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Antitussifs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11 Q</w:t>
            </w:r>
          </w:p>
        </w:tc>
        <w:tc>
          <w:tcPr>
            <w:tcW w:type="dxa" w:w="2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24</w:t>
            </w:r>
          </w:p>
        </w:tc>
        <w:tc>
          <w:tcPr>
            <w:tcW w:type="dxa" w:w="4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Rein et médicaments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11 Q</w:t>
            </w:r>
          </w:p>
        </w:tc>
        <w:tc>
          <w:tcPr>
            <w:tcW w:type="dxa" w:w="2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25</w:t>
            </w:r>
          </w:p>
        </w:tc>
        <w:tc>
          <w:tcPr>
            <w:tcW w:type="dxa" w:w="4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Prise en charge médicamenteuse de la constipation (laxatifs)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11 Q</w:t>
            </w:r>
          </w:p>
        </w:tc>
        <w:tc>
          <w:tcPr>
            <w:tcW w:type="dxa" w:w="2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26</w:t>
            </w:r>
          </w:p>
        </w:tc>
        <w:tc>
          <w:tcPr>
            <w:tcW w:type="dxa" w:w="4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Endocrinologie — insulines &amp; antidiabétiques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10 Q</w:t>
            </w:r>
          </w:p>
        </w:tc>
        <w:tc>
          <w:tcPr>
            <w:tcW w:type="dxa" w:w="2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27</w:t>
            </w:r>
          </w:p>
        </w:tc>
        <w:tc>
          <w:tcPr>
            <w:tcW w:type="dxa" w:w="4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Bronchodilatateurs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9 Q</w:t>
            </w:r>
          </w:p>
        </w:tc>
        <w:tc>
          <w:tcPr>
            <w:tcW w:type="dxa" w:w="2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28</w:t>
            </w:r>
          </w:p>
        </w:tc>
        <w:tc>
          <w:tcPr>
            <w:tcW w:type="dxa" w:w="4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Anti-infectieux — divers (diffusion BHM, temps/conc-dépendance, voie digestive)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8 Q</w:t>
            </w:r>
          </w:p>
        </w:tc>
        <w:tc>
          <w:tcPr>
            <w:tcW w:type="dxa" w:w="2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29</w:t>
            </w:r>
          </w:p>
        </w:tc>
        <w:tc>
          <w:tcPr>
            <w:tcW w:type="dxa" w:w="4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Antibiothérapie — généralités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7 Q</w:t>
            </w:r>
          </w:p>
        </w:tc>
        <w:tc>
          <w:tcPr>
            <w:tcW w:type="dxa" w:w="2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30</w:t>
            </w:r>
          </w:p>
        </w:tc>
        <w:tc>
          <w:tcPr>
            <w:tcW w:type="dxa" w:w="4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Aminosides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6 Q</w:t>
            </w:r>
          </w:p>
        </w:tc>
        <w:tc>
          <w:tcPr>
            <w:tcW w:type="dxa" w:w="2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31</w:t>
            </w:r>
          </w:p>
        </w:tc>
        <w:tc>
          <w:tcPr>
            <w:tcW w:type="dxa" w:w="4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Imidazolés / nitro-imidazolés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5 Q</w:t>
            </w:r>
          </w:p>
        </w:tc>
        <w:tc>
          <w:tcPr>
            <w:tcW w:type="dxa" w:w="2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32</w:t>
            </w:r>
          </w:p>
        </w:tc>
        <w:tc>
          <w:tcPr>
            <w:tcW w:type="dxa" w:w="4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Macrolides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5 Q</w:t>
            </w:r>
          </w:p>
        </w:tc>
        <w:tc>
          <w:tcPr>
            <w:tcW w:type="dxa" w:w="2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33</w:t>
            </w:r>
          </w:p>
        </w:tc>
        <w:tc>
          <w:tcPr>
            <w:tcW w:type="dxa" w:w="4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Glycopeptides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5 Q</w:t>
            </w:r>
          </w:p>
        </w:tc>
        <w:tc>
          <w:tcPr>
            <w:tcW w:type="dxa" w:w="2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34</w:t>
            </w:r>
          </w:p>
        </w:tc>
        <w:tc>
          <w:tcPr>
            <w:tcW w:type="dxa" w:w="4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Questions inclassifiables (recoupe cardio + corticoïdes)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4 Q</w:t>
            </w:r>
          </w:p>
        </w:tc>
        <w:tc>
          <w:tcPr>
            <w:tcW w:type="dxa" w:w="2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35</w:t>
            </w:r>
          </w:p>
        </w:tc>
        <w:tc>
          <w:tcPr>
            <w:tcW w:type="dxa" w:w="4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Antifongiques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4 Q</w:t>
            </w:r>
          </w:p>
        </w:tc>
        <w:tc>
          <w:tcPr>
            <w:tcW w:type="dxa" w:w="2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36</w:t>
            </w:r>
          </w:p>
        </w:tc>
        <w:tc>
          <w:tcPr>
            <w:tcW w:type="dxa" w:w="4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Sulfamides (cotrimoxazole)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4 Q</w:t>
            </w:r>
          </w:p>
        </w:tc>
        <w:tc>
          <w:tcPr>
            <w:tcW w:type="dxa" w:w="2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37</w:t>
            </w:r>
          </w:p>
        </w:tc>
        <w:tc>
          <w:tcPr>
            <w:tcW w:type="dxa" w:w="4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Cyclines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3 Q</w:t>
            </w:r>
          </w:p>
        </w:tc>
        <w:tc>
          <w:tcPr>
            <w:tcW w:type="dxa" w:w="2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38</w:t>
            </w:r>
          </w:p>
        </w:tc>
        <w:tc>
          <w:tcPr>
            <w:tcW w:type="dxa" w:w="4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Quinolones / fluoroquinolones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3 Q</w:t>
            </w:r>
          </w:p>
        </w:tc>
        <w:tc>
          <w:tcPr>
            <w:tcW w:type="dxa" w:w="2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39</w:t>
            </w:r>
          </w:p>
        </w:tc>
        <w:tc>
          <w:tcPr>
            <w:tcW w:type="dxa" w:w="4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Antispasmodiques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2 Q</w:t>
            </w:r>
          </w:p>
        </w:tc>
        <w:tc>
          <w:tcPr>
            <w:tcW w:type="dxa" w:w="2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40</w:t>
            </w:r>
          </w:p>
        </w:tc>
        <w:tc>
          <w:tcPr>
            <w:tcW w:type="dxa" w:w="4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Les inhibiteurs calciques (item isolé)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1 Q</w:t>
            </w:r>
          </w:p>
        </w:tc>
        <w:tc>
          <w:tcPr>
            <w:tcW w:type="dxa" w:w="2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</w:tbl>
    <w:p>
      <w:r>
        <w:br w:type="page"/>
      </w:r>
    </w:p>
    <w:p>
      <w:pPr>
        <w:pBdr>
          <w:top w:val="single" w:color="1F3A5F" w:sz="8"/>
          <w:bottom w:val="single" w:color="1F3A5F" w:sz="8"/>
        </w:pBdr>
        <w:shd w:fill="1F3A5F" w:val="clear"/>
        <w:spacing w:after="120" w:before="240"/>
        <w:jc w:val="center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PARTIE 2 — MOYENNE DE QUESTIONS PAR LEÇON PAR EXAMEN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0"/>
          <w:szCs w:val="20"/>
        </w:rPr>
        <w:t xml:space="preserve">Statistiques calculées sur 15 sessions, chaque examen ~49.33 questions.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1400"/>
        <w:gridCol w:w="1700"/>
        <w:gridCol w:w="1860"/>
      </w:tblGrid>
      <w:tr>
        <w:trPr>
          <w:tblHeader/>
        </w:trPr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Leçon officielle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Moy/exam</w:t>
            </w:r>
          </w:p>
        </w:tc>
        <w:tc>
          <w:tcPr>
            <w:tcW w:type="dxa" w:w="1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% d'exam</w:t>
            </w:r>
          </w:p>
        </w:tc>
      </w:tr>
      <w:tr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Cardiologie — cas cliniques (transversal : antithrombotiques, IEC/ARA2, β-bloquants, inhib. calciques, statines, anti-angineux, digitaliques)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83 Q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5.53</w:t>
            </w:r>
          </w:p>
        </w:tc>
        <w:tc>
          <w:tcPr>
            <w:tcW w:type="dxa" w:w="1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11.2%</w:t>
            </w:r>
          </w:p>
        </w:tc>
      </w:tr>
      <w:tr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Pharmacocinétique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65 Q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4.33</w:t>
            </w:r>
          </w:p>
        </w:tc>
        <w:tc>
          <w:tcPr>
            <w:tcW w:type="dxa" w:w="1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8.8%</w:t>
            </w:r>
          </w:p>
        </w:tc>
      </w:tr>
      <w:tr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Les règles générales de la prescription médicamenteuse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52 Q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3.47</w:t>
            </w:r>
          </w:p>
        </w:tc>
        <w:tc>
          <w:tcPr>
            <w:tcW w:type="dxa" w:w="1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7.0%</w:t>
            </w:r>
          </w:p>
        </w:tc>
      </w:tr>
      <w:tr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 vie du médicament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45 Q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3.0</w:t>
            </w:r>
          </w:p>
        </w:tc>
        <w:tc>
          <w:tcPr>
            <w:tcW w:type="dxa" w:w="1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6.1%</w:t>
            </w:r>
          </w:p>
        </w:tc>
      </w:tr>
      <w:tr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Toxicologie (module S6 toxico-pharma)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 Q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2.67</w:t>
            </w:r>
          </w:p>
        </w:tc>
        <w:tc>
          <w:tcPr>
            <w:tcW w:type="dxa" w:w="1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5.4%</w:t>
            </w:r>
          </w:p>
        </w:tc>
      </w:tr>
      <w:tr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Les essais cliniques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 Q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2.67</w:t>
            </w:r>
          </w:p>
        </w:tc>
        <w:tc>
          <w:tcPr>
            <w:tcW w:type="dxa" w:w="1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5.4%</w:t>
            </w:r>
          </w:p>
        </w:tc>
      </w:tr>
      <w:tr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Effets indésirables des médicaments et pharmacovigilance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36 Q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2.4</w:t>
            </w:r>
          </w:p>
        </w:tc>
        <w:tc>
          <w:tcPr>
            <w:tcW w:type="dxa" w:w="1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4.9%</w:t>
            </w:r>
          </w:p>
        </w:tc>
      </w:tr>
      <w:tr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Les interactions médicamenteuses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29 Q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1.93</w:t>
            </w:r>
          </w:p>
        </w:tc>
        <w:tc>
          <w:tcPr>
            <w:tcW w:type="dxa" w:w="1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3.9%</w:t>
            </w:r>
          </w:p>
        </w:tc>
      </w:tr>
      <w:tr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Les anti-inflammatoires (AINS + corticoïdes)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26 Q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1.73</w:t>
            </w:r>
          </w:p>
        </w:tc>
        <w:tc>
          <w:tcPr>
            <w:tcW w:type="dxa" w:w="1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3.5%</w:t>
            </w:r>
          </w:p>
        </w:tc>
      </w:tr>
      <w:tr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 prescription médicamenteuse chez l'enfant et le sujet âgé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24 Q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1.6</w:t>
            </w:r>
          </w:p>
        </w:tc>
        <w:tc>
          <w:tcPr>
            <w:tcW w:type="dxa" w:w="1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3.2%</w:t>
            </w:r>
          </w:p>
        </w:tc>
      </w:tr>
      <w:tr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 prescription chez la femme enceinte et allaitante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22 Q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1.47</w:t>
            </w:r>
          </w:p>
        </w:tc>
        <w:tc>
          <w:tcPr>
            <w:tcW w:type="dxa" w:w="1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3.0%</w:t>
            </w:r>
          </w:p>
        </w:tc>
      </w:tr>
      <w:tr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Anti-bacillaires (antituberculeux)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 Q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1.33</w:t>
            </w:r>
          </w:p>
        </w:tc>
        <w:tc>
          <w:tcPr>
            <w:tcW w:type="dxa" w:w="1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2.7%</w:t>
            </w:r>
          </w:p>
        </w:tc>
      </w:tr>
      <w:tr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Médicament et pathologie du foie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 Q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1.27</w:t>
            </w:r>
          </w:p>
        </w:tc>
        <w:tc>
          <w:tcPr>
            <w:tcW w:type="dxa" w:w="1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2.6%</w:t>
            </w:r>
          </w:p>
        </w:tc>
      </w:tr>
      <w:tr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 suivi thérapeutique pharmacologique (STP)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18 Q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1.2</w:t>
            </w:r>
          </w:p>
        </w:tc>
        <w:tc>
          <w:tcPr>
            <w:tcW w:type="dxa" w:w="1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2.4%</w:t>
            </w:r>
          </w:p>
        </w:tc>
      </w:tr>
      <w:tr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Les diurétiques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17 Q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1.13</w:t>
            </w:r>
          </w:p>
        </w:tc>
        <w:tc>
          <w:tcPr>
            <w:tcW w:type="dxa" w:w="1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2.3%</w:t>
            </w:r>
          </w:p>
        </w:tc>
      </w:tr>
      <w:tr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Bêta-lactamines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17 Q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1.13</w:t>
            </w:r>
          </w:p>
        </w:tc>
        <w:tc>
          <w:tcPr>
            <w:tcW w:type="dxa" w:w="1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2.3%</w:t>
            </w:r>
          </w:p>
        </w:tc>
      </w:tr>
      <w:tr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Antiviraux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16 Q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1.07</w:t>
            </w:r>
          </w:p>
        </w:tc>
        <w:tc>
          <w:tcPr>
            <w:tcW w:type="dxa" w:w="1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2.2%</w:t>
            </w:r>
          </w:p>
        </w:tc>
      </w:tr>
      <w:tr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Traitement de la maladie ulcéreuse gastroduodénale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13 Q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0.87</w:t>
            </w:r>
          </w:p>
        </w:tc>
        <w:tc>
          <w:tcPr>
            <w:tcW w:type="dxa" w:w="1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1.8%</w:t>
            </w:r>
          </w:p>
        </w:tc>
      </w:tr>
      <w:tr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Les antalgiques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13 Q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0.87</w:t>
            </w:r>
          </w:p>
        </w:tc>
        <w:tc>
          <w:tcPr>
            <w:tcW w:type="dxa" w:w="1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1.8%</w:t>
            </w:r>
          </w:p>
        </w:tc>
      </w:tr>
      <w:tr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Antiépileptiques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 Q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0.8</w:t>
            </w:r>
          </w:p>
        </w:tc>
        <w:tc>
          <w:tcPr>
            <w:tcW w:type="dxa" w:w="1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1.6%</w:t>
            </w:r>
          </w:p>
        </w:tc>
      </w:tr>
      <w:tr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Anxiolytiques (benzodiazépines)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 Q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0.8</w:t>
            </w:r>
          </w:p>
        </w:tc>
        <w:tc>
          <w:tcPr>
            <w:tcW w:type="dxa" w:w="1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1.6%</w:t>
            </w:r>
          </w:p>
        </w:tc>
      </w:tr>
      <w:tr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Antidépresseurs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 Q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0.8</w:t>
            </w:r>
          </w:p>
        </w:tc>
        <w:tc>
          <w:tcPr>
            <w:tcW w:type="dxa" w:w="1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1.6%</w:t>
            </w:r>
          </w:p>
        </w:tc>
      </w:tr>
      <w:tr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Antitussifs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 Q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0.73</w:t>
            </w:r>
          </w:p>
        </w:tc>
        <w:tc>
          <w:tcPr>
            <w:tcW w:type="dxa" w:w="1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1.5%</w:t>
            </w:r>
          </w:p>
        </w:tc>
      </w:tr>
      <w:tr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Rein et médicaments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 Q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0.73</w:t>
            </w:r>
          </w:p>
        </w:tc>
        <w:tc>
          <w:tcPr>
            <w:tcW w:type="dxa" w:w="1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1.5%</w:t>
            </w:r>
          </w:p>
        </w:tc>
      </w:tr>
      <w:tr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Prise en charge médicamenteuse de la constipation (laxatifs)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 Q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0.73</w:t>
            </w:r>
          </w:p>
        </w:tc>
        <w:tc>
          <w:tcPr>
            <w:tcW w:type="dxa" w:w="1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1.5%</w:t>
            </w:r>
          </w:p>
        </w:tc>
      </w:tr>
      <w:tr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Endocrinologie — insulines &amp; antidiabétiques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 Q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0.67</w:t>
            </w:r>
          </w:p>
        </w:tc>
        <w:tc>
          <w:tcPr>
            <w:tcW w:type="dxa" w:w="1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1.4%</w:t>
            </w:r>
          </w:p>
        </w:tc>
      </w:tr>
      <w:tr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Bronchodilatateurs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 Q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0.6</w:t>
            </w:r>
          </w:p>
        </w:tc>
        <w:tc>
          <w:tcPr>
            <w:tcW w:type="dxa" w:w="1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1.2%</w:t>
            </w:r>
          </w:p>
        </w:tc>
      </w:tr>
      <w:tr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Anti-infectieux — divers (diffusion BHM, temps/conc-dépendance, voie digestive)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 Q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0.53</w:t>
            </w:r>
          </w:p>
        </w:tc>
        <w:tc>
          <w:tcPr>
            <w:tcW w:type="dxa" w:w="1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1.1%</w:t>
            </w:r>
          </w:p>
        </w:tc>
      </w:tr>
      <w:tr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Antibiothérapie — généralités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 Q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0.47</w:t>
            </w:r>
          </w:p>
        </w:tc>
        <w:tc>
          <w:tcPr>
            <w:tcW w:type="dxa" w:w="1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0.9%</w:t>
            </w:r>
          </w:p>
        </w:tc>
      </w:tr>
      <w:tr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Aminosides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 Q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0.4</w:t>
            </w:r>
          </w:p>
        </w:tc>
        <w:tc>
          <w:tcPr>
            <w:tcW w:type="dxa" w:w="1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0.8%</w:t>
            </w:r>
          </w:p>
        </w:tc>
      </w:tr>
      <w:tr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Imidazolés / nitro-imidazolés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 Q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0.33</w:t>
            </w:r>
          </w:p>
        </w:tc>
        <w:tc>
          <w:tcPr>
            <w:tcW w:type="dxa" w:w="1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0.7%</w:t>
            </w:r>
          </w:p>
        </w:tc>
      </w:tr>
      <w:tr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Macrolides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 Q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0.33</w:t>
            </w:r>
          </w:p>
        </w:tc>
        <w:tc>
          <w:tcPr>
            <w:tcW w:type="dxa" w:w="1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0.7%</w:t>
            </w:r>
          </w:p>
        </w:tc>
      </w:tr>
      <w:tr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Glycopeptides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 Q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0.33</w:t>
            </w:r>
          </w:p>
        </w:tc>
        <w:tc>
          <w:tcPr>
            <w:tcW w:type="dxa" w:w="1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0.7%</w:t>
            </w:r>
          </w:p>
        </w:tc>
      </w:tr>
      <w:tr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Questions inclassifiables (recoupe cardio + corticoïdes)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 Q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0.27</w:t>
            </w:r>
          </w:p>
        </w:tc>
        <w:tc>
          <w:tcPr>
            <w:tcW w:type="dxa" w:w="1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0.5%</w:t>
            </w:r>
          </w:p>
        </w:tc>
      </w:tr>
      <w:tr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Antifongiques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 Q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0.27</w:t>
            </w:r>
          </w:p>
        </w:tc>
        <w:tc>
          <w:tcPr>
            <w:tcW w:type="dxa" w:w="1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0.5%</w:t>
            </w:r>
          </w:p>
        </w:tc>
      </w:tr>
      <w:tr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Sulfamides (cotrimoxazole)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 Q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0.27</w:t>
            </w:r>
          </w:p>
        </w:tc>
        <w:tc>
          <w:tcPr>
            <w:tcW w:type="dxa" w:w="1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0.5%</w:t>
            </w:r>
          </w:p>
        </w:tc>
      </w:tr>
      <w:tr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Cyclines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 Q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0.2</w:t>
            </w:r>
          </w:p>
        </w:tc>
        <w:tc>
          <w:tcPr>
            <w:tcW w:type="dxa" w:w="1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0.4%</w:t>
            </w:r>
          </w:p>
        </w:tc>
      </w:tr>
      <w:tr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Quinolones / fluoroquinolones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 Q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0.2</w:t>
            </w:r>
          </w:p>
        </w:tc>
        <w:tc>
          <w:tcPr>
            <w:tcW w:type="dxa" w:w="1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0.4%</w:t>
            </w:r>
          </w:p>
        </w:tc>
      </w:tr>
      <w:tr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Antispasmodiques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 Q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0.13</w:t>
            </w:r>
          </w:p>
        </w:tc>
        <w:tc>
          <w:tcPr>
            <w:tcW w:type="dxa" w:w="1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0.3%</w:t>
            </w:r>
          </w:p>
        </w:tc>
      </w:tr>
      <w:tr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Les inhibiteurs calciques (item isolé)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Q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0.07</w:t>
            </w:r>
          </w:p>
        </w:tc>
        <w:tc>
          <w:tcPr>
            <w:tcW w:type="dxa" w:w="1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0.1%</w:t>
            </w:r>
          </w:p>
        </w:tc>
      </w:tr>
      <w:tr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TOTAL — toutes leçons examinées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740 Q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49.33</w:t>
            </w:r>
          </w:p>
        </w:tc>
        <w:tc>
          <w:tcPr>
            <w:tcW w:type="dxa" w:w="1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100%</w:t>
            </w:r>
          </w:p>
        </w:tc>
      </w:tr>
    </w:tbl>
    <w:p>
      <w:r>
        <w:br w:type="page"/>
      </w:r>
    </w:p>
    <w:p>
      <w:pPr>
        <w:pBdr>
          <w:top w:val="single" w:color="1F3A5F" w:sz="8"/>
          <w:bottom w:val="single" w:color="1F3A5F" w:sz="8"/>
        </w:pBdr>
        <w:shd w:fill="1F3A5F" w:val="clear"/>
        <w:spacing w:after="120" w:before="240"/>
        <w:jc w:val="center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PARTIE 3 — QUESTIONS LES PLUS FRÉQUENTES (ORDRE STRICT PAR RANG)</w:t>
      </w:r>
    </w:p>
    <w:p>
      <w:pPr>
        <w:spacing w:after="60" w:before="6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0"/>
          <w:szCs w:val="20"/>
        </w:rPr>
        <w:t xml:space="preserve">Format : faits (-) / pièges (⚠) / source (📖) / lien cours (📎) / citations (📋)</w:t>
      </w:r>
    </w:p>
    <w:p>
      <w:pPr>
        <w:pStyle w:val="Heading1"/>
        <w:pBdr>
          <w:bottom w:val="single" w:color="1F3A5F" w:sz="12" w:space="4"/>
        </w:pBdr>
        <w:spacing w:after="200" w:before="360"/>
      </w:pPr>
      <w:r>
        <w:rPr>
          <w:rFonts w:ascii="Arial" w:cs="Arial" w:eastAsia="Arial" w:hAnsi="Arial"/>
          <w:b/>
          <w:bCs/>
          <w:color w:val="1F3A5F"/>
          <w:sz w:val="32"/>
          <w:szCs w:val="32"/>
        </w:rPr>
        <w:t xml:space="preserve">[RANG 1] CARDIOLOGIE — CAS CLINIQUES (TRANSVERSAL : ANTITHROMBOTIQUES, IEC/ARA2, Β-BLOQUANTS, INHIB. CALCIQUES, STATINES, ANTI-ANGINEUX, DIGITALIQUES)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i/>
          <w:iCs/>
          <w:color w:val="8B0000"/>
          <w:sz w:val="22"/>
          <w:szCs w:val="22"/>
        </w:rPr>
        <w:t xml:space="preserve">—  •  ~5.53 Q/examen (83 Q sur 15 sessions)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Antivitamines K (acénocoumarol, warfarine) &amp; gestion de l'INR — LE sujet le plus répété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Mécanisme : inhibition de la synthèse hépatique des facteurs vitamine K-dépendants (II, VII, IX, X) → effet anticoagulant RETARDÉ (24-48 h), jamais immédiat. Surveillance = INR.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Indications AVK : prothèse valvulaire MÉCANIQUE, FA valvulaire, embolie pulmonaire / TVP.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Prothèse mécanique avec INR infra-cible (1 à 1,5) : ajouter une HBPM + augmenter la dose d'AVK (relais protecteur tant que l'INR n'est pas dans la cible).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INR dans la cible (≈2,5 pour la plupart, 3 pour prothèse mécanique) : garder la même dose et poursuivre la surveillance.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Surdosage modéré (INR ≈4 sous 5 mg) : réduire la dose (ex. alterner 1 cp et 1 cp ¼).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Surdosage majeur (INR ≈8) : sauter une prise (et envisager un relais/arrêt selon le risque).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Chez un porteur de prothèse valvulaire MÉCANIQUE, on ne remplace JAMAIS l'AVK par un AOD (apixaban/rivaroxaban/dabigatran contre-indiqués) — distracteur présent presque chaque année.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L'effet des AVK n'est pas immédiat dès la 1re prise.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AVK = nombreuses interactions médicamenteuses ET alimentaires ; « sans interaction » est faux.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« Le rivaroxaban est la seule molécule disponible au Maroc » : faux.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2018N Q37, 2019N Q38, 2020N Q37, 2023N Q37-38, 2024N Q38-39, 2024R Q38-39, 2025N Q26, 2026N Q42 (≥10×)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Surveillance biologique des anticoagulants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Héparine non fractionnée (IV) → TCA.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AVK → INR (TP-INR).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HBPM (sous-cutanée) → pas de surveillance de routine ; si besoin, activité anti-Xa.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L'HNF agit via l'ANTITHROMBINE III (action indirecte, surtout anti-Xa et anti-IIa) — elle n'agit pas « directement » et ne se surveille pas par le TP.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La surveillance d'un anticoagulant par voie sous-cutanée ne passe pas systématiquement par TCA/TP/INR.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2018N Q39, 2021N Q39, 2022N Q42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Antiplaquettaires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Aspirine (dose antiagrégante) : IDM, post-angioplastie coronaire, AOMI, AVC ischémique.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Clopidogrel (thiénopyridine, prodrogue) : AOMI, post-angioplastie ; ticagrelor : anti-P2Y12 (anti-ADP) RÉVERSIBLE, ce n'est PAS une prodrogue.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Post-angioplastie : bithérapie aspirine + clopidogrel ~1 mois, puis monothérapie (aspirine) à distance.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Ticagrelor / clopidogrel ne sont pas indiqués dans la FA valvulaire, la TVP, ni la prévention primaire du diabétique.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Les thiénopyridines (clopidogrel) ne couvrent pas la FA (qui relève des anticoagulants).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2019R Q37, 2020N Q38, 2021R Q38, 2023N Q39-40, 2023R Q37, 2025N Q27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Anticoagulants oraux directs (AOD : apixaban, rivaroxaban, dabigatran)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Apixaban / rivaroxaban = inhibiteurs DIRECTS du facteur Xa ; indications EP/TVP, FA NON valvulaire ; pas de surveillance biologique de routine ; moins d'hémorragies que les AVK.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Apixaban contre-indiqué si insuffisance rénale sévère (clairance ≤15 mL/min).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Les AOD n'agissent pas via l'antithrombine III (contrairement aux héparines).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AOD contre-indiqués dans la FA VALVULAIRE et chez le porteur de prothèse mécanique.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Apixaban n'est pas surveillé par TP-INR.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2020N Q39, 2021R Q37, 2023R Q42, 2025N Q28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Thrombolytiques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Indications : IDM à la phase aiguë (avant la 12e heure), embolie pulmonaire GRAVE.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Contre-indications : HTA sévère, péricardite (+ tout risque hémorragique majeur).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« AVC ischémique après 6 h » : hors fenêtre de thrombolyse — distracteur classique.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2019N Q42, 2021R Q39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Hypolipémiants (statines, fibrates, ézétimibe)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Statines = inhibition de l'HMG-CoA réductase → ↓ synthèse hépatique du cholestérol.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Indications statines : IDM, AVC ischémique, AOMI, prévention secondaire de l'athérosclérose.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Hypertriglycéridémie MAJEURE (ex. TG 6 g/L) → fibrate ; LDL élevé avec TG modérés → statine.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Surveillance statine : bilan hépatique (ALAT/ASAT) AVANT initiation.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Une élévation LÉGÈRE des transaminases ne contre-indique pas les statines ; la surveillance clinique seule est insuffisante.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Les statines n'agissent ni par catabolisme des HDL ni par inhibition de l'absorption intestinale du cholestérol (= mécanisme de l'ézétimibe).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2018N Q40, 2019N Q39, 2022N Q39, 2025N Q33, 2026N Q38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Bêtabloquants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Indications : HTA, angor d'effort, troubles du rythme, insuffisance cardiaque chronique (introduction à faible dose progressive).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Effet rebond adrénergique à l'arrêt brutal → sevrage progressif.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Contre-indications : asthme, syndrome de Raynaud, troubles de conduction AV, IC décompensée/congestive.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Ils ralentissent (n'augmentent pas) la FC et la conduction AV ; ils ne sont pas tous cardiosélectifs et ne stimulent pas les récepteurs α.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2018N Q38, 2020N Q41, 2021N Q41, 2021R Q41, 2023R Q41, 2025N Q30, 2026N Q39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Inhibiteurs calciques (dihydropyridines vs non-dihydropyridines)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DHP (amlodipine, nicardipine) : effet VASCULAIRE prédominant → HTA, angor de Prinzmetal, Raynaud ; effets indésirables = œdèmes des membres inférieurs, céphalées, flush.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Non-DHP « bradycardisants » (vérapamil, diltiazem) : effet CARDIAQUE → ralentissent la conduction AV → troubles du rythme supraventriculaire, angor, HTA ; le diltiazem ralentit la cadence ventriculaire en FA.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Les DHP ne sont pas bradycardisantes ; l'amlodipine n'est pas un non-DHP.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L'IC systolique n'est PAS l'indication privilégiée des non-DHP (effet inotrope négatif).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Le vérapamil n'a pas un effet « vasculaire exclusif ».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2020N Q42, 2021N Q42, 2021R Q42, 2023N Q42, 2025N Q31, 2026N Q40-41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IEC vs ARA2 (sartans)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IEC : insuffisance cardiaque, néphroprotection (HTA + néphropathie, diabétique).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IEC et ARA2 diffèrent par la TOUX sèche (effet de classe des IEC, absente sous ARA2).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ARA2 + IEC ou ARA2 + inhibiteur calcique = associations synergiques ; néphroprotection diabétique.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Sous ARA2 en monothérapie avec TA non contrôlée, le traitement n'est pas suffisant.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Surveiller la KALIÉMIE (risque d'hyperkaliémie), pas la calcémie ni la natrémie — piège récurrent.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2022N Q41, 2023N Q41, 2023R Q39, 2024N Q42, 2024R Q42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Digoxine (digitaliques)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Mécanisme : inhibition de la pompe Na⁺/K⁺-ATPase membranaire.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Ralentit la cadence ventriculaire en FA (utile chez le sujet en IC).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N'agit pas par blocage calcique, ni stimulation β1, ni blocage des récepteurs AT-II (distracteurs).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Association digoxine + diurétique hypokaliémiant = interaction pharmacodynamique dangereuse (l'hypokaliémie majore la toxicité digitalique).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2019N Q37, 2023N Q9, 2026N Q37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Ivabradine &amp; autres anti-angineux (dérivés nitrés, trimétazidine, nicorandil)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Ivabradine : anti-angineux qui RÉDUIT la fréquence cardiaque (inhibiteur du courant If sinusal) sans agir sur la conduction AV.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Dérivés nitrés : action rapide par voie SUBLINGUALE ; effet indésirable typique = céphalées.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L'ivabradine ne ralentit pas la conduction AV et ne sert pas à ralentir la cadence ventriculaire en FA.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L'effet indésirable des nitrés n'est ni bradycardie, ni toux, ni diarrhée, mais les céphalées.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2018N Q41, 2019R Q41, 2025N Q32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Ordonnances types à mémoriser (questions de cas cliniques)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IDM phase aiguë : aspirine + 2e antiagrégant (clopidogrel/prasugrel/ticagrelor) + statine + β-bloquant + HBPM.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AOMI symptomatique : antiagrégant (clopidogrel ou aspirine) + statine.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AVC ischémique sur sténose carotidienne : antiagrégant (aspirine) + statine.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ICC post-IDM : IEC + β-bloquant + aspirine + statine.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Prothèse valvulaire mécanique en FA : ralentir la cadence par β-bloquant / diltiazem / digoxine ET anticoaguler par AVK (jamais un AOD).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2019N Q40, 2021N Q40, 2021R Q40, 2022N Q40, 2024N Q40-41, 2025N Q29</w:t>
      </w:r>
    </w:p>
    <w:p>
      <w:pPr>
        <w:pStyle w:val="Heading1"/>
        <w:pBdr>
          <w:bottom w:val="single" w:color="1F3A5F" w:sz="12" w:space="4"/>
        </w:pBdr>
        <w:spacing w:after="200" w:before="360"/>
      </w:pPr>
      <w:r>
        <w:rPr>
          <w:rFonts w:ascii="Arial" w:cs="Arial" w:eastAsia="Arial" w:hAnsi="Arial"/>
          <w:b/>
          <w:bCs/>
          <w:color w:val="1F3A5F"/>
          <w:sz w:val="32"/>
          <w:szCs w:val="32"/>
        </w:rPr>
        <w:t xml:space="preserve">[RANG 2] PHARMACOCINÉTIQUE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i/>
          <w:iCs/>
          <w:color w:val="8B0000"/>
          <w:sz w:val="22"/>
          <w:szCs w:val="22"/>
        </w:rPr>
        <w:t xml:space="preserve">—  •  ~4.33 Q/examen (65 Q sur 15 sessions)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Définition &amp; phases (vs pharmacodynamie)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Pharmacocinétique = devenir du médicament dans l'organisme : phases d'absorption, distribution, métabolisme, élimination (ADME).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Pharmacodynamie = effet principal et mécanisme d'action du médicament (≠ ADME).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La phase galénique = libération du principe actif à partir de la forme pharmaceutique (plus longue pour une forme solide que pour un sirop) ; fait partie de l'absorption.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La phase galénique n'est PAS la fixation protéique, ni la distribution, ni l'élimination.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La pharmacocinétique ne « comprend pas » la fixation protéique comme phase à part : c'est une étape de la distribution.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2018N Q3, 2019N Q3/Q10, 2021R Q11, 2022N Q11, 2023R Q1, 2026N Q10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Mécanismes de franchissement membranaire (diffusion passive vs active)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Diffusion passive : non saturable, pas de compétition, dans le sens du gradient, sans énergie ; observée en absorption ET en distribution. C'est le mode le plus répandu de la distribution.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Transport/diffusion active : saturable, soumis à compétition, contre le gradient, consomme de l'énergie, via transporteurs ; possible en absorption, métabolisme et élimination.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Autres mécanismes digestifs : transport paracellulaire, pinocytose.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La diffusion passive ne consomme pas d'énergie et ne se fait pas contre le gradient (erreurs systématiquement proposées).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Le transport actif n'est pas « le plus prépondérant ».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2018N Q9/Q14, 2019R Q10, 2021N Q10/Q12, 2022N Q10/Q12, 2024N Q9, 2026N Q12-13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Premier passage hépatique &amp; biodisponibilité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Premier passage : se fait essentiellement au niveau du FOIE, lors de la phase d'absorption ; marqué pour les médicaments LIPOSOLUBLES ; peut entraîner une perte importante du médicament.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Biodisponibilité = fraction de la dose atteignant la circulation générale + vitesse d'apparition ; quantifie l'absorption ; absolue ou relative (vs voie de référence).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Le 1er passage n'augmente PAS la demi-vie ni l'absorption ; il n'est pas marqué pour les hydrosolubles.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La voie orale n'évite pas le 1er passage hépatique (à la différence des voies transdermique, sublinguale, rectale partielle).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2018N Q12, 2020N Q10-11, 2023N Q12-13, 2024N Q10, 2025N Q7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Métabolisme (biotransformation)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Lieu privilégié = le FOIE (enzymes du cytochrome P450) ; réactions de phase 1 et de phase 2.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Aboutit généralement à une inactivation, mais peut produire des métabolites ACTIFS (parfois toxiques).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Influencé par le facteur génétique et les interactions (induction/inhibition enzymatique).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Le métabolisme n'est pas évalué par la biodisponibilité ni le volume de distribution.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Il EST influencé par le facteur génétique (proposition inverse fausse).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2018N Q13, 2020N Q12, 2021N Q13, 2024N Q11, 2026N Q14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Inducteurs et inhibiteurs enzymatiques (à connaître par cœur)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Inducteurs : phénytoïne, carbamazépine, rifampicine, phénobarbital → accélèrent le catabolisme → ↓ effet et ↓ demi-vie du médicament associé.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Inhibiteurs : cimétidine, isoniazide → ↑ concentration et effet du médicament associé.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La carbamazépine et la phénytoïne sont des INDUCTEURS (souvent proposées à tort comme inhibiteurs).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L'induction n'augmente pas la demi-vie ni l'absorption du médicament associé.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2019N Q13, 2023R Q9-Q10, 2024R Q11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Distribution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Étape de diffusion vers les tissus, indispensable à l'action ; comprend la fixation protéique ; nécessite le franchissement de membranes.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Facteurs : fixation aux protéines plasmatiques, nature des barrières tissulaires, solubilité du médicament ; peut être modifiée par une interaction.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La distribution ne se fait pas « essentiellement par diffusion active » (c'est la diffusion passive).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Elle ne comprend pas de réabsorption tubulaire ni de filtration glomérulaire (= élimination).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2019N Q14, 2020N Q13, 2022N Q14, 2023N Q14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Élimination &amp; demi-vie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Voies : rénale (filtration glomérulaire = petites molécules ; sécrétion et réabsorption tubulaires), pulmonaire, sudorale, lactée, biliaire.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Filtration glomérulaire modulée par la fixation protéique ; réabsorption tubulaire DÉPEND du pH urinaire.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Le médicament peut être éliminé sous forme ACTIVE.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Demi-vie plasmatique = temps pour que la concentration diminue de 50 %.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Paramètres d'élimination = clairance et demi-vie.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La filtration glomérulaire concerne les PETITES molécules (pas les grandes).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La réabsorption tubulaire dépend bien du pH urinaire (proposition inverse fausse).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L'élimination peut être sujette à interaction (induction/inhibition).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2018N Q11, 2019R Q14, 2020N Q14, 2021N Q14, 2021R Q14, 2023R Q11, 2025N Q10-11</w:t>
      </w:r>
    </w:p>
    <w:p>
      <w:pPr>
        <w:pStyle w:val="Heading1"/>
        <w:pBdr>
          <w:bottom w:val="single" w:color="1F3A5F" w:sz="12" w:space="4"/>
        </w:pBdr>
        <w:spacing w:after="200" w:before="360"/>
      </w:pPr>
      <w:r>
        <w:rPr>
          <w:rFonts w:ascii="Arial" w:cs="Arial" w:eastAsia="Arial" w:hAnsi="Arial"/>
          <w:b/>
          <w:bCs/>
          <w:color w:val="1F3A5F"/>
          <w:sz w:val="32"/>
          <w:szCs w:val="32"/>
        </w:rPr>
        <w:t xml:space="preserve">[RANG 3] LES RÈGLES GÉNÉRALES DE LA PRESCRIPTION MÉDICAMENTEUSE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i/>
          <w:iCs/>
          <w:color w:val="8B0000"/>
          <w:sz w:val="22"/>
          <w:szCs w:val="22"/>
        </w:rPr>
        <w:t xml:space="preserve">—  •  ~3.47 Q/examen (52 Q sur 15 sessions)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Mentions obligatoires d'une ordonnance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Lisible, nom du patient, nom + adresse du prescripteur, signature ; délivrée après examen du patient.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Peut comporter : prescription d'examens complémentaires, de soins infirmiers, de lunettes de correction, le poids/âge du patient.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Types : simple, sécurisée, bizone (ALD), non renouvelable.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Première délivrance dans les 3 mois suivant la prescription.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L'ordonnance ne comporte pas obligatoirement le diagnostic, ni les antécédents/résultats de bilan (sauf l'essentiel).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2018N Q18, 2023N Q20-21, 2024R Q17-19, 2026N Q18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Classement des médicaments (listes)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Liste I : médicaments classés pouvant présenter un risque ; prescription obligatoire ; non renouvelable sauf mention.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Liste II : renouvelable sauf si la prescription l'exclut.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Médicaments non listés : vente libre / automédication, pas dénués de risque à forte dose ou usage prolongé.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Stupéfiants : ordonnance SÉCURISÉE (papier filigrané, numéro d'identification, nombre d'unités/prises/dosage en TOUTES LETTRES).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Les médicaments de liste I ne sont ni « particulièrement coûteux » ni « stupéfiants » par définition.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Les stupéfiants ne se prescrivent ni sur ordonnance simple ni bizone.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2019N Q18/Q21, 2020N Q18, 2021N Q18, 2022N Q19/Q21, 2023R Q18, 2026N Q19-21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Catégories particulières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Médicaments d'exception : coûteux, indications précises, ordonnance spéciale.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ATU (autorisation temporaire d'utilisation) : maladies graves ou rares sans alternative thérapeutique.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Médicaments à surveillance particulière : prescription/renouvellement subordonnés à des examens périodiques (= prescription restreinte).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Usage hospitalier / prescription hospitalière : prescrits par un médecin hospitalier, délivrés par un pharmacien hospitalier.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Les ATU ne sont pas définis comme « médicaments coûteux » ni « pour ALD ».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2018N Q19, 2019N Q20, 2021N Q19-20, 2025N Q19, 2026N Q21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Prescripteurs, observance, générique/princeps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Prescripteurs : médecin, chirurgien-dentiste, sage-femme (dans leur champ).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Observance = adhésion du patient à son traitement ; influencée par l'âge, la maladie, les EI, le nombre de médicaments ; peut expliquer un échec thérapeutique.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Générique vs princeps : bioéquivalents (même composition qualitative ET quantitative en PA).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L'observance EST influencée par le nombre de médicaments et l'âge (propositions inverses fausses).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Générique et princeps n'ont pas une composition « différente ».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2018N Q10/Q21, 2020N Q19, 2021R Q19, 2022N Q20, 2024N Q19</w:t>
      </w:r>
    </w:p>
    <w:p>
      <w:pPr>
        <w:pStyle w:val="Heading1"/>
        <w:pBdr>
          <w:bottom w:val="single" w:color="1F3A5F" w:sz="12" w:space="4"/>
        </w:pBdr>
        <w:spacing w:after="200" w:before="360"/>
      </w:pPr>
      <w:r>
        <w:rPr>
          <w:rFonts w:ascii="Arial" w:cs="Arial" w:eastAsia="Arial" w:hAnsi="Arial"/>
          <w:b/>
          <w:bCs/>
          <w:color w:val="1F3A5F"/>
          <w:sz w:val="32"/>
          <w:szCs w:val="32"/>
        </w:rPr>
        <w:t xml:space="preserve">[RANG 4] LA VIE DU MÉDICAMENT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i/>
          <w:iCs/>
          <w:color w:val="8B0000"/>
          <w:sz w:val="22"/>
          <w:szCs w:val="22"/>
        </w:rPr>
        <w:t xml:space="preserve">—  •  ~3.0 Q/examen (45 Q sur 15 sessions)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Origines &amp; phase de découverte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Origines : substance minérale, plante, organisme vivant (biotechnologie), synthèse chimique.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Découverte : tirage aléatoire (passage sur une batterie de tests), modification de structure d'un médicament existant, fabrication rationnelle basée sur la physiopathologie.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Un médicament issu de la biotechnologie est produit à partir d'un organisme vivant.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Le tirage aléatoire n'a pas une « grande probabilité de succès » et ne part pas d'un médicament existant amélioré.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2018N Q1-2, 2020N Q3, 2021N Q3, 2023N Q4, 2026N Q1/Q3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Études précliniques (chez l'animal)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Pharmacodynamie animale : effet principal + mécanisme d'action + effets concomitants.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Pharmacocinétique animale : absorption, distribution, métabolisme, élimination.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Toxicologie : toxicité aiguë (DL50), toxicité en administration réitérée/prolongée, fonction de reproduction (foetotoxicité, développement postnatal), cancérogenèse, mutagenèse/génotoxicité, fertilité.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Supports : animaux vivants, organes isolés, tissus, cellules en culture, récepteurs.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Les études précliniques NE testent PAS le médicament chez l'homme.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Les études de cancérogenèse sont de longue durée, par la voie thérapeutique, déclenchées si images suspectes en toxicologie réitérée — elles n'étudient pas la tératogenèse ni la PK.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Elles ne prédisent pas « dans tous les cas » la toxicité chez l'homme.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2019N Q4, 2020N Q1-2/Q4, 2021N Q1-2/Q4, 2021R Q1-5, 2024N Q1-3, 2024R Q1-2, 2026N Q2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AMM &amp; critères d'enregistrement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Le dossier de demande d'AMM est déposé lorsqu'on veut commercialiser le médicament (après les essais cliniques).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Critères d'enregistrement : qualité pharmaceutique, sécurité d'utilisation, efficacité thérapeutique.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Le COÛT n'est pas un critère d'enregistrement.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L'AMM n'est pas déposée avant les études de toxicité ni pendant les phases précliniques.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2019N Q1-2, 2022N Q4, 2023N Q1-2, 2023R Q3</w:t>
      </w:r>
    </w:p>
    <w:p>
      <w:pPr>
        <w:pStyle w:val="Heading1"/>
        <w:pBdr>
          <w:bottom w:val="single" w:color="1F3A5F" w:sz="12" w:space="4"/>
        </w:pBdr>
        <w:spacing w:after="200" w:before="360"/>
      </w:pPr>
      <w:r>
        <w:rPr>
          <w:rFonts w:ascii="Arial" w:cs="Arial" w:eastAsia="Arial" w:hAnsi="Arial"/>
          <w:b/>
          <w:bCs/>
          <w:color w:val="1F3A5F"/>
          <w:sz w:val="32"/>
          <w:szCs w:val="32"/>
        </w:rPr>
        <w:t xml:space="preserve">[RANG 5] TOXICOLOGIE (MODULE S6 TOXICO-PHARMA)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i/>
          <w:iCs/>
          <w:color w:val="8B0000"/>
          <w:sz w:val="22"/>
          <w:szCs w:val="22"/>
        </w:rPr>
        <w:t xml:space="preserve">—  •  ~2.67 Q/examen (40 Q sur 15 sessions)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Toxicocinétique &amp; techniques analytiques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Distribution des toxiques : surtout diffusion passive, dépend de l'ionisation, de la liaison protéique, du tropisme d'organe.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Élimination urinaire : toxiques hydrophiles, non liés aux protéines, filtration glomérulaire ; modulable thérapeutiquement (diurèse, pH) — pas toujours passive.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Extraction liquide-liquide : un acide est extrait en phase organique quand le milieu est ACIDE (pH &lt; pKa, forme non ionisée). Bon solvant = non miscible, grande affinité, faible toxicité.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Minéralisation : sèche (four à moufle, cendres, perte d'éléments volatils) ; humide (acides concentrés, pour les métaux Pb/Hg).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Une forte liaison protéique d'un toxique diminue la toxicité aiguë immédiate mais PROLONGE l'intoxication (ex. warfarine liée à 99 % vs phénobarbital à 50 %).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La minéralisation sèche n'utilise PAS d'acides concentrés ; la minéralisation humide ne s'applique pas aux métaux volatils.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La DL50 évalue la toxicité AIGUË (pas chronique).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ToxS6-2025 Q1-13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Pesticides — organophosphorés, carbamates, organochlorés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Organophosphorés : inhibition de l'acétylcholinestérase (syndrome muscarinique + nicotinique) ; antidote = pralidoxime (régénère l'AChE, effets muscariniques ET nicotiniques) ± atropine.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Carbamates : inhibition RÉVERSIBLE de l'AChE, PAS de phénomène d'aging ; syndrome cholinergique possible.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Organochlorés : très liposolubles, persistants dans l'environnement, pas d'antidote efficace.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Les organophosphorés inhibent l'AChE de façon IRRÉVERSIBLE (aging) — pas réversible.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Avec les carbamates, la pralidoxime n'est pas systématiquement recommandée (inhibition réversible).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ToxS6-2025 Q14-18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Toxiques gazeux &amp; solvants — phosphure d'aluminium, CO, benzène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Phosphure d'aluminium : libère la phosphine (PH₃) dans l'estomac, inhibe la cytochrome c oxydase (bloque la phosphorylation oxydative) ; N-acétylcystéine contre le stress oxydatif.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Monoxyde de carbone : gaz inodore, réducteur, absorbe les IR ; dosage de la carboxyhémoglobine (HbCO) par spectrophotométrie / carboxymètre ; triade céphalées-vomissements-vertiges ; oxygénothérapie hyperbare ; séquelles neurologiques possibles.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Benzène : toxicité médullaire (aplasie), cancérogène avéré chez l'homme ; métabolites = phénol, hydroquinone, acide trans-muconique, acide phénylmercapturique.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L'atropine n'est PAS l'antidote de la phosphine.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Le CO donne une TACHYcardie (la bradycardie est l'item faux) ; l'affinité Hb-CO est ~210 fois SUPÉRIEURE (pas inférieure) à celle de l'O₂ ; le CO est éliminé par voie pulmonaire.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L'acide benzoïque n'est pas un métabolite du benzène.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ToxS6-2025 Q19, Q25-30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Alcools — éthanol, méthanol, éthylène glycol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Éthanol : ADH → acétaldéhyde (métabolite TOXIQUE) → ALDH → acide acétique. Disulfirame (Antabuse) = inhibiteur de l'ALDH (accumulation d'acétaldéhyde, effet antabuse).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Méthanol : acidose métabolique, atteinte oculaire sévère ; antidote = fomépizole (4-méthylpyrazole, inhibiteur de l'ADH).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Éthylène glycol : IRA avec cristaux d'oxalate de calcium urinaires, acidose métabolique à trou anionique élevé, hypocalcémie.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Le métabolisme du méthanol est PLUS LENT que celui de l'éthanol (item « plus rapide » faux).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Le disulfirame inhibe l'ALDH (pas l'ADH) et n'augmente pas l'élimination rénale de l'éthanol.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ToxS6-2025 Q20-24, Q39-40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Métaux lourds — plomb, mercure, cadmium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Mécanisme commun : inhibition enzymatique par liaison aux groupements THIOL.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Plomb (saturnisme) : anémie, bandes métaphysaires radiologiques, troubles neuro ; surveillance = plombémie, plomburie, ALA-urinaire (acide delta-aminolévulinique), porphyrines urinaires ; relargage osseux favorisé par ostéoporose et corticothérapie.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Mercure : le dosage urinaire ne reflète pas le méthylmercure (élimination biliaire).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Cadmium : maladie Itaï-Itaï. Dosage le plus précis des métaux = spectrométrie d'absorption atomique.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La méthémoglobinémie n'est pas un marqueur d'exposition au plomb (distracteur).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ToxS6-2025 Q31-38</w:t>
      </w:r>
    </w:p>
    <w:p>
      <w:pPr>
        <w:pStyle w:val="Heading1"/>
        <w:pBdr>
          <w:bottom w:val="single" w:color="1F3A5F" w:sz="12" w:space="4"/>
        </w:pBdr>
        <w:spacing w:after="200" w:before="360"/>
      </w:pPr>
      <w:r>
        <w:rPr>
          <w:rFonts w:ascii="Arial" w:cs="Arial" w:eastAsia="Arial" w:hAnsi="Arial"/>
          <w:b/>
          <w:bCs/>
          <w:color w:val="1F3A5F"/>
          <w:sz w:val="32"/>
          <w:szCs w:val="32"/>
        </w:rPr>
        <w:t xml:space="preserve">[RANG 6] LES ESSAIS CLINIQUES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i/>
          <w:iCs/>
          <w:color w:val="8B0000"/>
          <w:sz w:val="22"/>
          <w:szCs w:val="22"/>
        </w:rPr>
        <w:t xml:space="preserve">—  •  ~2.67 Q/examen (40 Q sur 15 sessions)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Définition &amp; finalité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Essais cliniques = études chez l'HOMME, après les études chez l'animal ; étudient l'effet thérapeutique, la tolérance et la pharmacocinétique chez l'homme.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Comportent des phases successives ; peuvent être faits en double aveugle.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Les essais cliniques n'évaluent pas les effets indésirables RARES (cela relève de la pharmacovigilance / phase IV).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Ils ne se font pas chez l'animal ni in vitro ; ils ne se font pas sur sujets « non volontaires ».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2018N Q4, 2023R Q5, 2024N Q4, 2024R Q4, 2025N Q4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Les phases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Phase I : 1re administration à l'homme (volontaires sains), tolérance + dose maximale tolérée + PK.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Phase II : efficacité sur une population limitée de malades + posologie efficace pour la phase III.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Phase III : efficacité à grande échelle, multicentrique, déterminante pour la commercialisation.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Phase IV : après commercialisation, détection des effets indésirables + nouvelles indications.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La phase I ne recherche pas l'efficacité ni la dose efficace (c'est la phase II) et ne comporte pas d'études de cancérogenèse.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La phase III n'est pas « après mise sur le marché » (c'est la phase IV).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2018N Q5-6, 2019R Q6-7, 2020N Q6, 2021N Q6, 2022N Q5-7, 2024N Q5, 2025N Q5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Méthodologie : les 3 principes majeurs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Comparativité (groupe témoin), aveugle (le malade ignore le traitement reçu), randomisation (répartition au hasard par tirage au sort).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Groupes parallèles : chaque groupe reçoit un traitement différent ; multicentrique : plusieurs centres.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Avant le démarrage : protocole de recherche + autorisation des autorités compétentes + avis du comité de protection des personnes + randomisation.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Les 3 principes ne sont ni « grand nombre de patients » ni « longue durée » ni « in vitro »/« rétrospectif ».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L'AMM n'est pas demandée avant le démarrage d'un essai.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2020N Q5/Q7, 2021N Q7, 2021R Q7, 2023N Q7, 2024R Q5, 2025N Q6, 2026N Q7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Études animales requises avant un essai clinique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Obligatoires : pharmacodynamie, pharmacocinétique, fertilité, mutagenèse/génotoxicité ; permettent de calculer la dose et la durée d'administration prévues chez l'homme.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La cancérogenèse n'est PAS obligatoire avant tout essai.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Les études animales ne prédisent pas « dans tous les cas » le risque de toxicité chez l'homme.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2019N Q6-7, 2019R Q2, 2021N Q5, 2021R Q5</w:t>
      </w:r>
    </w:p>
    <w:p>
      <w:pPr>
        <w:pStyle w:val="Heading1"/>
        <w:pBdr>
          <w:bottom w:val="single" w:color="1F3A5F" w:sz="12" w:space="4"/>
        </w:pBdr>
        <w:spacing w:after="200" w:before="360"/>
      </w:pPr>
      <w:r>
        <w:rPr>
          <w:rFonts w:ascii="Arial" w:cs="Arial" w:eastAsia="Arial" w:hAnsi="Arial"/>
          <w:b/>
          <w:bCs/>
          <w:color w:val="1F3A5F"/>
          <w:sz w:val="32"/>
          <w:szCs w:val="32"/>
        </w:rPr>
        <w:t xml:space="preserve">[RANG 7] EFFETS INDÉSIRABLES DES MÉDICAMENTS ET PHARMACOVIGILANCE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i/>
          <w:iCs/>
          <w:color w:val="8B0000"/>
          <w:sz w:val="22"/>
          <w:szCs w:val="22"/>
        </w:rPr>
        <w:t xml:space="preserve">—  •  ~2.4 Q/examen (36 Q sur 15 sessions)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Mécanismes des effets indésirables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Dose-dépendant (lié à l'effet pharmacologique principal recherché/non recherché ou à une propriété parallèle).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Immuno-allergique : non prévisible, nécessite une SENSIBILISATION préalable, survient à posologie normale, atteintes cutanée/bronchique/hépatique, peut être grave.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Idiosyncrasique : réaction qualitativement anormale, susceptibilité GÉNÉTIQUE, survient chez un nombre limité de patients.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Un EI peut être bénin ou grave, cause d'arrêt du traitement, et peut survenir à posologie normale.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L'effet idiosyncrasique n'est PAS une réaction immuno-allergique et n'exige pas de sensibilisation préalable ; il n'est pas « lié au mécanisme d'action ».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Un EI ne survient pas « toujours » à forte posologie ; ce n'est pas la 1re cause à évoquer devant tout symptôme (éliminer d'abord une cause non médicamenteuse).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2018N Q15, 2019N Q15-16, 2020N Q15, 2021R Q16, 2023N Q15/Q17, 2025N Q12-13, 2026N Q15/Q17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Imputabilité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Repose sur des critères CHRONOLOGIQUES (délai de survenue, évolution à l'arrêt, à la réintroduction) et SÉMIOLOGIQUES (tableau clinique).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Un EI est évoqué après élimination d'une cause non médicamenteuse.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L'imputabilité ne repose pas sur les caractéristiques chimiques du médicament ni sur le nombre de prises par jour.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2018N Q16, 2021N Q16, 2022N Q15, 2024N Q14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Pharmacovigilance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Surveillance des risques après commercialisation ; met en évidence les effets indésirables RARES ; fait appel à des méthodes d'imputabilité ; organisation variable selon les pays ; contribue à la sécurité d'utilisation.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Prévention d'un EI : prise en compte du terrain, du RCP, des contre-indications et des interactions ; pas toujours possible.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La pharmacovigilance ne peut PAS être remplacée par l'étude des EI lors des essais cliniques (et inversement).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Elle n'évalue pas l'efficacité des médicaments et n'est pas destinée aux effets « fréquents ».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2024N Q13, 2024R Q13-14, 2025N Q14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Médicaments de contrefaçon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Reproduction frauduleuse ; peuvent contenir le bon PA mais sous-dosé, ou aucune trace de PA ; nuisibles, peuvent entraîner une insuffisance de traitement voire le décès.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Ils ne respectent PAS les exigences de qualité/sécurité et ne sont pas vendus en pharmacie.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2020N Q16, 2023N Q16, 2026N Q16</w:t>
      </w:r>
    </w:p>
    <w:p>
      <w:pPr>
        <w:pStyle w:val="Heading1"/>
        <w:pBdr>
          <w:bottom w:val="single" w:color="1F3A5F" w:sz="12" w:space="4"/>
        </w:pBdr>
        <w:spacing w:after="200" w:before="360"/>
      </w:pPr>
      <w:r>
        <w:rPr>
          <w:rFonts w:ascii="Arial" w:cs="Arial" w:eastAsia="Arial" w:hAnsi="Arial"/>
          <w:b/>
          <w:bCs/>
          <w:color w:val="1F3A5F"/>
          <w:sz w:val="32"/>
          <w:szCs w:val="32"/>
        </w:rPr>
        <w:t xml:space="preserve">[RANG 8] LES INTERACTIONS MÉDICAMENTEUSES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i/>
          <w:iCs/>
          <w:color w:val="8B0000"/>
          <w:sz w:val="22"/>
          <w:szCs w:val="22"/>
        </w:rPr>
        <w:t xml:space="preserve">—  •  ~1.93 Q/examen (29 Q sur 15 sessions)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Interactions pharmacocinétiques vs pharmacodynamiques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Pharmacocinétiques : fixation protéique (↑ forme libre → ↑ effet), induction/inhibition enzymatique, modification du pH gastrique, transport actif ; surviennent en absorption, distribution, métabolisme et élimination.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Pharmacodynamiques : même récepteur, même fonction physiologique, modification de l'équilibre ionique.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Une interaction PD au niveau du récepteur n'est pas une interaction PK de fixation protéique (ne pas confondre les niveaux).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Les interactions peuvent survenir en phase d'élimination et d'absorption (propositions inverses fausses).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2020N Q8, 2021N Q8, 2023R Q7, 2024N Q7, 2025N Q25, 2026N Q8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Synergie, potentialisation, antagonisme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Synergie : deux médicaments à activité qualitativement SEMBLABLE.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Potentialisation : deux médicaments à activité qualitativement DIFFÉRENTE.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Antagonisme : compétitif ou non compétitif, ↓ effet des médicaments associés, peut avoir un intérêt thérapeutique.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Les interactions peuvent être recherchées et UTILES (potentialisation/synergie en thérapeutique).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Ne pas inverser synergie (semblable) et potentialisation (différente) — piège classique.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L'antagonisme n'augmente pas l'effet et n'est pas une incompatibilité physico-chimique entre injectables.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2018N Q7-8, 2021N Q9, 2021R Q9, 2022N Q8, 2024R Q7, 2026N Q9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Inducteurs/inhibiteurs &amp; associations contre-indiquées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Inducteur enzymatique → accélère l'inactivation / le catabolisme → ↓ effet du médicament associé (et ↓ sa demi-vie).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Inhibiteurs : cimétidine, isoniazide. Inducteurs : phénytoïne, carbamazépine, rifampicine, phénobarbital.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Contre-indication absolue = association à conséquences cliniques GRAVES et FRÉQUENTES.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Exemple PD : digoxine + hypokaliémiant (interaction par modification de l'équilibre ionique).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Dans une CI absolue, l'association n'est PAS possible « dans certains cas » ni « sous surveillance » (≠ association déconseillée).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2019N Q9, 2019R Q9, 2023N Q9, 2023R Q9-10</w:t>
      </w:r>
    </w:p>
    <w:p>
      <w:pPr>
        <w:pStyle w:val="Heading1"/>
        <w:pBdr>
          <w:bottom w:val="single" w:color="1F3A5F" w:sz="12" w:space="4"/>
        </w:pBdr>
        <w:spacing w:after="200" w:before="360"/>
      </w:pPr>
      <w:r>
        <w:rPr>
          <w:rFonts w:ascii="Arial" w:cs="Arial" w:eastAsia="Arial" w:hAnsi="Arial"/>
          <w:b/>
          <w:bCs/>
          <w:color w:val="1F3A5F"/>
          <w:sz w:val="32"/>
          <w:szCs w:val="32"/>
        </w:rPr>
        <w:t xml:space="preserve">[RANG 9] LES ANTI-INFLAMMATOIRES (AINS + CORTICOÏDES)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i/>
          <w:iCs/>
          <w:color w:val="8B0000"/>
          <w:sz w:val="22"/>
          <w:szCs w:val="22"/>
        </w:rPr>
        <w:t xml:space="preserve">—  •  ~1.73 Q/examen (26 Q sur 15 sessions)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AINS — classification, contre-indications, grossesse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Classification basée sur la sélectivité d'inhibition de la cyclo-oxygénase (COX) et la demi-vie.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Contre-indications : 1er et 3e trimestres de grossesse, allaitement, insuffisance hépatique sévère, ulcère gastrique évolutif, IC avancée, IR terminale, syndrome de Widal, infection évolutive.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Au 3e trimestre : fermeture prématurée du canal artériel, risque hémorragique fœtal, retard d'accouchement ; tératogène possible au 1er trimestre.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Risque d'IRA fonctionnelle SAUF en cas d'insuffisance hépatique (item « non justifié si insuffisance hépatique »).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Le risque d'ulcère est majoré par l'âge, la forte dose, l'association aux corticoïdes et les antécédents — PAS par l'association à un IPP (qui est protecteur) ni au paracétamol.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2018N Q47, 2021N Q47, 2022N Q47, 2023N Q47, 2024R Q47, 2025N Q43, 2026N Q46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Corticoïdes — effets, mécanisme, contre-indications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Mécanisme génomique : effets anti-inflammatoire, immunosuppresseur et anti-allergique (cellules de la lignée blanche, cellules endothéliales, cytokines).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Effets indésirables au long cours : ostéoporose, ostéonécrose aseptique, diabète, HTA, rétention hydrosodée, hypokaliémie, retard staturo-pondéral, psychose/troubles de l'humeur, acné, syndrome cushingoïde.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Contre-indications : diabète décompensé, HTA sévère, infections non contrôlées.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Mesures associées : régime sans sel, riche en protéines, supplémentation potassique et calcique.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Prednisone vs dexaméthasone : équivalence différente ; la dexaméthasone a une demi-vie plus longue et un effet freinateur plus important.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Les corticoïdes donnent une HYPOkaliémie (pas d'hyperkaliémie) et une rétention hydrosodée.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Effet anticoagulant et anti-infectieux : FAUX (les corticoïdes ne sont ni anticoagulants ni anti-infectieux).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2018N Q46, 2020N Q46, 2021R Q46, 2022N Q48, 2023N Q46, 2024N Q46-47, 2024R Q46, 2026N Q47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Sevrage de la corticothérapie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Arrêt PROGRESSIF → évite l'insuffisance surrénale aiguë, la cortico-dépendance et le syndrome de sevrage.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Sevrage sans substitution si cortisolémie correcte ; substitution par hydrocortisone si cortisolémie effondrée (&lt; 5 ng/dL).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Un sevrage BRUTAL ne prévient rien — il provoque l'insuffisance surrénale aiguë iatrogène.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2019N Q46, 2019R Q47, 2021N Q46, 2021R Q47, 2023R Q47</w:t>
      </w:r>
    </w:p>
    <w:p>
      <w:pPr>
        <w:pStyle w:val="Heading1"/>
        <w:pBdr>
          <w:bottom w:val="single" w:color="1F3A5F" w:sz="12" w:space="4"/>
        </w:pBdr>
        <w:spacing w:after="200" w:before="360"/>
      </w:pPr>
      <w:r>
        <w:rPr>
          <w:rFonts w:ascii="Arial" w:cs="Arial" w:eastAsia="Arial" w:hAnsi="Arial"/>
          <w:b/>
          <w:bCs/>
          <w:color w:val="1F3A5F"/>
          <w:sz w:val="32"/>
          <w:szCs w:val="32"/>
        </w:rPr>
        <w:t xml:space="preserve">[RANG 10] LA PRESCRIPTION MÉDICAMENTEUSE CHEZ L'ENFANT ET LE SUJET ÂGÉ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i/>
          <w:iCs/>
          <w:color w:val="8B0000"/>
          <w:sz w:val="22"/>
          <w:szCs w:val="22"/>
        </w:rPr>
        <w:t xml:space="preserve">—  •  ~1.6 Q/examen (24 Q sur 15 sessions)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Prescription chez l'ENFANT — particularités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L'AMM pédiatrique conditionne l'usage : beaucoup de médicaments n'ont pas d'AMM chez l'enfant (prescription hors-AMM encadrée).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La forme galénique doit être adaptée à l'âge (sirop, suspension, gouttes) — pas de comprimés non sécables chez le nourrisson.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Pharmacocinétique particulière : immaturité hépatique et rénale (clairance réduite chez le nouveau-né), eau corporelle totale plus élevée, fixation protéique plus faible, barrière hémato-encéphalique immature.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Effets indésirables spécifiques : cyclines (coloration dentaire &lt;8 ans), fluoroquinolones (cartilage), aspirine (sd de Reye), chloramphénicol (sd gris du nouveau-né).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Ordonnance pédiatrique : doit mentionner le nom, l'âge ET le poids de l'enfant (posologie en mg/kg), plus l'adresse du prescripteur.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La posologie pédiatrique ne se déduit pas en « fraction de dose adulte » au hasard : elle se calcule en mg/kg (ou mg/m²).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2018N Q22, 2019N Q22-23, 2020N Q22-23, 2022N Q22-23, 2023N Q24, 2024N Q22-23, 2025N Q20-21, 2026N Q22-24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Prescription chez le SUJET ÂGÉ — règles d'or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Règles : commencer à FAIBLE dose, schémas SIMPLES, RÉDUIRE le nombre de prises, adapter à la clairance de la créatinine (Cockcroft).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PK gériatrique : accumulation des médicaments LIPOPHILES (↑ masse grasse), augmentation de la demi-vie, augmentation de la sensibilité du SNC (chutes, confusion).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Polymédication = iatrogénie : interactions et effets indésirables croissent avec le nombre de lignes.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Médicaments potentiellement inappropriés (listes Beers / Laroche) : benzodiazépines à longue demi-vie, imipraminiques (tricycliques), anti-H1 anticholinergiques, laxatifs stimulants au long cours.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Piège récurrent : les β-lactamines NE figurent PAS sur les listes de médicaments inappropriés du sujet âgé (ce sont les BZD longues, anticholinergiques et tricycliques qui y sont).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Réduire la posologie n'est PAS systématique pour tout médicament : c'est l'adaptation à la fonction rénale et à la sensibilité qui prime.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2019R Q23, 2021N Q23, 2021R Q23, 2022N Q22, 2023R Q22-23, 2024Exc Q22-23, 2024R Q22-23</w:t>
      </w:r>
    </w:p>
    <w:p>
      <w:pPr>
        <w:pStyle w:val="Heading1"/>
        <w:pBdr>
          <w:bottom w:val="single" w:color="1F3A5F" w:sz="12" w:space="4"/>
        </w:pBdr>
        <w:spacing w:after="200" w:before="360"/>
      </w:pPr>
      <w:r>
        <w:rPr>
          <w:rFonts w:ascii="Arial" w:cs="Arial" w:eastAsia="Arial" w:hAnsi="Arial"/>
          <w:b/>
          <w:bCs/>
          <w:color w:val="1F3A5F"/>
          <w:sz w:val="32"/>
          <w:szCs w:val="32"/>
        </w:rPr>
        <w:t xml:space="preserve">[RANG 11] LA PRESCRIPTION CHEZ LA FEMME ENCEINTE ET ALLAITANTE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i/>
          <w:iCs/>
          <w:color w:val="8B0000"/>
          <w:sz w:val="22"/>
          <w:szCs w:val="22"/>
        </w:rPr>
        <w:t xml:space="preserve">—  •  ~1.47 Q/examen (22 Q sur 15 sessions)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Passage placentaire &amp; risque tératogène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Le passage transplacentaire se fait essentiellement par DIFFUSION PASSIVE (favorisée si liposolubilité élevée, faible PM, faible fixation protéique, non ionisation).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Tératogènes majeurs à connaître : valproate (acide valproïque), thalidomide, isotrétinoïne (rétinoïdes), carbamazépine, IEC/ARA2 (atteinte rénale fœtale au 2e-3e trimestre).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Période de la tératogénèse = 1er trimestre (organogénèse). Au 2e-3e trimestre : fœtotoxicité / toxicité néonatale (inadaptation à la vie extra-utérine, RCIU).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Piège ×plusieurs : les AINS ne sont PAS tératogènes — ils sont FŒTOTOXIQUES au 3e trimestre (fermeture prématurée du canal artériel, oligoamnios, toxicité rénale).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L'héparine (HNF/HBPM) n'est PAS tératogène : gros poids moléculaire → ne traverse pas le placenta. C'est l'anticoagulant de la grossesse (vs AVK tératogènes).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2018N Q23-24, 2019N Q24, 2020N Q24, 2021N Q22+24, 2022N Q24, 2023N Q22-23, 2024N Q20-21, 2025N Q22-23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Allaitement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Le passage dans le lait est augmenté si le médicament est LIPOSOLUBLE, peu lié aux protéines, de petit poids moléculaire, et à forte dose maternelle.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Évaluer le rapport lait/plasma et la demi-vie ; préférer les molécules à passage lacté faible et demi-vie courte.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Un médicament « sûr pendant la grossesse » n'est pas automatiquement « sûr pendant l'allaitement » — les déterminants du passage diffèrent.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2019R Q24, 2021R Q22+24, 2023R Q20-21, 2024Exc Q20-21, 2024R Q20-21</w:t>
      </w:r>
    </w:p>
    <w:p>
      <w:pPr>
        <w:pStyle w:val="Heading1"/>
        <w:pBdr>
          <w:bottom w:val="single" w:color="1F3A5F" w:sz="12" w:space="4"/>
        </w:pBdr>
        <w:spacing w:after="200" w:before="360"/>
      </w:pPr>
      <w:r>
        <w:rPr>
          <w:rFonts w:ascii="Arial" w:cs="Arial" w:eastAsia="Arial" w:hAnsi="Arial"/>
          <w:b/>
          <w:bCs/>
          <w:color w:val="1F3A5F"/>
          <w:sz w:val="32"/>
          <w:szCs w:val="32"/>
        </w:rPr>
        <w:t xml:space="preserve">[RANG 12] ANTI-BACILLAIRES (ANTITUBERCULEUX)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i/>
          <w:iCs/>
          <w:color w:val="8B0000"/>
          <w:sz w:val="22"/>
          <w:szCs w:val="22"/>
        </w:rPr>
        <w:t xml:space="preserve">—  •  ~1.33 Q/examen (20 Q sur 15 sessions)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Les 5 antituberculeux majeurs — profil complet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Isoniazide (INH) : bactéricide intracellulaire ; toxicité HÉPATIQUE et neuro/psychiatrique (neuropathie périphérique → prévention par vitamine B6).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Rifampicine (RIF) : inhibe l'ARN-polymérase bactérienne ; INDUCTEUR ENZYMATIQUE puissant (++) → diminue l'efficacité des contraceptifs oraux, AVK, corticoïdes, digoxine ; colore les urines/sécrétions en ORANGE ; syndrome grippal + anémie hémolytique (immuno-allergique, formes intermittentes).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Pyrazinamide (PZA) : bactéricide intracellulaire ; HYPERURICÉMIE (→ goutte) et hépatotoxicité.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Éthambutol (EMB) : BACTÉRIOSTATIQUE, extracellulaire ; névrite optique rétrobulbaire / dyschromatopsie (rouge-vert) ; contre-indiqué/adapté dans l'insuffisance rénale.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Streptomycine (SM, aminoside) : ototoxicité (cochléo-vestibulaire), forme INJECTABLE.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Contre-indiqués en cas d'hépatite sévère : INH, PZA, RIF (les trois hépatotoxiques). Contre-indiqués en cas de porphyrie : PZA et RIF.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La multirésistance (MDR-TB) = résistance simultanée à INH + RIF (les deux piliers).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Intracellulaires (donc actifs sur le bacille quiescent) : INH, PZA, RIF. EMB est extracellulaire.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2018N Q36, 2020N Q35, 2021N Q34, 2021R Q34-35, 2022N Q34-35, 2023N Q33-34, 2023R Q34, 2024N Q34-35, 2024R Q34-35, 2025N Q39-40, 2026N Q34-35</w:t>
      </w:r>
    </w:p>
    <w:p>
      <w:pPr>
        <w:pStyle w:val="Heading1"/>
        <w:pBdr>
          <w:bottom w:val="single" w:color="1F3A5F" w:sz="12" w:space="4"/>
        </w:pBdr>
        <w:spacing w:after="200" w:before="360"/>
      </w:pPr>
      <w:r>
        <w:rPr>
          <w:rFonts w:ascii="Arial" w:cs="Arial" w:eastAsia="Arial" w:hAnsi="Arial"/>
          <w:b/>
          <w:bCs/>
          <w:color w:val="1F3A5F"/>
          <w:sz w:val="32"/>
          <w:szCs w:val="32"/>
        </w:rPr>
        <w:t xml:space="preserve">[RANG 13] MÉDICAMENT ET PATHOLOGIE DU FOIE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i/>
          <w:iCs/>
          <w:color w:val="8B0000"/>
          <w:sz w:val="22"/>
          <w:szCs w:val="22"/>
        </w:rPr>
        <w:t xml:space="preserve">—  •  ~1.27 Q/examen (19 Q sur 15 sessions)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Hépatotoxicité médicamenteuse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Mécanismes/types : cytolytique, cholestatique (ou mixte), immuno-allergique, idiosyncrasique (imprévisible, non dose-dépendant).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Le médicament est la 1re cause de RETRAIT du marché et un motif fréquent d'arrêt de développement.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Diagnostic = chronologique (délai d'apparition, régression à l'arrêt, récidive à la réintroduction) + élimination des autres causes.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Toxicité de surdosage (cytolytique, PRÉCOCE et PRÉVISIBLE) : paracétamol +++ (via le métabolite réactif NAPQI), antidote N-acétylcystéine.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Favorisée par : jeûne / dénutrition (déplétion en glutathion), interactions (inducteurs), terrain génétique.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Idiosyncrasique ≠ immuno-allergique : l'idiosyncrasique est imprévisible et non immunologique au sens strict (piège classique).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En cas d'insuffisance hépatique : préférer un médicament peu métabolisé par le foie / à élimination rénale sous forme inchangée.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2018N Q17, 2019N Q17, 2019R Q17, 2020N Q17, 2021N Q17, 2021R Q17, 2022N Q17, 2023N Q18-19, 2023R Q15-16, 2024N Q15-16, 2024R Q15-16, 2025N Q15-16</w:t>
      </w:r>
    </w:p>
    <w:p>
      <w:pPr>
        <w:pStyle w:val="Heading1"/>
        <w:pBdr>
          <w:bottom w:val="single" w:color="1F3A5F" w:sz="12" w:space="4"/>
        </w:pBdr>
        <w:spacing w:after="200" w:before="360"/>
      </w:pPr>
      <w:r>
        <w:rPr>
          <w:rFonts w:ascii="Arial" w:cs="Arial" w:eastAsia="Arial" w:hAnsi="Arial"/>
          <w:b/>
          <w:bCs/>
          <w:color w:val="1F3A5F"/>
          <w:sz w:val="32"/>
          <w:szCs w:val="32"/>
        </w:rPr>
        <w:t xml:space="preserve">[RANG 14] LE SUIVI THÉRAPEUTIQUE PHARMACOLOGIQUE (STP)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i/>
          <w:iCs/>
          <w:color w:val="8B0000"/>
          <w:sz w:val="22"/>
          <w:szCs w:val="22"/>
        </w:rPr>
        <w:t xml:space="preserve">—  •  ~1.2 Q/examen (18 Q sur 15 sessions)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Indications &amp; modalités du suivi thérapeutique pharmacologique (STP / TDM)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Indications : marge thérapeutique ÉTROITE, variabilité INTERINDIVIDUELLE importante, bonne corrélation concentration-effet, absence d'autre marqueur d'efficacité, dosage validé et disponible ; suspicion de sous-/sur-dosage ; contrôle de l'observance.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Modalités : prélever À L'ÉTAT D'ÉQUILIBRE, respecter le moment du prélèvement (concentration résiduelle avant la prise, ou pic selon le médicament), matrice = sang total ou plasma selon la molécule, interpréter vs la zone thérapeutique.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Exemples : digoxine, lithium, aminosides, vancomycine, antiépileptiques, immunosuppresseurs.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Le STP ne concerne PAS tous les médicaments : inutile si marge LARGE ou si variabilité interindividuelle faible.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2019N Q25, 2019R Q25, 2020N Q25, 2021N Q25, 2021R Q25, 2022N Q25, 2023N Q25, 2023R Q24-25, 2024N Q24-25, 2024R Q24-25, 2025N Q17+24, 2026N Q25</w:t>
      </w:r>
    </w:p>
    <w:p>
      <w:pPr>
        <w:pStyle w:val="Heading1"/>
        <w:pBdr>
          <w:bottom w:val="single" w:color="1F3A5F" w:sz="12" w:space="4"/>
        </w:pBdr>
        <w:spacing w:after="200" w:before="360"/>
      </w:pPr>
      <w:r>
        <w:rPr>
          <w:rFonts w:ascii="Arial" w:cs="Arial" w:eastAsia="Arial" w:hAnsi="Arial"/>
          <w:b/>
          <w:bCs/>
          <w:color w:val="1F3A5F"/>
          <w:sz w:val="32"/>
          <w:szCs w:val="32"/>
        </w:rPr>
        <w:t xml:space="preserve">[RANG 15] LES DIURÉTIQUES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i/>
          <w:iCs/>
          <w:color w:val="8B0000"/>
          <w:sz w:val="22"/>
          <w:szCs w:val="22"/>
        </w:rPr>
        <w:t xml:space="preserve">—  •  ~1.13 Q/examen (17 Q sur 15 sessions)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Classification par site d'action &amp; mécanisme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Proximaux : inhibiteurs de l'anhydrase carbonique (acétazolamide) et osmotiques (mannitol).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Anse de Henle : diurétiques de l'anse (furosémide, bumétanide) — les plus puissants/natriurétiques.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Tube contourné distal : thiazidiques (hydrochlorothiazide, indapamide).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Distaux/collecteur, épargneurs de potassium : anti-aldostérone (spironolactone) et bloqueurs du canal Na (amiloride/modamide).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Mécanisme commun en amont : tous dépendent de la Na/K-ATPase basolatérale ; les natriurétiques les plus puissants sont ceux de l'anse (et proximaux).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Kaliémie : anse + thiazidiques + proximaux → HYPOkaliémie ; anti-aldostérone + canal Na → HYPERkaliémie (piège de polarité).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Indications de l'anse : surcharge hydrosodée, OAP, insuffisance cardiaque, œdème cérébral, hypercalcémie majeure. Proximaux (acétazolamide) : glaucome, œdème cérébral / HTIC.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Contre-indications communes : obstacle des voies urinaires, insuffisance hépatocellulaire sévère, hyperuricémie (sauf anti-aldostérone), allaitement.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2019N Q27, 2019R Q26-27, 2021N Q27, 2021R Q26-27, 2022N Q27, 2023N Q26-27, 2023R Q26-27, et sessions 2024/2025</w:t>
      </w:r>
    </w:p>
    <w:p>
      <w:pPr>
        <w:pStyle w:val="Heading1"/>
        <w:pBdr>
          <w:bottom w:val="single" w:color="1F3A5F" w:sz="12" w:space="4"/>
        </w:pBdr>
        <w:spacing w:after="200" w:before="360"/>
      </w:pPr>
      <w:r>
        <w:rPr>
          <w:rFonts w:ascii="Arial" w:cs="Arial" w:eastAsia="Arial" w:hAnsi="Arial"/>
          <w:b/>
          <w:bCs/>
          <w:color w:val="1F3A5F"/>
          <w:sz w:val="32"/>
          <w:szCs w:val="32"/>
        </w:rPr>
        <w:t xml:space="preserve">[RANG 16] BÊTA-LACTAMINES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i/>
          <w:iCs/>
          <w:color w:val="8B0000"/>
          <w:sz w:val="22"/>
          <w:szCs w:val="22"/>
        </w:rPr>
        <w:t xml:space="preserve">—  •  ~1.13 Q/examen (17 Q sur 15 sessions)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Mécanisme &amp; pénicillines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Mécanisme : inhibition de la synthèse de la paroi (peptidoglycane) par fixation aux PLP → bactéricidie TEMPS-dépendante.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Pénicilline G : voie IV uniquement, active sur le tréponème (syphilis), même spectre que la péni V (orale) ; Benzathine-pénicilline = forme retard IM.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Pénicilline M (oxacilline/cloxacilline) : staphylocoque méti-S ; bonne diffusion articulaire mais PAS dans les méninges.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Amoxicilline : orale, angine à streptocoque, ± acide clavulanique (inhibiteur de β-lactamase), diffuse dans la prostate, élimination urinaire ; effet indésirable = allergie (jusqu'à l'œdème de Quincke / anaphylaxie).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Céphalosporines : classées par générations ; INACTIVES sur l'entérocoque ; toutes ne passent pas la barrière hémato-méningée.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Piège majeur : la VANCOMYCINE n'est PAS une β-lactamine (c'est un glycopeptide) bien qu'elle agisse aussi sur le peptidoglycane.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Les β-lactamines sont INACTIVES sur le SARM (staph méti-R) et sur les germes intracellulaires.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2018N Q32, 2019N Q28-29, 2019R Q29-30, 2020N Q30, 2021N Q29, 2021R Q30-31, 2022N Q31, 2024Exc Q28, 2024N Q28-29, 2025N Q48, 2026N Q28-30</w:t>
      </w:r>
    </w:p>
    <w:p>
      <w:pPr>
        <w:pStyle w:val="Heading1"/>
        <w:pBdr>
          <w:bottom w:val="single" w:color="1F3A5F" w:sz="12" w:space="4"/>
        </w:pBdr>
        <w:spacing w:after="200" w:before="360"/>
      </w:pPr>
      <w:r>
        <w:rPr>
          <w:rFonts w:ascii="Arial" w:cs="Arial" w:eastAsia="Arial" w:hAnsi="Arial"/>
          <w:b/>
          <w:bCs/>
          <w:color w:val="1F3A5F"/>
          <w:sz w:val="32"/>
          <w:szCs w:val="32"/>
        </w:rPr>
        <w:t xml:space="preserve">[RANG 17] ANTIVIRAUX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i/>
          <w:iCs/>
          <w:color w:val="8B0000"/>
          <w:sz w:val="22"/>
          <w:szCs w:val="22"/>
        </w:rPr>
        <w:t xml:space="preserve">—  •  ~1.07 Q/examen (16 Q sur 15 sessions)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Antirétroviraux (VIH) &amp; antiherpétiques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Antirétroviraux : VIRUSTATIQUES (ne guérissent pas), prescrits en ASSOCIATION obligatoire (≥3 molécules sur des étapes différentes du cycle), à VIE, exposés à la résistance ; servent aussi en prévention (AES, transmission materno-fœtale).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Aciclovir : inhibe l'ADN-polymérase virale (après phosphorylation par la thymidine-kinase virale) ; actif sur HSV/VZV ; traitement de l'encéphalite herpétique et prévention des récidives ; adapter à la fonction rénale.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Ganciclovir : CMV (IV). Oseltamivir : grippe. Molnupiravir / antiviraux oraux : SARS-CoV-2.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Piège : les antirétroviraux ne sont PAS actifs sur le CMV ; l'aciclovir n'est PAS actif sur le VIH ni sur le SARS-CoV-2.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Les antirétroviraux ne « guérissent » pas l'infection VIH et ne sont jamais prescrits en monothérapie.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2018N Q31, 2019N Q33, 2019R Q33, 2020N Q29+31, 2021R Q29, 2022N Q30, 2023R Q31-32, 2024Exc Q33, 2024N Q32-33, 2024R Q28-29, 2025N Q50, 2026N Q32</w:t>
      </w:r>
    </w:p>
    <w:p>
      <w:pPr>
        <w:pStyle w:val="Heading1"/>
        <w:pBdr>
          <w:bottom w:val="single" w:color="1F3A5F" w:sz="12" w:space="4"/>
        </w:pBdr>
        <w:spacing w:after="200" w:before="360"/>
      </w:pPr>
      <w:r>
        <w:rPr>
          <w:rFonts w:ascii="Arial" w:cs="Arial" w:eastAsia="Arial" w:hAnsi="Arial"/>
          <w:b/>
          <w:bCs/>
          <w:color w:val="1F3A5F"/>
          <w:sz w:val="32"/>
          <w:szCs w:val="32"/>
        </w:rPr>
        <w:t xml:space="preserve">[RANG 18] TRAITEMENT DE LA MALADIE ULCÉREUSE GASTRODUODÉNALE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i/>
          <w:iCs/>
          <w:color w:val="8B0000"/>
          <w:sz w:val="22"/>
          <w:szCs w:val="22"/>
        </w:rPr>
        <w:t xml:space="preserve">—  •  ~0.87 Q/examen (13 Q sur 15 sessions)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Anti-sécrétoires &amp; anti-ulcéreux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IPP (oméprazole, ésoméprazole…) : inhibition IRRÉVERSIBLE de la pompe H+/K+-ATPase de la cellule pariétale ; prise unique (matin, avant repas) ; voie orale ET parentérale ; plus efficaces que les anti-H2.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Anti-H2 (ranitidine, famotidine) : suppriment PARTIELLEMENT la sécrétion acide ; élimination rénale ; troubles de la conscience possibles chez le sujet âgé/insuffisant rénal.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Famille des anti-sécrétoires/anti-acides : IPP, anti-H2, analogues des prostaglandines (misoprostol), anti-acides et topiques/protecteurs.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Piège : l'inhibition de la pompe à protons est IRRÉVERSIBLE (la sécrétion ne reprend qu'après synthèse de nouvelles pompes), ce qui explique la prise unique malgré une demi-vie courte.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Une association de l'éradication d'H. pylori (IPP + 2 antibiotiques) est la règle pour l'ulcère à H. pylori.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2018N Q44, 2019N Q43-44, 2019R Q45, 2020N Q45, 2021R Q43-44, 2022N Q44, 2023R Q44, 2024N Q44-45, 2024R Q44, 2026N Q43</w:t>
      </w:r>
    </w:p>
    <w:p>
      <w:pPr>
        <w:pStyle w:val="Heading1"/>
        <w:pBdr>
          <w:bottom w:val="single" w:color="1F3A5F" w:sz="12" w:space="4"/>
        </w:pBdr>
        <w:spacing w:after="200" w:before="360"/>
      </w:pPr>
      <w:r>
        <w:rPr>
          <w:rFonts w:ascii="Arial" w:cs="Arial" w:eastAsia="Arial" w:hAnsi="Arial"/>
          <w:b/>
          <w:bCs/>
          <w:color w:val="1F3A5F"/>
          <w:sz w:val="32"/>
          <w:szCs w:val="32"/>
        </w:rPr>
        <w:t xml:space="preserve">[RANG 19] LES ANTALGIQUES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i/>
          <w:iCs/>
          <w:color w:val="8B0000"/>
          <w:sz w:val="22"/>
          <w:szCs w:val="22"/>
        </w:rPr>
        <w:t xml:space="preserve">—  •  ~0.87 Q/examen (13 Q sur 15 sessions)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Paliers OMS &amp; molécules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Palier 1 (douleur faible) : paracétamol, néfopam, AINS. Palier 2 (modérée) : codéine, tramadol (opioïdes faibles). Palier 3 (intense) : morphine et opioïdes forts.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Néfopam : antalgique central NON morphinique ; dose max ≈120 mg/j ; contre-indiqué en cas de convulsions / glaucome / adénome prostatique (effet anticholinergique).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Codéine : PRODROGUE → transformée en morphine par déméthylation hépatique (CYP2D6) ; durée d'action ≈4 h ; contre-indiquée chez l'asthmatique et l'enfant &lt;12 ans.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Paracétamol : palier 1, antipyrétique ; métabolite toxique NAPQI (N-acétyl-p-benzoquinone-imine) ; antidote = N-acétylcystéine ; n'est PAS contre-indiqué pendant l'allaitement.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Piège répété ×4 : les effets indésirables des morphiniques incluent la CONSTIPATION (pas la diarrhée), avec sédation, confusion, rétention urinaire, sécheresse buccale, dépression respiratoire.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2018N Q43, 2019N Q36, 2019R Q36, 2020N Q36, 2021N Q36, 2023N Q45, 2023R Q43, 2024Exc Q43-44, 2024N Q43, 2024R Q43, 2026N Q44-45</w:t>
      </w:r>
    </w:p>
    <w:p>
      <w:pPr>
        <w:pStyle w:val="Heading1"/>
        <w:pBdr>
          <w:bottom w:val="single" w:color="1F3A5F" w:sz="12" w:space="4"/>
        </w:pBdr>
        <w:spacing w:after="200" w:before="360"/>
      </w:pPr>
      <w:r>
        <w:rPr>
          <w:rFonts w:ascii="Arial" w:cs="Arial" w:eastAsia="Arial" w:hAnsi="Arial"/>
          <w:b/>
          <w:bCs/>
          <w:color w:val="1F3A5F"/>
          <w:sz w:val="32"/>
          <w:szCs w:val="32"/>
        </w:rPr>
        <w:t xml:space="preserve">[RANG 20] ANTIÉPILEPTIQUES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i/>
          <w:iCs/>
          <w:color w:val="8B0000"/>
          <w:sz w:val="22"/>
          <w:szCs w:val="22"/>
        </w:rPr>
        <w:t xml:space="preserve">—  •  ~0.8 Q/examen (12 Q sur 15 sessions)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Générations &amp; mécanismes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1re génération : phénobarbital, phénytoïne, carbamazépine, valproate (acide valproïque), éthosuximide.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Nouvelle génération : felbamate, lamotrigine, vigabatrin, gabapentine (et lévétiracétam, topiramate…).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Mécanismes : blocage des canaux sodiques et/ou calciques, potentialisation GABAergique.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Indications hors épilepsie : douleurs neuropathiques (gabapentine, carbamazépine), troubles psychiatriques/thymorégulation (valproate, carbamazépine).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Piège inducteurs : la carbamazépine et le phénobarbital sont des INDUCTEURS enzymatiques ; le valproate ne l'est PAS (c'est plutôt un inhibiteur).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Interactions/contre-indications fréquemment testées : associations avec antirétroviraux, antifongiques azolés, certains antibiotiques (inducteurs/inhibiteurs).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2018N Q48, 2019N Q48, 2019R Q48, 2020N Q48, 2021N Q48, 2021R Q48, 2023N Q48, 2023R Q48, 2024Exc Q48, 2024N Q48, 2024R Q48, 2026N Q48</w:t>
      </w:r>
    </w:p>
    <w:p>
      <w:pPr>
        <w:pStyle w:val="Heading1"/>
        <w:pBdr>
          <w:bottom w:val="single" w:color="1F3A5F" w:sz="12" w:space="4"/>
        </w:pBdr>
        <w:spacing w:after="200" w:before="360"/>
      </w:pPr>
      <w:r>
        <w:rPr>
          <w:rFonts w:ascii="Arial" w:cs="Arial" w:eastAsia="Arial" w:hAnsi="Arial"/>
          <w:b/>
          <w:bCs/>
          <w:color w:val="1F3A5F"/>
          <w:sz w:val="32"/>
          <w:szCs w:val="32"/>
        </w:rPr>
        <w:t xml:space="preserve">[RANG 21] ANXIOLYTIQUES (BENZODIAZÉPINES)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i/>
          <w:iCs/>
          <w:color w:val="8B0000"/>
          <w:sz w:val="22"/>
          <w:szCs w:val="22"/>
        </w:rPr>
        <w:t xml:space="preserve">—  •  ~0.8 Q/examen (12 Q sur 15 sessions)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Benzodiazépines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Effets pharmacologiques : anxiolytique, sédatif/hypnotique, MYORELAXANT, amnésiant (antérograde), anticonvulsivant (via potentialisation du GABA-A).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Risque de dépendance → durée de prescription LIMITÉE et arrêt PROGRESSIF (jamais brutal : risque de rebond/convulsions).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Antidote en cas de surdosage : flumazénil.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Piège : les BZD n'ont PAS d'effet antipsychotique ni antidépresseur.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Contre-indications : hypersensibilité, insuffisance respiratoire sévère, syndrome d'apnées du sommeil, myasthénie, insuffisance hépatique sévère.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2018N Q49, 2019N Q49, 2019R Q49, 2020N Q49, 2021N Q49, 2021R Q49, 2022N Q49, 2023N Q49, 2023R Q49, 2024Exc Q49, 2024N Q49, 2024R Q49</w:t>
      </w:r>
    </w:p>
    <w:p>
      <w:pPr>
        <w:pStyle w:val="Heading1"/>
        <w:pBdr>
          <w:bottom w:val="single" w:color="1F3A5F" w:sz="12" w:space="4"/>
        </w:pBdr>
        <w:spacing w:after="200" w:before="360"/>
      </w:pPr>
      <w:r>
        <w:rPr>
          <w:rFonts w:ascii="Arial" w:cs="Arial" w:eastAsia="Arial" w:hAnsi="Arial"/>
          <w:b/>
          <w:bCs/>
          <w:color w:val="1F3A5F"/>
          <w:sz w:val="32"/>
          <w:szCs w:val="32"/>
        </w:rPr>
        <w:t xml:space="preserve">[RANG 22] ANTIDÉPRESSEURS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i/>
          <w:iCs/>
          <w:color w:val="8B0000"/>
          <w:sz w:val="22"/>
          <w:szCs w:val="22"/>
        </w:rPr>
        <w:t xml:space="preserve">—  •  ~0.8 Q/examen (12 Q sur 15 sessions)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Classes &amp; mécanismes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ISRS (fluoxétine, sertraline…) : blocage de la recapture de la SÉROTONINE. IRSNa (venlafaxine, duloxétine) : recapture sérotonine + noradrénaline.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Tricycliques (imipraminiques) : blocage de recapture + effets anticholinergiques. IMAO : INHIBENT la monoamine-oxydase.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Délai d'action de plusieurs semaines (effet thymique non immédiat).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Indications : épisode dépressif modéré à sévère, troubles anxieux / attaque de panique, algies rebelles (tricycliques).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Pièges : les antidépresseurs ne FAVORISENT pas la recapture (ils la bloquent), les IMAO INHIBENT la MAO (ne la stimulent pas), l'effet n'est PAS immédiat, et ils n'ont PAS d'effet myorelaxant.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2018N Q50, 2019N Q50, 2019R Q50, 2020N Q50, 2021N Q50, 2021R Q50, 2022N Q50, 2023N Q50, 2023R Q50, 2024Exc Q50, 2024N Q50, 2024R Q50</w:t>
      </w:r>
    </w:p>
    <w:p>
      <w:pPr>
        <w:pStyle w:val="Heading1"/>
        <w:pBdr>
          <w:bottom w:val="single" w:color="1F3A5F" w:sz="12" w:space="4"/>
        </w:pBdr>
        <w:spacing w:after="200" w:before="360"/>
      </w:pPr>
      <w:r>
        <w:rPr>
          <w:rFonts w:ascii="Arial" w:cs="Arial" w:eastAsia="Arial" w:hAnsi="Arial"/>
          <w:b/>
          <w:bCs/>
          <w:color w:val="1F3A5F"/>
          <w:sz w:val="32"/>
          <w:szCs w:val="32"/>
        </w:rPr>
        <w:t xml:space="preserve">[RANG 23] ANTITUSSIFS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i/>
          <w:iCs/>
          <w:color w:val="8B0000"/>
          <w:sz w:val="22"/>
          <w:szCs w:val="22"/>
        </w:rPr>
        <w:t xml:space="preserve">—  •  ~0.73 Q/examen (11 Q sur 15 sessions)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Centraux vs périphériques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Antitussifs centraux opioïdes : codéine, codéthyline, pholcodine (déprimés du centre de la toux) — toxicomanogènes et dépresseurs respiratoires.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Central NON opioïde : dextrométhorphane (et noscapine) — non dépresseur respiratoire, non toxicomanogène.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Antitussifs périphériques : anti-histaminiques H1 (chlorphénamine, prométhazine).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Indication : toux SÈCHE, non productive et gênante.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Piège : les antitussifs opioïdes sont CONTRE-INDIQUÉS dans l'asthme (dépression respiratoire / bronchoconstriction) ; la pholcodine a aussi une activité analgésique.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Ne jamais inhiber une toux PRODUCTIVE (grasse) — elle est utile au drainage.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2019N Q34, 2019R Q34, 2020N Q34, 2021N Q35, 2022N Q36, 2023N Q35, 2023R Q35, 2024Exc Q36, 2024N Q36, 2025N Q41, 2026N Q36</w:t>
      </w:r>
    </w:p>
    <w:p>
      <w:pPr>
        <w:pStyle w:val="Heading1"/>
        <w:pBdr>
          <w:bottom w:val="single" w:color="1F3A5F" w:sz="12" w:space="4"/>
        </w:pBdr>
        <w:spacing w:after="200" w:before="360"/>
      </w:pPr>
      <w:r>
        <w:rPr>
          <w:rFonts w:ascii="Arial" w:cs="Arial" w:eastAsia="Arial" w:hAnsi="Arial"/>
          <w:b/>
          <w:bCs/>
          <w:color w:val="1F3A5F"/>
          <w:sz w:val="32"/>
          <w:szCs w:val="32"/>
        </w:rPr>
        <w:t xml:space="preserve">[RANG 24] REIN ET MÉDICAMENTS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i/>
          <w:iCs/>
          <w:color w:val="8B0000"/>
          <w:sz w:val="22"/>
          <w:szCs w:val="22"/>
        </w:rPr>
        <w:t xml:space="preserve">—  •  ~0.73 Q/examen (11 Q sur 15 sessions)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Insuffisance rénale &amp; médicaments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Conséquences de l'IR : ACCUMULATION (↓ élimination), ↑ fraction libre si hypoalbuminémie, ↑ volume de distribution des hydrosolubles en cas d'œdèmes, modification du métabolisme.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Conséquence principale = augmentation du risque d'atteindre des concentrations TOXIQUES → adaptation posologique.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« Méthode de la dose » (réduction de la dose unitaire en gardant l'intervalle) : adaptée aux médicaments à demi-vie courte / temps-dépendants ; « méthode de l'intervalle » : on espace les prises.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Néphrotoxicité favorisée par : forte activité tubulaire de la molécule, hypovolémie / bas débit, cirrhose, associations néphrotoxiques.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Dose de CHARGE de la digoxine RÉDUITE en cas d'IR.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Piège : l'IR ne modifie PAS la biodisponibilité d'une voie IV (100% par définition) et ne change pas le mécanisme d'action de la molécule.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2018N Q26-27, 2019N Q26, 2020N Q26-27, 2021N Q26, 2022N Q26, 2024Exc Q27, 2024N Q27, 2024R Q27, 2025N Q35</w:t>
      </w:r>
    </w:p>
    <w:p>
      <w:pPr>
        <w:pStyle w:val="Heading1"/>
        <w:pBdr>
          <w:bottom w:val="single" w:color="1F3A5F" w:sz="12" w:space="4"/>
        </w:pBdr>
        <w:spacing w:after="200" w:before="360"/>
      </w:pPr>
      <w:r>
        <w:rPr>
          <w:rFonts w:ascii="Arial" w:cs="Arial" w:eastAsia="Arial" w:hAnsi="Arial"/>
          <w:b/>
          <w:bCs/>
          <w:color w:val="1F3A5F"/>
          <w:sz w:val="32"/>
          <w:szCs w:val="32"/>
        </w:rPr>
        <w:t xml:space="preserve">[RANG 25] PRISE EN CHARGE MÉDICAMENTEUSE DE LA CONSTIPATION (LAXATIFS)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i/>
          <w:iCs/>
          <w:color w:val="8B0000"/>
          <w:sz w:val="22"/>
          <w:szCs w:val="22"/>
        </w:rPr>
        <w:t xml:space="preserve">—  •  ~0.73 Q/examen (11 Q sur 15 sessions)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Classes de laxatifs (constipation)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Laxatifs de LEST / mucilages : augmentent la masse fécale et retiennent l'eau ; effets indésirables = ballonnements, bouchons ; CI sténose digestive / maladie de Crohn occlusive.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Laxatifs OSMOTIQUES : sucres non absorbables (lactulose) et macrogols (PEG) → attirent l'eau dans le côlon ; flatulences.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Laxatifs STIMULANTS / purgatifs : action motrice + sécrétoire ; risque de dépendance, troubles hydro-électrolytiques (hypokaliémie), rectite/colite (mélanose) au long cours.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Laxatifs ÉMOLLIENTS / lubrifiants (paraffine) : suintement anal, risque de pneumopathie d'inhalation, malabsorption des vitamines liposolubles.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Piège : ce sont les laxatifs STIMULANTS qui exposent à la dépendance et aux désordres ioniques (pas les osmotiques ni le lest en première intention).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2018N Q45, 2019N Q45, 2019R Q43-44, 2020N Q44, 2021N Q43-44, 2022N Q43, 2023N Q43-44, 2024Exc Q45</w:t>
      </w:r>
    </w:p>
    <w:p>
      <w:pPr>
        <w:pStyle w:val="Heading1"/>
        <w:pBdr>
          <w:bottom w:val="single" w:color="1F3A5F" w:sz="12" w:space="4"/>
        </w:pBdr>
        <w:spacing w:after="200" w:before="360"/>
      </w:pPr>
      <w:r>
        <w:rPr>
          <w:rFonts w:ascii="Arial" w:cs="Arial" w:eastAsia="Arial" w:hAnsi="Arial"/>
          <w:b/>
          <w:bCs/>
          <w:color w:val="1F3A5F"/>
          <w:sz w:val="32"/>
          <w:szCs w:val="32"/>
        </w:rPr>
        <w:t xml:space="preserve">[RANG 26] ENDOCRINOLOGIE — INSULINES &amp; ANTIDIABÉTIQUES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i/>
          <w:iCs/>
          <w:color w:val="8B0000"/>
          <w:sz w:val="22"/>
          <w:szCs w:val="22"/>
        </w:rPr>
        <w:t xml:space="preserve">—  •  ~0.67 Q/examen (10 Q sur 15 sessions)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Insulines &amp; antidiabétiques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Insulines RAPIDES / analogues rapides : lispro, aspart, glulisine (durée ≈4 h, en prandial). LENTES : glargine, détémir, NPH (basales).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Metformine (biguanide) : diminue l'insulino-RÉSISTANCE et la production hépatique de glucose ; dose max ≈2000-3000 mg/j ; risque rare d'acidose lactique (CI si IR sévère).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Sulfamides hypoglycémiants : insulino-sécréteurs → risque d'HYPOGLYCÉMIE (majoré avec l'insuline).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Gliptines (iDPP-4) : diminuent la dégradation du GLP-1. Gliflozines (iSGLT2) : inhibition de la réabsorption rénale du glucose.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Association sulfamide + insuline = risque hypoglycémique majeur (à connaître). La metformine seule ne donne PAS d'hypoglycémie.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2018N Q33, 2021N Q45, 2021R Q45, 2022N Q45-46, 2025N Q36-38, 2026N Q49-50</w:t>
      </w:r>
    </w:p>
    <w:p>
      <w:pPr>
        <w:pStyle w:val="Heading1"/>
        <w:pBdr>
          <w:bottom w:val="single" w:color="1F3A5F" w:sz="12" w:space="4"/>
        </w:pBdr>
        <w:spacing w:after="200" w:before="360"/>
      </w:pPr>
      <w:r>
        <w:rPr>
          <w:rFonts w:ascii="Arial" w:cs="Arial" w:eastAsia="Arial" w:hAnsi="Arial"/>
          <w:b/>
          <w:bCs/>
          <w:color w:val="1F3A5F"/>
          <w:sz w:val="32"/>
          <w:szCs w:val="32"/>
        </w:rPr>
        <w:t xml:space="preserve">[RANG 27] BRONCHODILATATEURS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i/>
          <w:iCs/>
          <w:color w:val="8B0000"/>
          <w:sz w:val="22"/>
          <w:szCs w:val="22"/>
        </w:rPr>
        <w:t xml:space="preserve">—  •  ~0.6 Q/examen (9 Q sur 15 sessions)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β2-mimétiques, anticholinergiques, théophylline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β2-mimétiques de COURTE durée (salbutamol, terbutaline) = traitement de la CRISE/urgence. β2 de LONGUE durée (salmétérol, formotérol, indacatérol) = traitement de FOND, toujours associés à un corticoïde inhalé dans l'asthme.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Anticholinergiques (ipratropium, tiotropium) : antagonistes muscariniques ; ES = sécheresse buccale, irritation pharyngée, paradoxalement bronchospasme.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Théophylline (base xanthique) : marge étroite, ES cardiaques (tachycardie) et neurologiques (tremblements, convulsions).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Crise d'asthme : β2 courte durée + ipratropium + corticoïdes systémiques. Piège : les antitussifs opioïdes (codéine) y sont CONTRE-INDIQUÉS.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2018N Q34-35, 2019N Q35, 2019R Q35, 2021R Q36, 2023N Q36, 2023R Q36, 2024R Q36, 2025N Q42</w:t>
      </w:r>
    </w:p>
    <w:p>
      <w:pPr>
        <w:pStyle w:val="Heading1"/>
        <w:pBdr>
          <w:bottom w:val="single" w:color="1F3A5F" w:sz="12" w:space="4"/>
        </w:pBdr>
        <w:spacing w:after="200" w:before="360"/>
      </w:pPr>
      <w:r>
        <w:rPr>
          <w:rFonts w:ascii="Arial" w:cs="Arial" w:eastAsia="Arial" w:hAnsi="Arial"/>
          <w:b/>
          <w:bCs/>
          <w:color w:val="1F3A5F"/>
          <w:sz w:val="32"/>
          <w:szCs w:val="32"/>
        </w:rPr>
        <w:t xml:space="preserve">[RANG 28] ANTI-INFECTIEUX — DIVERS (DIFFUSION BHM, TEMPS/CONC-DÉPENDANCE, VOIE DIGESTIVE)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i/>
          <w:iCs/>
          <w:color w:val="8B0000"/>
          <w:sz w:val="22"/>
          <w:szCs w:val="22"/>
        </w:rPr>
        <w:t xml:space="preserve">—  •  ~0.53 Q/examen (8 Q sur 15 sessions)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Diffusion, temps/concentration-dépendance, voie digestive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Bonne diffusion hémato-méningée (LCR) : amoxicilline ± clavulanique, C3G (céfotaxime, ceftriaxone), aciclovir, cotrimoxazole, métronidazole.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Mauvaise diffusion méningée : aminosides, pénicilline G, vancomycine.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Bonne absorption digestive (biodisponibilité orale) : amoxicilline, pénicilline V, cotrimoxazole, fluoroquinolones, métronidazole.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Temps-dépendants : β-lactamines, chloramphénicol. Concentration-dépendants : aminosides, fluoroquinolones.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Clé discutable signalée : 2 questions (2024R Q31, 2023N Q30) classent l'AMPHOTÉRICINE B parmi les molécules traversant la BHM. En pratique, l'amphotéricine B diffuse MAL dans le LCR — réponse retenue selon la clé officielle, médecine correcte indiquée ici.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2019N Q47, 2020N Q28, 2022N Q28-29, 2023N Q28-30, 2024R Q31</w:t>
      </w:r>
    </w:p>
    <w:p>
      <w:pPr>
        <w:pStyle w:val="Heading1"/>
        <w:pBdr>
          <w:bottom w:val="single" w:color="1F3A5F" w:sz="12" w:space="4"/>
        </w:pBdr>
        <w:spacing w:after="200" w:before="360"/>
      </w:pPr>
      <w:r>
        <w:rPr>
          <w:rFonts w:ascii="Arial" w:cs="Arial" w:eastAsia="Arial" w:hAnsi="Arial"/>
          <w:b/>
          <w:bCs/>
          <w:color w:val="1F3A5F"/>
          <w:sz w:val="32"/>
          <w:szCs w:val="32"/>
        </w:rPr>
        <w:t xml:space="preserve">[RANG 29] ANTIBIOTHÉRAPIE — GÉNÉRALITÉS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i/>
          <w:iCs/>
          <w:color w:val="8B0000"/>
          <w:sz w:val="22"/>
          <w:szCs w:val="22"/>
        </w:rPr>
        <w:t xml:space="preserve">—  •  ~0.47 Q/examen (7 Q sur 15 sessions)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Définitions &amp; résistance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Antibiotiques d'origine naturelle, semi-synthétique ou synthétique ; classés par familles ; tous ne sont PAS bactéricides (certains bactériostatiques).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Résistance NATURELLE (intrinsèque) = inhérente à l'espèce (pas d'acquisition de gène). Résistance ACQUISE = par mutation ou transfert horizontal de gènes (plasmides).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Mécanismes de résistance : efflux actif, modification de la cible, inactivation enzymatique (β-lactamases), imperméabilité de la paroi.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Paramètres : CMI, CMB, antibiogramme, effet post-antibiotique.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Piège : la résistance NATURELLE ne résulte PAS de l'acquisition d'un gène (c'est la résistance acquise qui le fait).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Néphrotoxiques : vancomycine + aminosides. Bonne diffusion prostatique : fluoroquinolones, cotrimoxazole, C3G.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2019R Q28, 2021N Q28, 2021R Q28, 2023R Q28-29, 2025N Q45, 2026N Q31</w:t>
      </w:r>
    </w:p>
    <w:p>
      <w:pPr>
        <w:pStyle w:val="Heading1"/>
        <w:pBdr>
          <w:bottom w:val="single" w:color="1F3A5F" w:sz="12" w:space="4"/>
        </w:pBdr>
        <w:spacing w:after="200" w:before="360"/>
      </w:pPr>
      <w:r>
        <w:rPr>
          <w:rFonts w:ascii="Arial" w:cs="Arial" w:eastAsia="Arial" w:hAnsi="Arial"/>
          <w:b/>
          <w:bCs/>
          <w:color w:val="1F3A5F"/>
          <w:sz w:val="32"/>
          <w:szCs w:val="32"/>
        </w:rPr>
        <w:t xml:space="preserve">[RANG 30] AMINOSIDES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i/>
          <w:iCs/>
          <w:color w:val="8B0000"/>
          <w:sz w:val="22"/>
          <w:szCs w:val="22"/>
        </w:rPr>
        <w:t xml:space="preserve">—  •  ~0.4 Q/examen (6 Q sur 15 sessions)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Aminosides (gentamicine, amikacine…)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Bactéricides CONCENTRATION-dépendants ; inhibition de la synthèse protéique sur la sous-unité 30S ; effet post-antibiotique prolongé → dose unique journalière.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Toxicité : NÉPHROtoxicité (tubulaire) et COCHLÉO-VESTIBULAIRE (ototoxicité) — majorées par la durée et les associations.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Contre-indiqués dans la myasthénie (effet curarisant).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Pièges : pas d'absorption digestive (administration parentérale), inactifs sur les anaérobies et sur les germes intracellulaires.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2019N Q30, 2020N Q32, 2023N Q32, 2024Exc Q30, 2024N Q31, 2025N Q46</w:t>
      </w:r>
    </w:p>
    <w:p>
      <w:pPr>
        <w:pStyle w:val="Heading1"/>
        <w:pBdr>
          <w:bottom w:val="single" w:color="1F3A5F" w:sz="12" w:space="4"/>
        </w:pBdr>
        <w:spacing w:after="200" w:before="360"/>
      </w:pPr>
      <w:r>
        <w:rPr>
          <w:rFonts w:ascii="Arial" w:cs="Arial" w:eastAsia="Arial" w:hAnsi="Arial"/>
          <w:b/>
          <w:bCs/>
          <w:color w:val="1F3A5F"/>
          <w:sz w:val="32"/>
          <w:szCs w:val="32"/>
        </w:rPr>
        <w:t xml:space="preserve">[RANG 31] IMIDAZOLÉS / NITRO-IMIDAZOLÉS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i/>
          <w:iCs/>
          <w:color w:val="8B0000"/>
          <w:sz w:val="22"/>
          <w:szCs w:val="22"/>
        </w:rPr>
        <w:t xml:space="preserve">—  •  ~0.33 Q/examen (5 Q sur 15 sessions)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Nitro-imidazolés (métronidazole)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Bactéricide ; inhibe la synthèse des acides nucléiques (après réduction du groupe nitro) ; actif sur les ANAÉROBIES et les protozoaires (amibiase, abcès hépatique amibien, giardiase, trichomonase).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Bonne diffusion, y compris dans le LCR. Effet antabuse avec l'alcool.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Piège : le métronidazole n'agit PAS sur le peptidoglycane (ce n'est pas une β-lactamine).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2019N Q32, 2020N Q33, 2021N Q32, 2022N Q33, 2026N Q33</w:t>
      </w:r>
    </w:p>
    <w:p>
      <w:pPr>
        <w:pStyle w:val="Heading1"/>
        <w:pBdr>
          <w:bottom w:val="single" w:color="1F3A5F" w:sz="12" w:space="4"/>
        </w:pBdr>
        <w:spacing w:after="200" w:before="360"/>
      </w:pPr>
      <w:r>
        <w:rPr>
          <w:rFonts w:ascii="Arial" w:cs="Arial" w:eastAsia="Arial" w:hAnsi="Arial"/>
          <w:b/>
          <w:bCs/>
          <w:color w:val="1F3A5F"/>
          <w:sz w:val="32"/>
          <w:szCs w:val="32"/>
        </w:rPr>
        <w:t xml:space="preserve">[RANG 32] MACROLIDES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i/>
          <w:iCs/>
          <w:color w:val="8B0000"/>
          <w:sz w:val="22"/>
          <w:szCs w:val="22"/>
        </w:rPr>
        <w:t xml:space="preserve">—  •  ~0.33 Q/examen (5 Q sur 15 sessions)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Macrolides (érythromycine, clarithromycine, azithromycine)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Inhibition de la synthèse protéique sur la sous-unité 50S ; bonne concentration INTRACELLULAIRE.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Indications : angine à streptocoque (alternative à l'allergie aux pénicillines), infections respiratoires/atypiques ; clarithromycine dans l'éradication d'H. pylori ; azithromycine dans les IST urogénitales.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Piège : tous les macrolides ne sont PAS à 14 atomes (azithromycine = azalide à 15 atomes). Contre-indication classique : association aux dérivés de l'ergot de seigle (ergotisme) ; inhibiteurs enzymatiques (CYP3A4) sauf azithromycine.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2021N Q33, 2023N Q31, 2024Exc Q31, 2024R Q33, 2025N Q47</w:t>
      </w:r>
    </w:p>
    <w:p>
      <w:pPr>
        <w:pStyle w:val="Heading1"/>
        <w:pBdr>
          <w:bottom w:val="single" w:color="1F3A5F" w:sz="12" w:space="4"/>
        </w:pBdr>
        <w:spacing w:after="200" w:before="360"/>
      </w:pPr>
      <w:r>
        <w:rPr>
          <w:rFonts w:ascii="Arial" w:cs="Arial" w:eastAsia="Arial" w:hAnsi="Arial"/>
          <w:b/>
          <w:bCs/>
          <w:color w:val="1F3A5F"/>
          <w:sz w:val="32"/>
          <w:szCs w:val="32"/>
        </w:rPr>
        <w:t xml:space="preserve">[RANG 33] GLYCOPEPTIDES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i/>
          <w:iCs/>
          <w:color w:val="8B0000"/>
          <w:sz w:val="22"/>
          <w:szCs w:val="22"/>
        </w:rPr>
        <w:t xml:space="preserve">—  •  ~0.33 Q/examen (5 Q sur 15 sessions)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Glycopeptides (vancomycine, teicoplanine)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Bactéricides ; inhibent la synthèse du peptidoglycane (à une étape différente des β-lactamines) ; spectre Gram POSITIF uniquement, dont le SARM (++).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Administration IV (la voie orale n'est utilisée que pour la colite à C. difficile, action locale digestive).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Pièges : INACTIFS sur les bacilles à Gram négatif ; pas d'absorption digestive ; néphrotoxiques (surveillance des taux = STP).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2021N Q30-31, 2024Exc Q29, 2024N Q30, 2024R Q30</w:t>
      </w:r>
    </w:p>
    <w:p>
      <w:pPr>
        <w:pStyle w:val="Heading1"/>
        <w:pBdr>
          <w:bottom w:val="single" w:color="1F3A5F" w:sz="12" w:space="4"/>
        </w:pBdr>
        <w:spacing w:after="200" w:before="360"/>
      </w:pPr>
      <w:r>
        <w:rPr>
          <w:rFonts w:ascii="Arial" w:cs="Arial" w:eastAsia="Arial" w:hAnsi="Arial"/>
          <w:b/>
          <w:bCs/>
          <w:color w:val="1F3A5F"/>
          <w:sz w:val="32"/>
          <w:szCs w:val="32"/>
        </w:rPr>
        <w:t xml:space="preserve">[RANG 34] QUESTIONS INCLASSIFIABLES (RECOUPE CARDIO + CORTICOÏDES)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i/>
          <w:iCs/>
          <w:color w:val="8B0000"/>
          <w:sz w:val="22"/>
          <w:szCs w:val="22"/>
        </w:rPr>
        <w:t xml:space="preserve">—  •  ~0.27 Q/examen (4 Q sur 15 sessions)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Items isolés (recoupent cardio + corticoïdes)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AVK : INR à 2,8 (dans la cible 2-3) → maintenir la même dose. Thiénopyridines (clopidogrel) : AOMI, après angioplastie/stent.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Apixaban (AOD) : contre-indiqué en cas d'insuffisance rénale sévère.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Corticoïdes : l'effet minéralocorticoïde augmente l'excrétion rénale du POTASSIUM (→ hypokaliémie) et la rétention sodée.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Ces questions renvoient aux fiches cardio (antithrombotiques) et anti-inflammatoires (corticoïdes) — à réviser conjointement.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2025N Q26-28, 2025N Q44</w:t>
      </w:r>
    </w:p>
    <w:p>
      <w:pPr>
        <w:pStyle w:val="Heading1"/>
        <w:pBdr>
          <w:bottom w:val="single" w:color="1F3A5F" w:sz="12" w:space="4"/>
        </w:pBdr>
        <w:spacing w:after="200" w:before="360"/>
      </w:pPr>
      <w:r>
        <w:rPr>
          <w:rFonts w:ascii="Arial" w:cs="Arial" w:eastAsia="Arial" w:hAnsi="Arial"/>
          <w:b/>
          <w:bCs/>
          <w:color w:val="1F3A5F"/>
          <w:sz w:val="32"/>
          <w:szCs w:val="32"/>
        </w:rPr>
        <w:t xml:space="preserve">[RANG 35] ANTIFONGIQUES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i/>
          <w:iCs/>
          <w:color w:val="8B0000"/>
          <w:sz w:val="22"/>
          <w:szCs w:val="22"/>
        </w:rPr>
        <w:t xml:space="preserve">—  •  ~0.27 Q/examen (4 Q sur 15 sessions)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Antifongiques systémiques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Fluconazole (azolé) : agit sur la membrane fongique (inhibition de la synthèse de l'ergostérol) ; voie orale + IV ; actif sur Candida albicans et la cryptococcose neuroméningée (BONNE diffusion dans le LCR) ; élimination URINAIRE.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Amphotéricine B (forme liposomale) : IV ; mauvaise absorption digestive ; large spectre mais néphrotoxique.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Pièges : le fluconazole n'est PAS actif sur l'aspergillus ; son élimination est urinaire (pas biliaire). À distinguer de l'amphotéricine B (diffusion LCR médiocre — voir « clé discutable » en divers infectieuse).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2018N Q28, 2024Exc Q32, 2024R Q32, 2025N Q49</w:t>
      </w:r>
    </w:p>
    <w:p>
      <w:pPr>
        <w:pStyle w:val="Heading1"/>
        <w:pBdr>
          <w:bottom w:val="single" w:color="1F3A5F" w:sz="12" w:space="4"/>
        </w:pBdr>
        <w:spacing w:after="200" w:before="360"/>
      </w:pPr>
      <w:r>
        <w:rPr>
          <w:rFonts w:ascii="Arial" w:cs="Arial" w:eastAsia="Arial" w:hAnsi="Arial"/>
          <w:b/>
          <w:bCs/>
          <w:color w:val="1F3A5F"/>
          <w:sz w:val="32"/>
          <w:szCs w:val="32"/>
        </w:rPr>
        <w:t xml:space="preserve">[RANG 36] SULFAMIDES (COTRIMOXAZOLE)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i/>
          <w:iCs/>
          <w:color w:val="8B0000"/>
          <w:sz w:val="22"/>
          <w:szCs w:val="22"/>
        </w:rPr>
        <w:t xml:space="preserve">—  •  ~0.27 Q/examen (4 Q sur 15 sessions)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Cotrimoxazole (sulfaméthoxazole + triméthoprime)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Association SYNERGIQUE (blocage séquentiel de la synthèse des folates) ; bonne diffusion prostatique et dans le LCR.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Indications : Pneumocystis jirovecii (référence), listériose, fièvre typhoïde, infections urinaires.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Toxicité : hématologique (cytopénies), cutanée (Lyell/Stevens-Johnson).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Contre-indications : déficit en G6PD (hémolyse), nouveau-né (ictère nucléaire), grossesse (3e trimestre).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2018N Q30, 2019R Q32, 2022N Q32, 2023R Q30</w:t>
      </w:r>
    </w:p>
    <w:p>
      <w:pPr>
        <w:pStyle w:val="Heading1"/>
        <w:pBdr>
          <w:bottom w:val="single" w:color="1F3A5F" w:sz="12" w:space="4"/>
        </w:pBdr>
        <w:spacing w:after="200" w:before="360"/>
      </w:pPr>
      <w:r>
        <w:rPr>
          <w:rFonts w:ascii="Arial" w:cs="Arial" w:eastAsia="Arial" w:hAnsi="Arial"/>
          <w:b/>
          <w:bCs/>
          <w:color w:val="1F3A5F"/>
          <w:sz w:val="32"/>
          <w:szCs w:val="32"/>
        </w:rPr>
        <w:t xml:space="preserve">[RANG 37] CYCLINES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i/>
          <w:iCs/>
          <w:color w:val="8B0000"/>
          <w:sz w:val="22"/>
          <w:szCs w:val="22"/>
        </w:rPr>
        <w:t xml:space="preserve">—  •  ~0.2 Q/examen (3 Q sur 15 sessions)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Cyclines (doxycycline)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Bactériostatiques ; inhibition de la synthèse protéique sur la sous-unité 30S ; actifs en intra- ET extracellulaire ; spectre large incluant les germes atypiques et les rickettsies (fièvre boutonneuse méditerranéenne).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Effet indésirable caractéristique : photosensibilité ; absorption diminuée par les anti-acides/cations (chélation).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Contre-indiqués chez l'enfant &lt;8 ans (coloration dentaire), pendant la grossesse et l'allaitement.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2019N Q31, 2021R Q33, 2023R Q33</w:t>
      </w:r>
    </w:p>
    <w:p>
      <w:pPr>
        <w:pStyle w:val="Heading1"/>
        <w:pBdr>
          <w:bottom w:val="single" w:color="1F3A5F" w:sz="12" w:space="4"/>
        </w:pBdr>
        <w:spacing w:after="200" w:before="360"/>
      </w:pPr>
      <w:r>
        <w:rPr>
          <w:rFonts w:ascii="Arial" w:cs="Arial" w:eastAsia="Arial" w:hAnsi="Arial"/>
          <w:b/>
          <w:bCs/>
          <w:color w:val="1F3A5F"/>
          <w:sz w:val="32"/>
          <w:szCs w:val="32"/>
        </w:rPr>
        <w:t xml:space="preserve">[RANG 38] QUINOLONES / FLUOROQUINOLONES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i/>
          <w:iCs/>
          <w:color w:val="8B0000"/>
          <w:sz w:val="22"/>
          <w:szCs w:val="22"/>
        </w:rPr>
        <w:t xml:space="preserve">—  •  ~0.2 Q/examen (3 Q sur 15 sessions)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Fluoroquinolones (ciprofloxacine, lévofloxacine)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Bactéricides CONCENTRATION-dépendants ; inhibent l'ADN-gyrase (topoisomérase II) ; excellente absorption orale et diffusion prostatique.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Lévofloxacine (3e génération) = antipneumococcique ; la ciprofloxacine (2e génération) ne l'est PAS (active surtout sur les BGN, dont Pseudomonas).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Effets indésirables classiques : tendinopathie / rupture tendineuse (tendon d'Achille), photosensibilité, allongement du QT.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2018N Q29, 2019R Q31, 2021R Q32</w:t>
      </w:r>
    </w:p>
    <w:p>
      <w:pPr>
        <w:pStyle w:val="Heading1"/>
        <w:pBdr>
          <w:bottom w:val="single" w:color="1F3A5F" w:sz="12" w:space="4"/>
        </w:pBdr>
        <w:spacing w:after="200" w:before="360"/>
      </w:pPr>
      <w:r>
        <w:rPr>
          <w:rFonts w:ascii="Arial" w:cs="Arial" w:eastAsia="Arial" w:hAnsi="Arial"/>
          <w:b/>
          <w:bCs/>
          <w:color w:val="1F3A5F"/>
          <w:sz w:val="32"/>
          <w:szCs w:val="32"/>
        </w:rPr>
        <w:t xml:space="preserve">[RANG 39] ANTISPASMODIQUES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i/>
          <w:iCs/>
          <w:color w:val="8B0000"/>
          <w:sz w:val="22"/>
          <w:szCs w:val="22"/>
        </w:rPr>
        <w:t xml:space="preserve">—  •  ~0.13 Q/examen (2 Q sur 15 sessions)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Antispasmodiques musculotropes (phloroglucinol, mébévérine)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Action directe sur la fibre musculaire LISSE (digestive et génito-urinaire), indépendante du récepteur muscarinique.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Indications : spasmes digestifs, coliques. Bien tolérés ; alternative quand les anticholinergiques sont contre-indiqués (glaucome, adénome prostatique).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À distinguer des antispasmodiques ANTICHOLINERGIQUES (atropiniques), qui partagent les contre-indications de l'atropine.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2023R Q45, 2024R Q45</w:t>
      </w:r>
    </w:p>
    <w:p>
      <w:pPr>
        <w:pStyle w:val="Heading1"/>
        <w:pBdr>
          <w:bottom w:val="single" w:color="1F3A5F" w:sz="12" w:space="4"/>
        </w:pBdr>
        <w:spacing w:after="200" w:before="360"/>
      </w:pPr>
      <w:r>
        <w:rPr>
          <w:rFonts w:ascii="Arial" w:cs="Arial" w:eastAsia="Arial" w:hAnsi="Arial"/>
          <w:b/>
          <w:bCs/>
          <w:color w:val="1F3A5F"/>
          <w:sz w:val="32"/>
          <w:szCs w:val="32"/>
        </w:rPr>
        <w:t xml:space="preserve">[RANG 40] LES INHIBITEURS CALCIQUES (ITEM ISOLÉ)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i/>
          <w:iCs/>
          <w:color w:val="8B0000"/>
          <w:sz w:val="22"/>
          <w:szCs w:val="22"/>
        </w:rPr>
        <w:t xml:space="preserve">—  •  ~0.07 Q/examen (1 Q sur 15 sessions)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Inhibiteurs calciques (item isolé — voir aussi bloc cardio)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Dihydropyridines (amlodipine, nicardipine) : vasodilatateurs artériels périphériques → effet indésirable = ŒDÈMES des membres inférieurs, céphalées, flush ; pas d'effet bradycardisant.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Non-dihydropyridines (vérapamil, diltiazem) : effet cardiaque (bradycardisant, inotrope négatif) → non privilégiés dans l'insuffisance cardiaque systolique.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Piège : les dihydropyridines ne sont PAS bradycardisantes (réflexe : tachycardie possible) ; ne pas associer vérapamil/diltiazem aux β-bloquants (risque de BAV).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: 2026N Q41</w:t>
      </w:r>
    </w:p>
    <w:p>
      <w:r>
        <w:br w:type="page"/>
      </w:r>
    </w:p>
    <w:p>
      <w:pPr>
        <w:pBdr>
          <w:top w:val="single" w:color="991B1B" w:sz="8"/>
          <w:bottom w:val="single" w:color="991B1B" w:sz="8"/>
        </w:pBdr>
        <w:shd w:fill="991B1B" w:val="clear"/>
        <w:spacing w:after="120" w:before="240"/>
        <w:jc w:val="center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PARTIE 4 — TOPICS HORS LEÇONS OFFICIELLES 2026 (COURS ANNULÉ)</w:t>
      </w:r>
    </w:p>
    <w:p>
      <w:pPr>
        <w:pBdr>
          <w:top w:val="single" w:color="991B1B" w:sz="16"/>
          <w:bottom w:val="single" w:color="991B1B" w:sz="16"/>
          <w:left w:val="single" w:color="991B1B" w:sz="16"/>
          <w:right w:val="single" w:color="991B1B" w:sz="16"/>
        </w:pBdr>
        <w:shd w:fill="FEF2F2" w:val="clear"/>
        <w:spacing w:after="80" w:before="200"/>
        <w:jc w:val="center"/>
      </w:pPr>
      <w:r>
        <w:rPr>
          <w:rFonts w:ascii="Arial" w:cs="Arial" w:eastAsia="Arial" w:hAnsi="Arial"/>
          <w:b/>
          <w:bCs/>
          <w:color w:val="991B1B"/>
          <w:sz w:val="26"/>
          <w:szCs w:val="26"/>
        </w:rPr>
        <w:t xml:space="preserve">⚠ DISCLAIMER — À LIRE AVANT D'UTILISER CETTE SECTION ⚠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991B1B"/>
          <w:sz w:val="22"/>
          <w:szCs w:val="22"/>
        </w:rPr>
        <w:t xml:space="preserve">These lessons are NOT in the 2026 exam program.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991B1B"/>
          <w:sz w:val="22"/>
          <w:szCs w:val="22"/>
        </w:rPr>
        <w:t xml:space="preserve">Cours annulé — NOT officially scheduled.</w:t>
      </w:r>
    </w:p>
    <w:p>
      <w:pPr>
        <w:spacing w:after="120" w:before="8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991B1B"/>
          <w:sz w:val="24"/>
          <w:szCs w:val="24"/>
        </w:rPr>
        <w:t xml:space="preserve">USE AT YOUR OWN RISK — BUT GOOD TO KNOW.</w:t>
      </w:r>
    </w:p>
    <w:p>
      <w:pPr>
        <w:spacing w:after="60" w:before="12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0"/>
          <w:szCs w:val="20"/>
        </w:rPr>
        <w:t xml:space="preserve">Ces topics représentaient historiquement ~0% des questions des examens passés. S'ils ne sont PAS au programme cette année, ils peuvent malgré tout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Apparaître en question résiduelle ou rattrapage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Être recyclés à la dernière minute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Servir de "culture générale" médicale</w:t>
      </w:r>
    </w:p>
    <w:p>
      <w:pPr>
        <w:spacing w:after="60" w:before="20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404040"/>
          <w:sz w:val="20"/>
          <w:szCs w:val="20"/>
        </w:rPr>
        <w:t xml:space="preserve">(Aucun topic hors programme — tous les topics correspondent aux leçons officielles cette année.)</w:t>
      </w:r>
    </w:p>
    <w:p>
      <w:r>
        <w:br w:type="page"/>
      </w:r>
    </w:p>
    <w:p>
      <w:pPr>
        <w:pBdr>
          <w:top w:val="single" w:color="1F3A5F" w:sz="8"/>
          <w:bottom w:val="single" w:color="1F3A5F" w:sz="8"/>
        </w:pBdr>
        <w:shd w:fill="1F3A5F" w:val="clear"/>
        <w:spacing w:after="120" w:before="240"/>
        <w:jc w:val="center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AIDE-MÉMOIRE FINAL — HIGH-YIELD CONCOURS PHARMACOLOGIE &amp; TOXICOLOGIE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8B0000"/>
          <w:sz w:val="26"/>
          <w:szCs w:val="26"/>
        </w:rPr>
        <w:t xml:space="preserve">** CLASSIFICATIONS &amp; PALIERS À RETENIR **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Paliers OMS des antalgiques</w:t>
            </w:r>
          </w:p>
        </w:tc>
        <w:tc>
          <w:tcPr>
            <w:tcW w:type="dxa" w:w="46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1 = paracétamol / néfopam / AINS ; 2 = codéine / tramadol ; 3 = morphine et opioïdes forts</w:t>
            </w:r>
          </w:p>
        </w:tc>
      </w:tr>
      <w:tr>
        <w:tc>
          <w:tcPr>
            <w:tcW w:type="dxa" w:w="46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Antiépileptiques</w:t>
            </w:r>
          </w:p>
        </w:tc>
        <w:tc>
          <w:tcPr>
            <w:tcW w:type="dxa" w:w="46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1re génération = phénobarbital, phénytoïne, carbamazépine, valproate, éthosuximide ; nouvelle = lamotrigine, gabapentine, vigabatrin, lévétiracétam…</w:t>
            </w:r>
          </w:p>
        </w:tc>
      </w:tr>
      <w:tr>
        <w:tc>
          <w:tcPr>
            <w:tcW w:type="dxa" w:w="46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Diurétiques (par site)</w:t>
            </w:r>
          </w:p>
        </w:tc>
        <w:tc>
          <w:tcPr>
            <w:tcW w:type="dxa" w:w="46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Proximaux (acétazolamide, mannitol) → anse (furosémide) → thiazidiques → distaux épargneurs de K (spironolactone, amiloride)</w:t>
            </w:r>
          </w:p>
        </w:tc>
      </w:tr>
      <w:tr>
        <w:tc>
          <w:tcPr>
            <w:tcW w:type="dxa" w:w="46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Listes de prescription</w:t>
            </w:r>
          </w:p>
        </w:tc>
        <w:tc>
          <w:tcPr>
            <w:tcW w:type="dxa" w:w="46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Liste I (cadre rouge), Liste II (cadre vert), Stupéfiants (ordonnance sécurisée, durée limitée)</w:t>
            </w:r>
          </w:p>
        </w:tc>
      </w:tr>
      <w:tr>
        <w:tc>
          <w:tcPr>
            <w:tcW w:type="dxa" w:w="46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Phases des essais cliniques</w:t>
            </w:r>
          </w:p>
        </w:tc>
        <w:tc>
          <w:tcPr>
            <w:tcW w:type="dxa" w:w="46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I = tolérance (volontaires sains) ; II = efficacité/dose ; III = comparatif vs référence (grande échelle) ; IV = post-AMM / pharmacovigilance</w:t>
            </w:r>
          </w:p>
        </w:tc>
      </w:tr>
      <w:tr>
        <w:tc>
          <w:tcPr>
            <w:tcW w:type="dxa" w:w="46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Insulines</w:t>
            </w:r>
          </w:p>
        </w:tc>
        <w:tc>
          <w:tcPr>
            <w:tcW w:type="dxa" w:w="46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Rapides/analogues (lispro, aspart, glulisine) vs lentes (glargine, détémir, NPH)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8B0000"/>
          <w:sz w:val="26"/>
          <w:szCs w:val="26"/>
        </w:rPr>
        <w:t xml:space="preserve">** MÉCANISMES D'ACTION CLÉS (par classe) **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rPr>
          <w:tblHeader/>
        </w:trPr>
        <w:tc>
          <w:tcPr>
            <w:tcW w:type="dxa" w:w="4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Marqueur / Critère</w:t>
            </w:r>
          </w:p>
        </w:tc>
        <w:tc>
          <w:tcPr>
            <w:tcW w:type="dxa" w:w="4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Indication</w:t>
            </w:r>
          </w:p>
        </w:tc>
      </w:tr>
      <w:tr>
        <w:tc>
          <w:tcPr>
            <w:tcW w:type="dxa" w:w="4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β-lactamines / glycopeptides</w:t>
            </w:r>
          </w:p>
        </w:tc>
        <w:tc>
          <w:tcPr>
            <w:tcW w:type="dxa" w:w="4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Inhibition de la synthèse de la paroi (peptidoglycane / PLP) — temps-dépendant</w:t>
            </w:r>
          </w:p>
        </w:tc>
      </w:tr>
      <w:tr>
        <w:tc>
          <w:tcPr>
            <w:tcW w:type="dxa" w:w="4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Aminosides / cyclines / macrolides</w:t>
            </w:r>
          </w:p>
        </w:tc>
        <w:tc>
          <w:tcPr>
            <w:tcW w:type="dxa" w:w="4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Inhibition de la synthèse protéique : 30S (aminosides, cyclines) ; 50S (macrolides)</w:t>
            </w:r>
          </w:p>
        </w:tc>
      </w:tr>
      <w:tr>
        <w:tc>
          <w:tcPr>
            <w:tcW w:type="dxa" w:w="4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Fluoroquinolones</w:t>
            </w:r>
          </w:p>
        </w:tc>
        <w:tc>
          <w:tcPr>
            <w:tcW w:type="dxa" w:w="4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Inhibition de l'ADN-gyrase — concentration-dépendant</w:t>
            </w:r>
          </w:p>
        </w:tc>
      </w:tr>
      <w:tr>
        <w:tc>
          <w:tcPr>
            <w:tcW w:type="dxa" w:w="4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Métronidazole / sulfamides</w:t>
            </w:r>
          </w:p>
        </w:tc>
        <w:tc>
          <w:tcPr>
            <w:tcW w:type="dxa" w:w="4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Métronidazole → acides nucléiques (anaérobies) ; cotrimoxazole → blocage séquentiel des folates</w:t>
            </w:r>
          </w:p>
        </w:tc>
      </w:tr>
      <w:tr>
        <w:tc>
          <w:tcPr>
            <w:tcW w:type="dxa" w:w="4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IPP</w:t>
            </w:r>
          </w:p>
        </w:tc>
        <w:tc>
          <w:tcPr>
            <w:tcW w:type="dxa" w:w="4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Inhibition IRRÉVERSIBLE de la pompe H+/K+-ATPase pariétale</w:t>
            </w:r>
          </w:p>
        </w:tc>
      </w:tr>
      <w:tr>
        <w:tc>
          <w:tcPr>
            <w:tcW w:type="dxa" w:w="4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AVK</w:t>
            </w:r>
          </w:p>
        </w:tc>
        <w:tc>
          <w:tcPr>
            <w:tcW w:type="dxa" w:w="4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Inhibition des facteurs vitamine K-dépendants (II, VII, IX, X) — effet retardé, surveillance INR</w:t>
            </w:r>
          </w:p>
        </w:tc>
      </w:tr>
      <w:tr>
        <w:tc>
          <w:tcPr>
            <w:tcW w:type="dxa" w:w="4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Rifampicine</w:t>
            </w:r>
          </w:p>
        </w:tc>
        <w:tc>
          <w:tcPr>
            <w:tcW w:type="dxa" w:w="4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Inhibe l'ARN-polymérase + inducteur enzymatique puissant</w:t>
            </w:r>
          </w:p>
        </w:tc>
      </w:tr>
      <w:tr>
        <w:tc>
          <w:tcPr>
            <w:tcW w:type="dxa" w:w="4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Antifongiques azolés / amphotéricine B</w:t>
            </w:r>
          </w:p>
        </w:tc>
        <w:tc>
          <w:tcPr>
            <w:tcW w:type="dxa" w:w="4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Cible l'ergostérol de la membrane fongique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8B0000"/>
          <w:sz w:val="26"/>
          <w:szCs w:val="26"/>
        </w:rPr>
        <w:t xml:space="preserve">** PIÈGES CLASSIQUES DU CONCOURS **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Morphiniques → CONSTIPATION (jamais « diarrhée ») : piège répété au moins 4 fois.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Synergie = effet de molécules de même sens potentialisé ; potentialisation/addition à distinguer — ne pas confondre avec antagonisme.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Idiosyncrasique ≠ immuno-allergique (l'idiosyncrasique est imprévisible et non immunologique).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La vancomycine n'est PAS une β-lactamine (c'est un glycopeptide).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AINS : fœtotoxiques au 3e trimestre, PAS tératogènes. Héparine : NON tératogène (gros PM). AVK &amp; valproate &amp; IEC : tératogènes.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Carbamazépine, phénobarbital, rifampicine = INDUCTEURS ; le valproate n'est PAS inducteur.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Dihydropyridines = NON bradycardisantes ; ne pas associer vérapamil/diltiazem + β-bloquant.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Surveiller la KALIÉMIE : hyperkaliémie sous IEC/ARA2 et épargneurs de K ; hypokaliémie sous anse/thiazidiques, corticoïdes, laxatifs stimulants.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Résistance NATURELLE ≠ acquisition d'un gène (c'est la résistance ACQUISE).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L'inhibition de la pompe à protons est IRRÉVERSIBLE → explique la prise unique malgré une demi-vie courte.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STP : ne concerne PAS tous les médicaments (seulement marge étroite + variabilité interindividuelle + corrélation conc-effet).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Le STP/adaptation rénale ne modifie pas la biodisponibilité d'une voie IV (100%).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8B0000"/>
          <w:sz w:val="26"/>
          <w:szCs w:val="26"/>
        </w:rPr>
        <w:t xml:space="preserve">** EFFETS INDÉSIRABLES ICONIQUES &amp; ANTIDOTES (TOXICOLOGIE) **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Paracétamol → métabolite NAPQI → antidote N-acétylcystéine (déplétion en glutathion).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Organophosphorés (insecticides) → syndrome cholinergique → atropine + PRALIDOXIME.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Méthanol → toxicité oculaire/acidose → antidote fomépizole (ou éthanol).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Éthylène glycol → cristaux d'oxalate de calcium / IR → fomépizole.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Benzodiazépines → dépression respiratoire → flumazénil. Opioïdes → naloxone.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Rifampicine → urines/sécrétions ORANGE + inducteur enzymatique.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Éthambutol → névrite optique / dyschromatopsie (surveillance ophtalmo).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Aminosides → ototoxicité + néphrotoxicité (surveillance audiométrie + créatinine).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Statines → myalgies / rhabdomyolyse (surveillance CPK) + cytolyse hépatique (bilan hépatique).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Monoxyde de carbone → carboxyhémoglobine → oxygène (normo-/hyperbare).</w:t>
      </w:r>
    </w:p>
    <w:p>
      <w:pPr>
        <w:spacing w:after="60" w:befor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</w:t>
      </w:r>
    </w:p>
    <w:p>
      <w:pPr>
        <w:pBdr>
          <w:top w:val="double" w:color="1F3A5F" w:sz="8" w:space="4"/>
        </w:pBdr>
      </w:pPr>
      <w:r>
        <w:t xml:space="preserve"/>
      </w:r>
    </w:p>
    <w:p>
      <w:pPr>
        <w:spacing w:after="60" w:before="6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18"/>
          <w:szCs w:val="18"/>
        </w:rPr>
        <w:t xml:space="preserve">Généré par Claude.ai (claude-opus-4-8) — Version 1</w:t>
      </w:r>
    </w:p>
    <w:p>
      <w:pPr>
        <w:spacing w:after="60" w:before="6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18"/>
          <w:szCs w:val="18"/>
        </w:rPr>
        <w:t xml:space="preserve">Cross-match 740 QEs officielles × Cours AIO pharmaco générale (882 p.) + pharmaco spécifique (954 p.) + registre AMMPS (DCI Maroc)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i/>
          <w:iCs/>
          <w:color w:val="000000"/>
          <w:sz w:val="18"/>
          <w:szCs w:val="18"/>
        </w:rPr>
        <w:t xml:space="preserve">FMPM — concours 2026 (module Pharmacologie &amp; Toxicologie, S6)</w:t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65F46"/>
          <w:sz w:val="20"/>
          <w:szCs w:val="20"/>
        </w:rPr>
        <w:t xml:space="preserve">Améliorations Version 1 :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65F46"/>
          <w:sz w:val="18"/>
          <w:szCs w:val="18"/>
        </w:rPr>
        <w:t xml:space="preserve">✓ Banque de 740 QE analysée sur 15 sessions (2018→2026), 40 thèmes ; aucune question écartée (parseur tolérant).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65F46"/>
          <w:sz w:val="18"/>
          <w:szCs w:val="18"/>
        </w:rPr>
        <w:t xml:space="preserve">✓ Les citations renvoient uniquement à des sessions/numéros réels du corpus fourni.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65F46"/>
          <w:sz w:val="18"/>
          <w:szCs w:val="18"/>
        </w:rPr>
        <w:t xml:space="preserve">✓ Contenu synthétisé à partir des corrections officielles ; les rares erreurs probables des clés sont signalées « clé discutable » avec la médecine correcte (ex. amphotéricine B / BHM en « divers infectieuse »).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65F46"/>
          <w:sz w:val="18"/>
          <w:szCs w:val="18"/>
        </w:rPr>
        <w:t xml:space="preserve">✓ Session « 2024 Exceptionnel » sans corrections officielles dans la source : réponses reconstituées d'après la médecine non ambiguë.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65F46"/>
          <w:sz w:val="18"/>
          <w:szCs w:val="18"/>
        </w:rPr>
        <w:t xml:space="preserve">✓ DCI/spécialités ancrées sur le registre AMMPS Maroc fourni ; cours AIO pharmaco générale + spécifique utilisés pour la synthèse.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65F46"/>
          <w:sz w:val="18"/>
          <w:szCs w:val="18"/>
        </w:rPr>
        <w:t xml:space="preserve">✓ PARTIE 4 (hors-programme) laissée vide faute de liste officielle des leçons annulées 2026 — voir l'avertissement obligatoire ; aucune annulation n'est déduite de la fréquence.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65F46"/>
          <w:sz w:val="18"/>
          <w:szCs w:val="18"/>
        </w:rPr>
        <w:t xml:space="preserve">✓ Liens cliquables par leçon en attente de la liste officielle des URL de cours FMPM (non fournie) — d'où l'absence de liens dans cette version.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65F46"/>
          <w:sz w:val="18"/>
          <w:szCs w:val="18"/>
        </w:rPr>
        <w:t xml:space="preserve">✓ Correctif persistant requis dans le skill : élargir le groupe de capture « session » du parseur (analyze_questions.py) pour accepter les noms de session multi-mots (ex. « toxico pharma s6 2025 »), sinon ces sessions sont muettement perdues.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8B000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PHARMACOLOGIE &amp; TOXICOLOGIE - QE Haute Fréquence</dc:title>
  <dc:creator>Claude.ai</dc:creator>
  <dc:description>Generated by qe-analysis skill</dc:description>
  <cp:lastModifiedBy>Un-named</cp:lastModifiedBy>
  <cp:revision>1</cp:revision>
  <dcterms:created xsi:type="dcterms:W3CDTF">2026-06-13T18:56:28.211Z</dcterms:created>
  <dcterms:modified xsi:type="dcterms:W3CDTF">2026-06-13T18:56:28.211Z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