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235" w:val="clear"/>
          </w:tcPr>
          <w:p>
            <w:pPr>
              <w:spacing w:before="4175"/>
            </w:pPr>
          </w:p>
          <w:p>
            <w:pPr>
              <w:pBdr>
                <w:bottom w:val="single" w:color="37DCF2" w:sz="6" w:space="8"/>
              </w:pBdr>
              <w:spacing w:after="500"/>
              <w:ind w:left="1200" w:right="800"/>
            </w:pPr>
            <w:r>
              <w:rPr>
                <w:rFonts w:ascii="Calibri" w:eastAsia="SimHei"/>
                <w:color w:val="37DCF2"/>
                <w:spacing w:val="40"/>
                <w:sz w:val="18"/>
                <w:szCs w:val="18"/>
              </w:rPr>
              <w:t xml:space="preserve">S  Y  S  T  E  M     D  O  C  U  M  E  N  T  A  T  I  O  N</w:t>
            </w:r>
          </w:p>
          <w:p>
            <w:pPr>
              <w:spacing w:after="100" w:line="828" w:lineRule="atLeast"/>
              <w:ind w:left="1200"/>
            </w:pPr>
            <w:r>
              <w:rPr>
                <w:rFonts w:ascii="Arial" w:eastAsia="SimHei"/>
                <w:b/>
                <w:bCs/>
                <w:color w:val="FFFFFF"/>
                <w:sz w:val="72"/>
                <w:szCs w:val="72"/>
              </w:rPr>
              <w:t xml:space="preserve">MAP-Stibo Master Data</w:t>
            </w:r>
          </w:p>
          <w:p>
            <w:pPr>
              <w:spacing w:after="300" w:line="828" w:lineRule="atLeast"/>
              <w:ind w:left="1200"/>
            </w:pPr>
            <w:r>
              <w:rPr>
                <w:rFonts w:ascii="Arial" w:eastAsia="SimHei"/>
                <w:b/>
                <w:bCs/>
                <w:color w:val="FFFFFF"/>
                <w:sz w:val="72"/>
                <w:szCs w:val="72"/>
              </w:rPr>
              <w:t xml:space="preserve">Integration Platform</w:t>
            </w:r>
          </w:p>
          <w:p>
            <w:pPr>
              <w:spacing w:after="800"/>
              <w:ind w:left="1200"/>
            </w:pPr>
            <w:r>
              <w:rPr>
                <w:rFonts w:ascii="Arial" w:eastAsia="Microsoft YaHei"/>
                <w:color w:val="B0B8C0"/>
                <w:sz w:val="24"/>
                <w:szCs w:val="24"/>
              </w:rPr>
              <w:t xml:space="preserve">Current-State Technical Documentation - Retail Master Data Inbound Pipeline</w:t>
            </w:r>
          </w:p>
          <w:p>
            <w:pPr>
              <w:pBdr>
                <w:left w:val="single" w:color="37DCF2" w:sz="8" w:space="12"/>
              </w:pBdr>
              <w:spacing w:after="80"/>
              <w:ind w:left="1400"/>
            </w:pPr>
            <w:r>
              <w:rPr>
                <w:rFonts w:ascii="Arial" w:eastAsia="Microsoft YaHei"/>
                <w:color w:val="90989F"/>
                <w:sz w:val="24"/>
                <w:szCs w:val="24"/>
              </w:rPr>
              <w:t xml:space="preserve">Prepared for: COE Team - Brand Teams - IT</w:t>
            </w:r>
          </w:p>
          <w:p>
            <w:pPr>
              <w:pBdr>
                <w:left w:val="single" w:color="37DCF2" w:sz="8" w:space="12"/>
              </w:pBdr>
              <w:spacing w:after="80"/>
              <w:ind w:left="1400"/>
            </w:pPr>
            <w:r>
              <w:rPr>
                <w:rFonts w:ascii="Arial" w:eastAsia="Microsoft YaHei"/>
                <w:color w:val="90989F"/>
                <w:sz w:val="24"/>
                <w:szCs w:val="24"/>
              </w:rPr>
              <w:t xml:space="preserve">Version 1.0 (Initial Release)</w:t>
            </w:r>
          </w:p>
          <w:p>
            <w:pPr>
              <w:pBdr>
                <w:left w:val="single" w:color="37DCF2" w:sz="8" w:space="12"/>
              </w:pBdr>
              <w:spacing w:after="80"/>
              <w:ind w:left="1400"/>
            </w:pPr>
            <w:r>
              <w:rPr>
                <w:rFonts w:ascii="Arial" w:eastAsia="Microsoft YaHei"/>
                <w:color w:val="90989F"/>
                <w:sz w:val="24"/>
                <w:szCs w:val="24"/>
              </w:rPr>
              <w:t xml:space="preserve">Date: 7 September 2026</w:t>
            </w:r>
          </w:p>
          <w:p>
            <w:pPr>
              <w:pBdr>
                <w:left w:val="single" w:color="37DCF2" w:sz="8" w:space="12"/>
              </w:pBdr>
              <w:spacing w:after="80"/>
              <w:ind w:left="1400"/>
            </w:pPr>
            <w:r>
              <w:rPr>
                <w:rFonts w:ascii="Arial" w:eastAsia="Microsoft YaHei"/>
                <w:color w:val="90989F"/>
                <w:sz w:val="24"/>
                <w:szCs w:val="24"/>
              </w:rPr>
              <w:t xml:space="preserve">Classification: Internal Use Only</w:t>
            </w:r>
          </w:p>
          <w:p>
            <w:pPr>
              <w:spacing w:before="4175"/>
            </w:pPr>
          </w:p>
          <w:p>
            <w:pPr>
              <w:pBdr>
                <w:top w:val="single" w:color="37DCF2" w:sz="2" w:space="8"/>
              </w:pBdr>
              <w:spacing w:before="200"/>
              <w:ind w:left="1200" w:right="800"/>
            </w:pPr>
            <w:r>
              <w:rPr>
                <w:rFonts w:ascii="Arial"/>
                <w:color w:val="687078"/>
                <w:sz w:val="16"/>
                <w:szCs w:val="16"/>
              </w:rPr>
              <w:t xml:space="preserve">PT. MAP Aktif Adiperkasa Tbk</w:t>
            </w:r>
            <w:r>
              <w:t xml:space="preserve">                                        </w:t>
            </w:r>
            <w:r>
              <w:rPr>
                <w:rFonts w:ascii="Arial"/>
                <w:color w:val="687078"/>
                <w:sz w:val="16"/>
                <w:szCs w:val="16"/>
              </w:rPr>
              <w:t xml:space="preserve">Master Data Integration - September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6324A"/>
          <w:sz w:val="32"/>
          <w:szCs w:val="32"/>
        </w:rPr>
        <w:t xml:space="preserve">Document Control</w:t>
      </w:r>
    </w:p>
    <w:p>
      <w:pPr>
        <w:keepNext/>
        <w:spacing w:after="80" w:before="160" w:line="312"/>
        <w:jc w:val="left"/>
      </w:pPr>
      <w:r>
        <w:rPr>
          <w:rFonts w:ascii="Times New Roman" w:eastAsia="Times New Roman"/>
          <w:b/>
          <w:bCs/>
          <w:color w:val="16324A"/>
          <w:sz w:val="21"/>
          <w:szCs w:val="21"/>
        </w:rPr>
        <w:t xml:space="preserve">Document identification</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Field</w:t>
            </w:r>
          </w:p>
        </w:tc>
        <w:tc>
          <w:tcPr>
            <w:tcW w:type="pct" w:w="7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Value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Document title</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MAP-Stibo Master Data Integration Platform - Current-State Technical Documentation</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Document ID</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MDM-DOC-001</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Version</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1.0 (initial release)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Status</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Issued for review</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Date of issue</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7 September 2026</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Prepared by</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Integration engineering, with AI-assisted code and data analysis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Owner</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 integration engineering lead]</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Classification</w:t>
            </w:r>
          </w:p>
        </w:tc>
        <w:tc>
          <w:tcPr>
            <w:tcW w:type="pct" w:w="7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Internal use only</w:t>
            </w:r>
          </w:p>
        </w:tc>
      </w:tr>
    </w:tbl>
    <w:p>
      <w:pPr>
        <w:spacing w:after="140" w:line="240"/>
      </w:pPr>
      <w:r>
        <w:rPr>
          <w:sz w:val="2"/>
          <w:szCs w:val="2"/>
        </w:rPr>
        <w:t xml:space="preserve"> </w:t>
      </w:r>
    </w:p>
    <w:p>
      <w:pPr>
        <w:keepNext/>
        <w:spacing w:after="80" w:before="160" w:line="312"/>
        <w:jc w:val="left"/>
      </w:pPr>
      <w:r>
        <w:rPr>
          <w:rFonts w:ascii="Times New Roman" w:eastAsia="Times New Roman"/>
          <w:b/>
          <w:bCs/>
          <w:color w:val="16324A"/>
          <w:sz w:val="21"/>
          <w:szCs w:val="21"/>
        </w:rPr>
        <w:t xml:space="preserve">Version history</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1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Version</w:t>
            </w:r>
          </w:p>
        </w:tc>
        <w:tc>
          <w:tcPr>
            <w:tcW w:type="pct" w:w="2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Date</w:t>
            </w:r>
          </w:p>
        </w:tc>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Author</w:t>
            </w:r>
          </w:p>
        </w:tc>
        <w:tc>
          <w:tcPr>
            <w:tcW w:type="pct" w:w="4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Change description</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0.1</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6 September 2026</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Integration engineering</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Initial draft from code and workbook analysis</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1.0</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7 September 2026</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Integration engineering</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Complete manual: 16 chapters, 6 appendices, 5 diagrams; issued for team review</w:t>
            </w:r>
          </w:p>
        </w:tc>
      </w:tr>
      <w:tr>
        <w:trPr>
          <w:cantSplit/>
        </w:trPr>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[next]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[date]</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[author]</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[description of amendment]</w:t>
            </w:r>
          </w:p>
        </w:tc>
      </w:tr>
    </w:tbl>
    <w:p>
      <w:pPr>
        <w:spacing w:after="140" w:line="240"/>
      </w:pPr>
      <w:r>
        <w:rPr>
          <w:sz w:val="2"/>
          <w:szCs w:val="2"/>
        </w:rPr>
        <w:t xml:space="preserve"> </w:t>
      </w:r>
    </w:p>
    <w:p>
      <w:pPr>
        <w:keepNext/>
        <w:spacing w:after="80" w:before="160" w:line="312"/>
        <w:jc w:val="left"/>
      </w:pPr>
      <w:r>
        <w:rPr>
          <w:rFonts w:ascii="Times New Roman" w:eastAsia="Times New Roman"/>
          <w:b/>
          <w:bCs/>
          <w:color w:val="16324A"/>
          <w:sz w:val="21"/>
          <w:szCs w:val="21"/>
        </w:rPr>
        <w:t xml:space="preserve">Review and approval</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Role</w:t>
            </w:r>
          </w:p>
        </w:tc>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Name</w:t>
            </w:r>
          </w:p>
        </w:tc>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Signature</w:t>
            </w:r>
          </w:p>
        </w:tc>
        <w:tc>
          <w:tcPr>
            <w:tcW w:type="pct" w:w="1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Date</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COE team representative</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[name]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team representative</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[name]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IT / integration lead</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[name]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STEP administrator</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[name]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bl>
    <w:p>
      <w:pPr>
        <w:spacing w:after="140" w:line="240"/>
      </w:pPr>
      <w:r>
        <w:rPr>
          <w:sz w:val="2"/>
          <w:szCs w:val="2"/>
        </w:rPr>
        <w:t xml:space="preserve"> </w:t>
      </w:r>
    </w:p>
    <w:p>
      <w:pPr>
        <w:keepNext/>
        <w:spacing w:after="80" w:before="160" w:line="312"/>
        <w:jc w:val="left"/>
      </w:pPr>
      <w:r>
        <w:rPr>
          <w:rFonts w:ascii="Times New Roman" w:eastAsia="Times New Roman"/>
          <w:b/>
          <w:bCs/>
          <w:color w:val="16324A"/>
          <w:sz w:val="21"/>
          <w:szCs w:val="21"/>
        </w:rPr>
        <w:t xml:space="preserve">Distribution and related documents</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2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Item</w:t>
            </w:r>
          </w:p>
        </w:tc>
        <w:tc>
          <w:tcPr>
            <w:tcW w:type="pct" w:w="7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Detail</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Distribution</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COE team; Brand teams; IT and integration engineering; STEP administrator; management (chapters 2, 13, 16)</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Related artefacts</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NEW - Brand mapping files Template.xlsx; Master Data Dictionary (MAA).xlsx; Brand Input files &amp; Naming convention.xlsx; Lambda deployment packages (see Appendix F)</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Maintenance rule</w:t>
            </w:r>
          </w:p>
        </w:tc>
        <w:tc>
          <w:tcPr>
            <w:tcW w:type="pct" w:w="7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This document must be updated whenever a brand handler, routing rule, reference workbook or environment contract changes; Appendix A and D are the fastest-changing parts</w:t>
            </w:r>
          </w:p>
        </w:tc>
      </w:tr>
    </w:tbl>
    <w:p>
      <w:pPr>
        <w:pageBreakBefore/>
        <w:spacing w:after="360" w:before="480"/>
        <w:jc w:val="center"/>
      </w:pPr>
      <w:r>
        <w:rPr>
          <w:rFonts w:ascii="Times New Roman" w:eastAsia="Times New Roman"/>
          <w:b/>
          <w:bCs/>
          <w:color w:val="16324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Introduction</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Purpose of This Document</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Scope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Intended Audience and Reading Paths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Document Conventions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1.5 Source Materials and Documentation Method</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1.6 Business and System Context</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2. System Overview</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2.1 The Solution in One Paragraph</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2.2 Component Inventory</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2.3 End-to-End Architecture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2.4 Design Principles Observed in the Current System</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3. MAP Portal (User Entry Point)</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3.1 Role in the Landscape and User Groups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3.2 Upload Workflow</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3.3 Automated File Naming</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3.4 Write Target and Downstream Effect</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3.5 Documented Assumptions and Open Questions</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4. Naming Convention and File Classification</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4.1 Why the File Name Is an Interface</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4.2 Filename Segment Decoder</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4.3 File Type Taxonomy and Endpoint Mapping</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4.4 Current Practice versus the COE Naming Proposal</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4.5 Supported Input Formats and Conversion</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5. AWS Infrastructure and Routing Layer</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5.1 S3 Storage Layout</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5.2 EventBridge Trigger</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5.3 Lambda Function Inventory</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5.4 Router Behaviour</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5.5 Global File Fan-Out</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5.6 Environment Variables</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5.7 Dependencies and Runtime Characteristics</w:t>
            </w:r>
            <w:r>
              <w:tab/>
            </w:r>
            <w:r>
              <w:fldChar w:fldCharType="begin"/>
            </w:r>
            <w:r>
              <w:instrText xml:space="preserve"> PAGEREF _Toc100032 \h </w:instrText>
            </w:r>
            <w:r>
              <w:fldChar w:fldCharType="separate"/>
            </w:r>
            <w:r>
              <w:t>14</w:t>
            </w:r>
            <w:r>
              <w:fldChar w:fldCharType="end"/>
            </w:r>
          </w:hyperlink>
        </w:p>
        <w:p>
          <w:pPr>
            <w:pStyle w:val="9"/>
            <w:tabs>
              <w:tab w:val="right" w:leader="dot" w:pos="9026"/>
            </w:tabs>
            <w:spacing w:before="120" w:after="60"/>
          </w:pPr>
          <w:hyperlink w:anchor="_Toc100033" w:history="1">
            <w:r>
              <w:rPr>
                <w:rStyle w:val="Hyperlink"/>
              </w:rPr>
              <w:t>6. Inbound Validate and Transform Pipeline</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6.1 Anatomy of a Brand Handler</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6.2 Required Companion Files and the Resume Model</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6.3 Temporary Workspace Conventions</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6.4 Three Generations of ETL Implementation</w:t>
            </w:r>
            <w:r>
              <w:tab/>
            </w:r>
            <w:r>
              <w:fldChar w:fldCharType="begin"/>
            </w:r>
            <w:r>
              <w:instrText xml:space="preserve"> PAGEREF _Toc100037 \h </w:instrText>
            </w:r>
            <w:r>
              <w:fldChar w:fldCharType="separate"/>
            </w:r>
            <w:r>
              <w:t>15</w:t>
            </w:r>
            <w:r>
              <w:fldChar w:fldCharType="end"/>
            </w:r>
          </w:hyperlink>
        </w:p>
        <w:p>
          <w:pPr>
            <w:pStyle w:val="12"/>
            <w:ind w:left="720"/>
            <w:tabs>
              <w:tab w:val="right" w:leader="dot" w:pos="9026"/>
            </w:tabs>
            <w:spacing w:before="120" w:after="60"/>
          </w:pPr>
          <w:hyperlink w:anchor="_Toc100038" w:history="1">
            <w:r>
              <w:rPr>
                <w:rStyle w:val="Hyperlink"/>
              </w:rPr>
              <w:t>6.4.1 Generation 1 - Hard-coded mapping (about two thirds of brands)</w:t>
            </w:r>
            <w:r>
              <w:tab/>
            </w:r>
            <w:r>
              <w:fldChar w:fldCharType="begin"/>
            </w:r>
            <w:r>
              <w:instrText xml:space="preserve"> PAGEREF _Toc100038 \h </w:instrText>
            </w:r>
            <w:r>
              <w:fldChar w:fldCharType="separate"/>
            </w:r>
            <w:r>
              <w:t>16</w:t>
            </w:r>
            <w:r>
              <w:fldChar w:fldCharType="end"/>
            </w:r>
          </w:hyperlink>
        </w:p>
        <w:p>
          <w:pPr>
            <w:pStyle w:val="12"/>
            <w:ind w:left="720"/>
            <w:tabs>
              <w:tab w:val="right" w:leader="dot" w:pos="9026"/>
            </w:tabs>
            <w:spacing w:before="120" w:after="60"/>
          </w:pPr>
          <w:hyperlink w:anchor="_Toc100039" w:history="1">
            <w:r>
              <w:rPr>
                <w:rStyle w:val="Hyperlink"/>
              </w:rPr>
              <w:t>6.4.2 Generation 2 - Mapping-driven engine (ANTA, Birkenstock, Clarks, New Era, Reebok)</w:t>
            </w:r>
            <w:r>
              <w:tab/>
            </w:r>
            <w:r>
              <w:fldChar w:fldCharType="begin"/>
            </w:r>
            <w:r>
              <w:instrText xml:space="preserve"> PAGEREF _Toc100039 \h </w:instrText>
            </w:r>
            <w:r>
              <w:fldChar w:fldCharType="separate"/>
            </w:r>
            <w:r>
              <w:t>16</w:t>
            </w:r>
            <w:r>
              <w:fldChar w:fldCharType="end"/>
            </w:r>
          </w:hyperlink>
        </w:p>
        <w:p>
          <w:pPr>
            <w:pStyle w:val="12"/>
            <w:ind w:left="720"/>
            <w:tabs>
              <w:tab w:val="right" w:leader="dot" w:pos="9026"/>
            </w:tabs>
            <w:spacing w:before="120" w:after="60"/>
          </w:pPr>
          <w:hyperlink w:anchor="_Toc100040" w:history="1">
            <w:r>
              <w:rPr>
                <w:rStyle w:val="Hyperlink"/>
              </w:rPr>
              <w:t>6.4.3 Generation 3 - Multi-file enrichment (Adidas)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6.5 Shared Loaders and the True Cost of Copy-Paste</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6.6 Validation Rules Implemented Today</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6.7 Performance Patterns</w:t>
            </w:r>
            <w:r>
              <w:tab/>
            </w:r>
            <w:r>
              <w:fldChar w:fldCharType="begin"/>
            </w:r>
            <w:r>
              <w:instrText xml:space="preserve"> PAGEREF _Toc100043 \h </w:instrText>
            </w:r>
            <w:r>
              <w:fldChar w:fldCharType="separate"/>
            </w:r>
            <w:r>
              <w:t>17</w:t>
            </w:r>
            <w:r>
              <w:fldChar w:fldCharType="end"/>
            </w:r>
          </w:hyperlink>
        </w:p>
        <w:p>
          <w:pPr>
            <w:pStyle w:val="9"/>
            <w:tabs>
              <w:tab w:val="right" w:leader="dot" w:pos="9026"/>
            </w:tabs>
            <w:spacing w:before="120" w:after="60"/>
          </w:pPr>
          <w:hyperlink w:anchor="_Toc100044" w:history="1">
            <w:r>
              <w:rPr>
                <w:rStyle w:val="Hyperlink"/>
              </w:rPr>
              <w:t>7. Brand ETL Catalog</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7.1 Master Inventory</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7.2 Representative Brand Profiles</w:t>
            </w:r>
            <w:r>
              <w:tab/>
            </w:r>
            <w:r>
              <w:fldChar w:fldCharType="begin"/>
            </w:r>
            <w:r>
              <w:instrText xml:space="preserve"> PAGEREF _Toc100046 \h </w:instrText>
            </w:r>
            <w:r>
              <w:fldChar w:fldCharType="separate"/>
            </w:r>
            <w:r>
              <w:t>18</w:t>
            </w:r>
            <w:r>
              <w:fldChar w:fldCharType="end"/>
            </w:r>
          </w:hyperlink>
        </w:p>
        <w:p>
          <w:pPr>
            <w:pStyle w:val="12"/>
            <w:ind w:left="720"/>
            <w:tabs>
              <w:tab w:val="right" w:leader="dot" w:pos="9026"/>
            </w:tabs>
            <w:spacing w:before="120" w:after="60"/>
          </w:pPr>
          <w:hyperlink w:anchor="_Toc100047" w:history="1">
            <w:r>
              <w:rPr>
                <w:rStyle w:val="Hyperlink"/>
              </w:rPr>
              <w:t>7.2.1 Ellesse - the recap reference flow</w:t>
            </w:r>
            <w:r>
              <w:tab/>
            </w:r>
            <w:r>
              <w:fldChar w:fldCharType="begin"/>
            </w:r>
            <w:r>
              <w:instrText xml:space="preserve"> PAGEREF _Toc100047 \h </w:instrText>
            </w:r>
            <w:r>
              <w:fldChar w:fldCharType="separate"/>
            </w:r>
            <w:r>
              <w:t>18</w:t>
            </w:r>
            <w:r>
              <w:fldChar w:fldCharType="end"/>
            </w:r>
          </w:hyperlink>
        </w:p>
        <w:p>
          <w:pPr>
            <w:pStyle w:val="12"/>
            <w:ind w:left="720"/>
            <w:tabs>
              <w:tab w:val="right" w:leader="dot" w:pos="9026"/>
            </w:tabs>
            <w:spacing w:before="120" w:after="60"/>
          </w:pPr>
          <w:hyperlink w:anchor="_Toc100048" w:history="1">
            <w:r>
              <w:rPr>
                <w:rStyle w:val="Hyperlink"/>
              </w:rPr>
              <w:t>7.2.2 Adidas - the multi-file merge</w:t>
            </w:r>
            <w:r>
              <w:tab/>
            </w:r>
            <w:r>
              <w:fldChar w:fldCharType="begin"/>
            </w:r>
            <w:r>
              <w:instrText xml:space="preserve"> PAGEREF _Toc100048 \h </w:instrText>
            </w:r>
            <w:r>
              <w:fldChar w:fldCharType="separate"/>
            </w:r>
            <w:r>
              <w:t>18</w:t>
            </w:r>
            <w:r>
              <w:fldChar w:fldCharType="end"/>
            </w:r>
          </w:hyperlink>
        </w:p>
        <w:p>
          <w:pPr>
            <w:pStyle w:val="12"/>
            <w:ind w:left="720"/>
            <w:tabs>
              <w:tab w:val="right" w:leader="dot" w:pos="9026"/>
            </w:tabs>
            <w:spacing w:before="120" w:after="60"/>
          </w:pPr>
          <w:hyperlink w:anchor="_Toc100049" w:history="1">
            <w:r>
              <w:rPr>
                <w:rStyle w:val="Hyperlink"/>
              </w:rPr>
              <w:t>7.2.3 ANTA and Birkenstock - the mapping-driven engines</w:t>
            </w:r>
            <w:r>
              <w:tab/>
            </w:r>
            <w:r>
              <w:fldChar w:fldCharType="begin"/>
            </w:r>
            <w:r>
              <w:instrText xml:space="preserve"> PAGEREF _Toc100049 \h </w:instrText>
            </w:r>
            <w:r>
              <w:fldChar w:fldCharType="separate"/>
            </w:r>
            <w:r>
              <w:t>18</w:t>
            </w:r>
            <w:r>
              <w:fldChar w:fldCharType="end"/>
            </w:r>
          </w:hyperlink>
        </w:p>
        <w:p>
          <w:pPr>
            <w:pStyle w:val="12"/>
            <w:ind w:left="720"/>
            <w:tabs>
              <w:tab w:val="right" w:leader="dot" w:pos="9026"/>
            </w:tabs>
            <w:spacing w:before="120" w:after="60"/>
          </w:pPr>
          <w:hyperlink w:anchor="_Toc100050" w:history="1">
            <w:r>
              <w:rPr>
                <w:rStyle w:val="Hyperlink"/>
              </w:rPr>
              <w:t>7.2.4 Crocs, implus and PTP - barcode containers</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7.3 Adding a New Brand or File Type Today</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8. Reference Data and Mapping Framework</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8.1 Master Data Dictionary (MAA).xlsx</w:t>
            </w:r>
            <w:r>
              <w:tab/>
            </w:r>
            <w:r>
              <w:fldChar w:fldCharType="begin"/>
            </w:r>
            <w:r>
              <w:instrText xml:space="preserve"> PAGEREF _Toc100053 \h </w:instrText>
            </w:r>
            <w:r>
              <w:fldChar w:fldCharType="separate"/>
            </w:r>
            <w:r>
              <w:t>19</w:t>
            </w:r>
            <w:r>
              <w:fldChar w:fldCharType="end"/>
            </w:r>
          </w:hyperlink>
        </w:p>
        <w:p>
          <w:pPr>
            <w:pStyle w:val="11"/>
            <w:ind w:left="360"/>
            <w:tabs>
              <w:tab w:val="right" w:leader="dot" w:pos="9026"/>
            </w:tabs>
            <w:spacing w:before="120" w:after="60"/>
          </w:pPr>
          <w:hyperlink w:anchor="_Toc100054" w:history="1">
            <w:r>
              <w:rPr>
                <w:rStyle w:val="Hyperlink"/>
              </w:rPr>
              <w:t>8.2 List of Values (LOV) Catalogue</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8.3 RNA Master Lookup</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8.4 Brand Mapping Template Workbook</w:t>
            </w:r>
            <w:r>
              <w:tab/>
            </w:r>
            <w:r>
              <w:fldChar w:fldCharType="begin"/>
            </w:r>
            <w:r>
              <w:instrText xml:space="preserve"> PAGEREF _Toc100056 \h </w:instrText>
            </w:r>
            <w:r>
              <w:fldChar w:fldCharType="separate"/>
            </w:r>
            <w:r>
              <w:t>20</w:t>
            </w:r>
            <w:r>
              <w:fldChar w:fldCharType="end"/>
            </w:r>
          </w:hyperlink>
        </w:p>
        <w:p>
          <w:pPr>
            <w:pStyle w:val="11"/>
            <w:ind w:left="360"/>
            <w:tabs>
              <w:tab w:val="right" w:leader="dot" w:pos="9026"/>
            </w:tabs>
            <w:spacing w:before="120" w:after="60"/>
          </w:pPr>
          <w:hyperlink w:anchor="_Toc100057" w:history="1">
            <w:r>
              <w:rPr>
                <w:rStyle w:val="Hyperlink"/>
              </w:rPr>
              <w:t>8.5 The Ten Mapping Rule Archetypes</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8.6 MD-Mapping Value-Translation Sheets</w:t>
            </w:r>
            <w:r>
              <w:tab/>
            </w:r>
            <w:r>
              <w:fldChar w:fldCharType="begin"/>
            </w:r>
            <w:r>
              <w:instrText xml:space="preserve"> PAGEREF _Toc100058 \h </w:instrText>
            </w:r>
            <w:r>
              <w:fldChar w:fldCharType="separate"/>
            </w:r>
            <w:r>
              <w:t>22</w:t>
            </w:r>
            <w:r>
              <w:fldChar w:fldCharType="end"/>
            </w:r>
          </w:hyperlink>
        </w:p>
        <w:p>
          <w:pPr>
            <w:pStyle w:val="11"/>
            <w:ind w:left="360"/>
            <w:tabs>
              <w:tab w:val="right" w:leader="dot" w:pos="9026"/>
            </w:tabs>
            <w:spacing w:before="120" w:after="60"/>
          </w:pPr>
          <w:hyperlink w:anchor="_Toc100059" w:history="1">
            <w:r>
              <w:rPr>
                <w:rStyle w:val="Hyperlink"/>
              </w:rPr>
              <w:t>8.7 Data-Quality Gaps in the Reference Framework</w:t>
            </w:r>
            <w:r>
              <w:tab/>
            </w:r>
            <w:r>
              <w:fldChar w:fldCharType="begin"/>
            </w:r>
            <w:r>
              <w:instrText xml:space="preserve"> PAGEREF _Toc100059 \h </w:instrText>
            </w:r>
            <w:r>
              <w:fldChar w:fldCharType="separate"/>
            </w:r>
            <w:r>
              <w:t>22</w:t>
            </w:r>
            <w:r>
              <w:fldChar w:fldCharType="end"/>
            </w:r>
          </w:hyperlink>
        </w:p>
        <w:p>
          <w:pPr>
            <w:pStyle w:val="9"/>
            <w:tabs>
              <w:tab w:val="right" w:leader="dot" w:pos="9026"/>
            </w:tabs>
            <w:spacing w:before="120" w:after="60"/>
          </w:pPr>
          <w:hyperlink w:anchor="_Toc100060" w:history="1">
            <w:r>
              <w:rPr>
                <w:rStyle w:val="Hyperlink"/>
              </w:rPr>
              <w:t>9. STEPXML Output Specification</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9.1 Document Root and Namespaces</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9.2 Classification Hierarchy</w:t>
            </w:r>
            <w:r>
              <w:tab/>
            </w:r>
            <w:r>
              <w:fldChar w:fldCharType="begin"/>
            </w:r>
            <w:r>
              <w:instrText xml:space="preserve"> PAGEREF _Toc100062 \h </w:instrText>
            </w:r>
            <w:r>
              <w:fldChar w:fldCharType="separate"/>
            </w:r>
            <w:r>
              <w:t>23</w:t>
            </w:r>
            <w:r>
              <w:fldChar w:fldCharType="end"/>
            </w:r>
          </w:hyperlink>
        </w:p>
        <w:p>
          <w:pPr>
            <w:pStyle w:val="11"/>
            <w:ind w:left="360"/>
            <w:tabs>
              <w:tab w:val="right" w:leader="dot" w:pos="9026"/>
            </w:tabs>
            <w:spacing w:before="120" w:after="60"/>
          </w:pPr>
          <w:hyperlink w:anchor="_Toc100063" w:history="1">
            <w:r>
              <w:rPr>
                <w:rStyle w:val="Hyperlink"/>
              </w:rPr>
              <w:t>9.3 Product and Variant Structure</w:t>
            </w:r>
            <w:r>
              <w:tab/>
            </w:r>
            <w:r>
              <w:fldChar w:fldCharType="begin"/>
            </w:r>
            <w:r>
              <w:instrText xml:space="preserve"> PAGEREF _Toc100063 \h </w:instrText>
            </w:r>
            <w:r>
              <w:fldChar w:fldCharType="separate"/>
            </w:r>
            <w:r>
              <w:t>23</w:t>
            </w:r>
            <w:r>
              <w:fldChar w:fldCharType="end"/>
            </w:r>
          </w:hyperlink>
        </w:p>
        <w:p>
          <w:pPr>
            <w:pStyle w:val="11"/>
            <w:ind w:left="360"/>
            <w:tabs>
              <w:tab w:val="right" w:leader="dot" w:pos="9026"/>
            </w:tabs>
            <w:spacing w:before="120" w:after="60"/>
          </w:pPr>
          <w:hyperlink w:anchor="_Toc100064" w:history="1">
            <w:r>
              <w:rPr>
                <w:rStyle w:val="Hyperlink"/>
              </w:rPr>
              <w:t>9.4 Attribute Values and Multi-Values</w:t>
            </w:r>
            <w:r>
              <w:tab/>
            </w:r>
            <w:r>
              <w:fldChar w:fldCharType="begin"/>
            </w:r>
            <w:r>
              <w:instrText xml:space="preserve"> PAGEREF _Toc100064 \h </w:instrText>
            </w:r>
            <w:r>
              <w:fldChar w:fldCharType="separate"/>
            </w:r>
            <w:r>
              <w:t>23</w:t>
            </w:r>
            <w:r>
              <w:fldChar w:fldCharType="end"/>
            </w:r>
          </w:hyperlink>
        </w:p>
        <w:p>
          <w:pPr>
            <w:pStyle w:val="11"/>
            <w:ind w:left="360"/>
            <w:tabs>
              <w:tab w:val="right" w:leader="dot" w:pos="9026"/>
            </w:tabs>
            <w:spacing w:before="120" w:after="60"/>
          </w:pPr>
          <w:hyperlink w:anchor="_Toc100065" w:history="1">
            <w:r>
              <w:rPr>
                <w:rStyle w:val="Hyperlink"/>
              </w:rPr>
              <w:t>9.5 ID Blank-Out Option</w:t>
            </w:r>
            <w:r>
              <w:tab/>
            </w:r>
            <w:r>
              <w:fldChar w:fldCharType="begin"/>
            </w:r>
            <w:r>
              <w:instrText xml:space="preserve"> PAGEREF _Toc100065 \h </w:instrText>
            </w:r>
            <w:r>
              <w:fldChar w:fldCharType="separate"/>
            </w:r>
            <w:r>
              <w:t>23</w:t>
            </w:r>
            <w:r>
              <w:fldChar w:fldCharType="end"/>
            </w:r>
          </w:hyperlink>
        </w:p>
        <w:p>
          <w:pPr>
            <w:pStyle w:val="9"/>
            <w:tabs>
              <w:tab w:val="right" w:leader="dot" w:pos="9026"/>
            </w:tabs>
            <w:spacing w:before="120" w:after="60"/>
          </w:pPr>
          <w:hyperlink w:anchor="_Toc100066" w:history="1">
            <w:r>
              <w:rPr>
                <w:rStyle w:val="Hyperlink"/>
              </w:rPr>
              <w:t>10. Stibo STEP Integration Layer</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10.1 Authentication - OIDC Client Credentials</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10.2 The IIEP REST Direct Receiver</w:t>
            </w:r>
            <w:r>
              <w:tab/>
            </w:r>
            <w:r>
              <w:fldChar w:fldCharType="begin"/>
            </w:r>
            <w:r>
              <w:instrText xml:space="preserve"> PAGEREF _Toc100068 \h </w:instrText>
            </w:r>
            <w:r>
              <w:fldChar w:fldCharType="separate"/>
            </w:r>
            <w:r>
              <w:t>24</w:t>
            </w:r>
            <w:r>
              <w:fldChar w:fldCharType="end"/>
            </w:r>
          </w:hyperlink>
        </w:p>
        <w:p>
          <w:pPr>
            <w:pStyle w:val="11"/>
            <w:ind w:left="360"/>
            <w:tabs>
              <w:tab w:val="right" w:leader="dot" w:pos="9026"/>
            </w:tabs>
            <w:spacing w:before="120" w:after="60"/>
          </w:pPr>
          <w:hyperlink w:anchor="_Toc100069" w:history="1">
            <w:r>
              <w:rPr>
                <w:rStyle w:val="Hyperlink"/>
              </w:rPr>
              <w:t>10.3 Endpoint Routing</w:t>
            </w:r>
            <w:r>
              <w:tab/>
            </w:r>
            <w:r>
              <w:fldChar w:fldCharType="begin"/>
            </w:r>
            <w:r>
              <w:instrText xml:space="preserve"> PAGEREF _Toc100069 \h </w:instrText>
            </w:r>
            <w:r>
              <w:fldChar w:fldCharType="separate"/>
            </w:r>
            <w:r>
              <w:t>24</w:t>
            </w:r>
            <w:r>
              <w:fldChar w:fldCharType="end"/>
            </w:r>
          </w:hyperlink>
        </w:p>
        <w:p>
          <w:pPr>
            <w:pStyle w:val="11"/>
            <w:ind w:left="360"/>
            <w:tabs>
              <w:tab w:val="right" w:leader="dot" w:pos="9026"/>
            </w:tabs>
            <w:spacing w:before="120" w:after="60"/>
          </w:pPr>
          <w:hyperlink w:anchor="_Toc100070" w:history="1">
            <w:r>
              <w:rPr>
                <w:rStyle w:val="Hyperlink"/>
              </w:rPr>
              <w:t>10.4 Retry and Error Policy</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10.5 Delivery Receipts (bgId)</w:t>
            </w:r>
            <w:r>
              <w:tab/>
            </w:r>
            <w:r>
              <w:fldChar w:fldCharType="begin"/>
            </w:r>
            <w:r>
              <w:instrText xml:space="preserve"> PAGEREF _Toc100071 \h </w:instrText>
            </w:r>
            <w:r>
              <w:fldChar w:fldCharType="separate"/>
            </w:r>
            <w:r>
              <w:t>25</w:t>
            </w:r>
            <w:r>
              <w:fldChar w:fldCharType="end"/>
            </w:r>
          </w:hyperlink>
        </w:p>
        <w:p>
          <w:pPr>
            <w:pStyle w:val="11"/>
            <w:ind w:left="360"/>
            <w:tabs>
              <w:tab w:val="right" w:leader="dot" w:pos="9026"/>
            </w:tabs>
            <w:spacing w:before="120" w:after="60"/>
          </w:pPr>
          <w:hyperlink w:anchor="_Toc100072" w:history="1">
            <w:r>
              <w:rPr>
                <w:rStyle w:val="Hyperlink"/>
              </w:rPr>
              <w:t>10.6 STEP-Side Monitoring and Feedback Surface</w:t>
            </w:r>
            <w:r>
              <w:tab/>
            </w:r>
            <w:r>
              <w:fldChar w:fldCharType="begin"/>
            </w:r>
            <w:r>
              <w:instrText xml:space="preserve"> PAGEREF _Toc100072 \h </w:instrText>
            </w:r>
            <w:r>
              <w:fldChar w:fldCharType="separate"/>
            </w:r>
            <w:r>
              <w:t>25</w:t>
            </w:r>
            <w:r>
              <w:fldChar w:fldCharType="end"/>
            </w:r>
          </w:hyperlink>
        </w:p>
        <w:p>
          <w:pPr>
            <w:pStyle w:val="9"/>
            <w:tabs>
              <w:tab w:val="right" w:leader="dot" w:pos="9026"/>
            </w:tabs>
            <w:spacing w:before="120" w:after="60"/>
          </w:pPr>
          <w:hyperlink w:anchor="_Toc100073" w:history="1">
            <w:r>
              <w:rPr>
                <w:rStyle w:val="Hyperlink"/>
              </w:rPr>
              <w:t>11. End-to-End Flow Walkthroughs</w:t>
            </w:r>
            <w:r>
              <w:tab/>
            </w:r>
            <w:r>
              <w:fldChar w:fldCharType="begin"/>
            </w:r>
            <w:r>
              <w:instrText xml:space="preserve"> PAGEREF _Toc100073 \h </w:instrText>
            </w:r>
            <w:r>
              <w:fldChar w:fldCharType="separate"/>
            </w:r>
            <w:r>
              <w:t>25</w:t>
            </w:r>
            <w:r>
              <w:fldChar w:fldCharType="end"/>
            </w:r>
          </w:hyperlink>
        </w:p>
        <w:p>
          <w:pPr>
            <w:pStyle w:val="11"/>
            <w:ind w:left="360"/>
            <w:tabs>
              <w:tab w:val="right" w:leader="dot" w:pos="9026"/>
            </w:tabs>
            <w:spacing w:before="120" w:after="60"/>
          </w:pPr>
          <w:hyperlink w:anchor="_Toc100074" w:history="1">
            <w:r>
              <w:rPr>
                <w:rStyle w:val="Hyperlink"/>
              </w:rPr>
              <w:t>11.1 Walkthrough A - Brand-Specific Upload (Ellesse Recap, SP2027)</w:t>
            </w:r>
            <w:r>
              <w:tab/>
            </w:r>
            <w:r>
              <w:fldChar w:fldCharType="begin"/>
            </w:r>
            <w:r>
              <w:instrText xml:space="preserve"> PAGEREF _Toc100074 \h </w:instrText>
            </w:r>
            <w:r>
              <w:fldChar w:fldCharType="separate"/>
            </w:r>
            <w:r>
              <w:t>26</w:t>
            </w:r>
            <w:r>
              <w:fldChar w:fldCharType="end"/>
            </w:r>
          </w:hyperlink>
        </w:p>
        <w:p>
          <w:pPr>
            <w:pStyle w:val="11"/>
            <w:ind w:left="360"/>
            <w:tabs>
              <w:tab w:val="right" w:leader="dot" w:pos="9026"/>
            </w:tabs>
            <w:spacing w:before="120" w:after="60"/>
          </w:pPr>
          <w:hyperlink w:anchor="_Toc100075" w:history="1">
            <w:r>
              <w:rPr>
                <w:rStyle w:val="Hyperlink"/>
              </w:rPr>
              <w:t>11.2 Walkthrough B - Global File Fan-Out</w:t>
            </w:r>
            <w:r>
              <w:tab/>
            </w:r>
            <w:r>
              <w:fldChar w:fldCharType="begin"/>
            </w:r>
            <w:r>
              <w:instrText xml:space="preserve"> PAGEREF _Toc100075 \h </w:instrText>
            </w:r>
            <w:r>
              <w:fldChar w:fldCharType="separate"/>
            </w:r>
            <w:r>
              <w:t>28</w:t>
            </w:r>
            <w:r>
              <w:fldChar w:fldCharType="end"/>
            </w:r>
          </w:hyperlink>
        </w:p>
        <w:p>
          <w:pPr>
            <w:pStyle w:val="11"/>
            <w:ind w:left="360"/>
            <w:tabs>
              <w:tab w:val="right" w:leader="dot" w:pos="9026"/>
            </w:tabs>
            <w:spacing w:before="120" w:after="60"/>
          </w:pPr>
          <w:hyperlink w:anchor="_Toc100076" w:history="1">
            <w:r>
              <w:rPr>
                <w:rStyle w:val="Hyperlink"/>
              </w:rPr>
              <w:t>11.3 Walkthrough C - Incomplete Upload and Resume</w:t>
            </w:r>
            <w:r>
              <w:tab/>
            </w:r>
            <w:r>
              <w:fldChar w:fldCharType="begin"/>
            </w:r>
            <w:r>
              <w:instrText xml:space="preserve"> PAGEREF _Toc100076 \h </w:instrText>
            </w:r>
            <w:r>
              <w:fldChar w:fldCharType="separate"/>
            </w:r>
            <w:r>
              <w:t>28</w:t>
            </w:r>
            <w:r>
              <w:fldChar w:fldCharType="end"/>
            </w:r>
          </w:hyperlink>
        </w:p>
        <w:p>
          <w:pPr>
            <w:pStyle w:val="11"/>
            <w:ind w:left="360"/>
            <w:tabs>
              <w:tab w:val="right" w:leader="dot" w:pos="9026"/>
            </w:tabs>
            <w:spacing w:before="120" w:after="60"/>
          </w:pPr>
          <w:hyperlink w:anchor="_Toc100077" w:history="1">
            <w:r>
              <w:rPr>
                <w:rStyle w:val="Hyperlink"/>
              </w:rPr>
              <w:t>11.4 Walkthrough D - Delivery Lambda Mechanics</w:t>
            </w:r>
            <w:r>
              <w:tab/>
            </w:r>
            <w:r>
              <w:fldChar w:fldCharType="begin"/>
            </w:r>
            <w:r>
              <w:instrText xml:space="preserve"> PAGEREF _Toc100077 \h </w:instrText>
            </w:r>
            <w:r>
              <w:fldChar w:fldCharType="separate"/>
            </w:r>
            <w:r>
              <w:t>28</w:t>
            </w:r>
            <w:r>
              <w:fldChar w:fldCharType="end"/>
            </w:r>
          </w:hyperlink>
        </w:p>
        <w:p>
          <w:pPr>
            <w:pStyle w:val="9"/>
            <w:tabs>
              <w:tab w:val="right" w:leader="dot" w:pos="9026"/>
            </w:tabs>
            <w:spacing w:before="120" w:after="60"/>
          </w:pPr>
          <w:hyperlink w:anchor="_Toc100078" w:history="1">
            <w:r>
              <w:rPr>
                <w:rStyle w:val="Hyperlink"/>
              </w:rPr>
              <w:t>12. Observability, Logging and Traceability</w:t>
            </w:r>
            <w:r>
              <w:tab/>
            </w:r>
            <w:r>
              <w:fldChar w:fldCharType="begin"/>
            </w:r>
            <w:r>
              <w:instrText xml:space="preserve"> PAGEREF _Toc100078 \h </w:instrText>
            </w:r>
            <w:r>
              <w:fldChar w:fldCharType="separate"/>
            </w:r>
            <w:r>
              <w:t>29</w:t>
            </w:r>
            <w:r>
              <w:fldChar w:fldCharType="end"/>
            </w:r>
          </w:hyperlink>
        </w:p>
        <w:p>
          <w:pPr>
            <w:pStyle w:val="11"/>
            <w:ind w:left="360"/>
            <w:tabs>
              <w:tab w:val="right" w:leader="dot" w:pos="9026"/>
            </w:tabs>
            <w:spacing w:before="120" w:after="60"/>
          </w:pPr>
          <w:hyperlink w:anchor="_Toc100079" w:history="1">
            <w:r>
              <w:rPr>
                <w:rStyle w:val="Hyperlink"/>
              </w:rPr>
              <w:t>12.1 The Audit Document</w:t>
            </w:r>
            <w:r>
              <w:tab/>
            </w:r>
            <w:r>
              <w:fldChar w:fldCharType="begin"/>
            </w:r>
            <w:r>
              <w:instrText xml:space="preserve"> PAGEREF _Toc100079 \h </w:instrText>
            </w:r>
            <w:r>
              <w:fldChar w:fldCharType="separate"/>
            </w:r>
            <w:r>
              <w:t>29</w:t>
            </w:r>
            <w:r>
              <w:fldChar w:fldCharType="end"/>
            </w:r>
          </w:hyperlink>
        </w:p>
        <w:p>
          <w:pPr>
            <w:pStyle w:val="11"/>
            <w:ind w:left="360"/>
            <w:tabs>
              <w:tab w:val="right" w:leader="dot" w:pos="9026"/>
            </w:tabs>
            <w:spacing w:before="120" w:after="60"/>
          </w:pPr>
          <w:hyperlink w:anchor="_Toc100080" w:history="1">
            <w:r>
              <w:rPr>
                <w:rStyle w:val="Hyperlink"/>
              </w:rPr>
              <w:t>12.2 Log Surfaces</w:t>
            </w:r>
            <w:r>
              <w:tab/>
            </w:r>
            <w:r>
              <w:fldChar w:fldCharType="begin"/>
            </w:r>
            <w:r>
              <w:instrText xml:space="preserve"> PAGEREF _Toc100080 \h </w:instrText>
            </w:r>
            <w:r>
              <w:fldChar w:fldCharType="separate"/>
            </w:r>
            <w:r>
              <w:t>29</w:t>
            </w:r>
            <w:r>
              <w:fldChar w:fldCharType="end"/>
            </w:r>
          </w:hyperlink>
        </w:p>
        <w:p>
          <w:pPr>
            <w:pStyle w:val="11"/>
            <w:ind w:left="360"/>
            <w:tabs>
              <w:tab w:val="right" w:leader="dot" w:pos="9026"/>
            </w:tabs>
            <w:spacing w:before="120" w:after="60"/>
          </w:pPr>
          <w:hyperlink w:anchor="_Toc100081" w:history="1">
            <w:r>
              <w:rPr>
                <w:rStyle w:val="Hyperlink"/>
              </w:rPr>
              <w:t>12.3 Traceability Chain</w:t>
            </w:r>
            <w:r>
              <w:tab/>
            </w:r>
            <w:r>
              <w:fldChar w:fldCharType="begin"/>
            </w:r>
            <w:r>
              <w:instrText xml:space="preserve"> PAGEREF _Toc100081 \h </w:instrText>
            </w:r>
            <w:r>
              <w:fldChar w:fldCharType="separate"/>
            </w:r>
            <w:r>
              <w:t>29</w:t>
            </w:r>
            <w:r>
              <w:fldChar w:fldCharType="end"/>
            </w:r>
          </w:hyperlink>
        </w:p>
        <w:p>
          <w:pPr>
            <w:pStyle w:val="11"/>
            <w:ind w:left="360"/>
            <w:tabs>
              <w:tab w:val="right" w:leader="dot" w:pos="9026"/>
            </w:tabs>
            <w:spacing w:before="120" w:after="60"/>
          </w:pPr>
          <w:hyperlink w:anchor="_Toc100082" w:history="1">
            <w:r>
              <w:rPr>
                <w:rStyle w:val="Hyperlink"/>
              </w:rPr>
              <w:t>12.4 Known Observability Gaps</w:t>
            </w:r>
            <w:r>
              <w:tab/>
            </w:r>
            <w:r>
              <w:fldChar w:fldCharType="begin"/>
            </w:r>
            <w:r>
              <w:instrText xml:space="preserve"> PAGEREF _Toc100082 \h </w:instrText>
            </w:r>
            <w:r>
              <w:fldChar w:fldCharType="separate"/>
            </w:r>
            <w:r>
              <w:t>30</w:t>
            </w:r>
            <w:r>
              <w:fldChar w:fldCharType="end"/>
            </w:r>
          </w:hyperlink>
        </w:p>
        <w:p>
          <w:pPr>
            <w:pStyle w:val="9"/>
            <w:tabs>
              <w:tab w:val="right" w:leader="dot" w:pos="9026"/>
            </w:tabs>
            <w:spacing w:before="120" w:after="60"/>
          </w:pPr>
          <w:hyperlink w:anchor="_Toc100083" w:history="1">
            <w:r>
              <w:rPr>
                <w:rStyle w:val="Hyperlink"/>
              </w:rPr>
              <w:t>13. Known Issues and Technical Debt Register</w:t>
            </w:r>
            <w:r>
              <w:tab/>
            </w:r>
            <w:r>
              <w:fldChar w:fldCharType="begin"/>
            </w:r>
            <w:r>
              <w:instrText xml:space="preserve"> PAGEREF _Toc100083 \h </w:instrText>
            </w:r>
            <w:r>
              <w:fldChar w:fldCharType="separate"/>
            </w:r>
            <w:r>
              <w:t>30</w:t>
            </w:r>
            <w:r>
              <w:fldChar w:fldCharType="end"/>
            </w:r>
          </w:hyperlink>
        </w:p>
        <w:p>
          <w:pPr>
            <w:pStyle w:val="9"/>
            <w:tabs>
              <w:tab w:val="right" w:leader="dot" w:pos="9026"/>
            </w:tabs>
            <w:spacing w:before="120" w:after="60"/>
          </w:pPr>
          <w:hyperlink w:anchor="_Toc100084" w:history="1">
            <w:r>
              <w:rPr>
                <w:rStyle w:val="Hyperlink"/>
              </w:rPr>
              <w:t>14. Security Assessment</w:t>
            </w:r>
            <w:r>
              <w:tab/>
            </w:r>
            <w:r>
              <w:fldChar w:fldCharType="begin"/>
            </w:r>
            <w:r>
              <w:instrText xml:space="preserve"> PAGEREF _Toc100084 \h </w:instrText>
            </w:r>
            <w:r>
              <w:fldChar w:fldCharType="separate"/>
            </w:r>
            <w:r>
              <w:t>30</w:t>
            </w:r>
            <w:r>
              <w:fldChar w:fldCharType="end"/>
            </w:r>
          </w:hyperlink>
        </w:p>
        <w:p>
          <w:pPr>
            <w:pStyle w:val="11"/>
            <w:ind w:left="360"/>
            <w:tabs>
              <w:tab w:val="right" w:leader="dot" w:pos="9026"/>
            </w:tabs>
            <w:spacing w:before="120" w:after="60"/>
          </w:pPr>
          <w:hyperlink w:anchor="_Toc100085" w:history="1">
            <w:r>
              <w:rPr>
                <w:rStyle w:val="Hyperlink"/>
              </w:rPr>
              <w:t>14.1 Posture Today</w:t>
            </w:r>
            <w:r>
              <w:tab/>
            </w:r>
            <w:r>
              <w:fldChar w:fldCharType="begin"/>
            </w:r>
            <w:r>
              <w:instrText xml:space="preserve"> PAGEREF _Toc100085 \h </w:instrText>
            </w:r>
            <w:r>
              <w:fldChar w:fldCharType="separate"/>
            </w:r>
            <w:r>
              <w:t>31</w:t>
            </w:r>
            <w:r>
              <w:fldChar w:fldCharType="end"/>
            </w:r>
          </w:hyperlink>
        </w:p>
        <w:p>
          <w:pPr>
            <w:pStyle w:val="11"/>
            <w:ind w:left="360"/>
            <w:tabs>
              <w:tab w:val="right" w:leader="dot" w:pos="9026"/>
            </w:tabs>
            <w:spacing w:before="120" w:after="60"/>
          </w:pPr>
          <w:hyperlink w:anchor="_Toc100086" w:history="1">
            <w:r>
              <w:rPr>
                <w:rStyle w:val="Hyperlink"/>
              </w:rPr>
              <w:t>14.2 Findings</w:t>
            </w:r>
            <w:r>
              <w:tab/>
            </w:r>
            <w:r>
              <w:fldChar w:fldCharType="begin"/>
            </w:r>
            <w:r>
              <w:instrText xml:space="preserve"> PAGEREF _Toc100086 \h </w:instrText>
            </w:r>
            <w:r>
              <w:fldChar w:fldCharType="separate"/>
            </w:r>
            <w:r>
              <w:t>31</w:t>
            </w:r>
            <w:r>
              <w:fldChar w:fldCharType="end"/>
            </w:r>
          </w:hyperlink>
        </w:p>
        <w:p>
          <w:pPr>
            <w:pStyle w:val="11"/>
            <w:ind w:left="360"/>
            <w:tabs>
              <w:tab w:val="right" w:leader="dot" w:pos="9026"/>
            </w:tabs>
            <w:spacing w:before="120" w:after="60"/>
          </w:pPr>
          <w:hyperlink w:anchor="_Toc100087" w:history="1">
            <w:r>
              <w:rPr>
                <w:rStyle w:val="Hyperlink"/>
              </w:rPr>
              <w:t>14.3 Recommendations</w:t>
            </w:r>
            <w:r>
              <w:tab/>
            </w:r>
            <w:r>
              <w:fldChar w:fldCharType="begin"/>
            </w:r>
            <w:r>
              <w:instrText xml:space="preserve"> PAGEREF _Toc100087 \h </w:instrText>
            </w:r>
            <w:r>
              <w:fldChar w:fldCharType="separate"/>
            </w:r>
            <w:r>
              <w:t>31</w:t>
            </w:r>
            <w:r>
              <w:fldChar w:fldCharType="end"/>
            </w:r>
          </w:hyperlink>
        </w:p>
        <w:p>
          <w:pPr>
            <w:pStyle w:val="9"/>
            <w:tabs>
              <w:tab w:val="right" w:leader="dot" w:pos="9026"/>
            </w:tabs>
            <w:spacing w:before="120" w:after="60"/>
          </w:pPr>
          <w:hyperlink w:anchor="_Toc100088" w:history="1">
            <w:r>
              <w:rPr>
                <w:rStyle w:val="Hyperlink"/>
              </w:rPr>
              <w:t>15. Operational Runbook</w:t>
            </w:r>
            <w:r>
              <w:tab/>
            </w:r>
            <w:r>
              <w:fldChar w:fldCharType="begin"/>
            </w:r>
            <w:r>
              <w:instrText xml:space="preserve"> PAGEREF _Toc100088 \h </w:instrText>
            </w:r>
            <w:r>
              <w:fldChar w:fldCharType="separate"/>
            </w:r>
            <w:r>
              <w:t>31</w:t>
            </w:r>
            <w:r>
              <w:fldChar w:fldCharType="end"/>
            </w:r>
          </w:hyperlink>
        </w:p>
        <w:p>
          <w:pPr>
            <w:pStyle w:val="11"/>
            <w:ind w:left="360"/>
            <w:tabs>
              <w:tab w:val="right" w:leader="dot" w:pos="9026"/>
            </w:tabs>
            <w:spacing w:before="120" w:after="60"/>
          </w:pPr>
          <w:hyperlink w:anchor="_Toc100089" w:history="1">
            <w:r>
              <w:rPr>
                <w:rStyle w:val="Hyperlink"/>
              </w:rPr>
              <w:t>15.1 Daily Operations Checklist</w:t>
            </w:r>
            <w:r>
              <w:tab/>
            </w:r>
            <w:r>
              <w:fldChar w:fldCharType="begin"/>
            </w:r>
            <w:r>
              <w:instrText xml:space="preserve"> PAGEREF _Toc100089 \h </w:instrText>
            </w:r>
            <w:r>
              <w:fldChar w:fldCharType="separate"/>
            </w:r>
            <w:r>
              <w:t>32</w:t>
            </w:r>
            <w:r>
              <w:fldChar w:fldCharType="end"/>
            </w:r>
          </w:hyperlink>
        </w:p>
        <w:p>
          <w:pPr>
            <w:pStyle w:val="11"/>
            <w:ind w:left="360"/>
            <w:tabs>
              <w:tab w:val="right" w:leader="dot" w:pos="9026"/>
            </w:tabs>
            <w:spacing w:before="120" w:after="60"/>
          </w:pPr>
          <w:hyperlink w:anchor="_Toc100090" w:history="1">
            <w:r>
              <w:rPr>
                <w:rStyle w:val="Hyperlink"/>
              </w:rPr>
              <w:t>15.2 Troubleshooting Matrix</w:t>
            </w:r>
            <w:r>
              <w:tab/>
            </w:r>
            <w:r>
              <w:fldChar w:fldCharType="begin"/>
            </w:r>
            <w:r>
              <w:instrText xml:space="preserve"> PAGEREF _Toc100090 \h </w:instrText>
            </w:r>
            <w:r>
              <w:fldChar w:fldCharType="separate"/>
            </w:r>
            <w:r>
              <w:t>32</w:t>
            </w:r>
            <w:r>
              <w:fldChar w:fldCharType="end"/>
            </w:r>
          </w:hyperlink>
        </w:p>
        <w:p>
          <w:pPr>
            <w:pStyle w:val="11"/>
            <w:ind w:left="360"/>
            <w:tabs>
              <w:tab w:val="right" w:leader="dot" w:pos="9026"/>
            </w:tabs>
            <w:spacing w:before="120" w:after="60"/>
          </w:pPr>
          <w:hyperlink w:anchor="_Toc100091" w:history="1">
            <w:r>
              <w:rPr>
                <w:rStyle w:val="Hyperlink"/>
              </w:rPr>
              <w:t>15.3 Deploying a New Lambda Version</w:t>
            </w:r>
            <w:r>
              <w:tab/>
            </w:r>
            <w:r>
              <w:fldChar w:fldCharType="begin"/>
            </w:r>
            <w:r>
              <w:instrText xml:space="preserve"> PAGEREF _Toc100091 \h </w:instrText>
            </w:r>
            <w:r>
              <w:fldChar w:fldCharType="separate"/>
            </w:r>
            <w:r>
              <w:t>33</w:t>
            </w:r>
            <w:r>
              <w:fldChar w:fldCharType="end"/>
            </w:r>
          </w:hyperlink>
        </w:p>
        <w:p>
          <w:pPr>
            <w:pStyle w:val="11"/>
            <w:ind w:left="360"/>
            <w:tabs>
              <w:tab w:val="right" w:leader="dot" w:pos="9026"/>
            </w:tabs>
            <w:spacing w:before="120" w:after="60"/>
          </w:pPr>
          <w:hyperlink w:anchor="_Toc100092" w:history="1">
            <w:r>
              <w:rPr>
                <w:rStyle w:val="Hyperlink"/>
              </w:rPr>
              <w:t>15.4 Onboarding a New Brand or File Type</w:t>
            </w:r>
            <w:r>
              <w:tab/>
            </w:r>
            <w:r>
              <w:fldChar w:fldCharType="begin"/>
            </w:r>
            <w:r>
              <w:instrText xml:space="preserve"> PAGEREF _Toc100092 \h </w:instrText>
            </w:r>
            <w:r>
              <w:fldChar w:fldCharType="separate"/>
            </w:r>
            <w:r>
              <w:t>33</w:t>
            </w:r>
            <w:r>
              <w:fldChar w:fldCharType="end"/>
            </w:r>
          </w:hyperlink>
        </w:p>
        <w:p>
          <w:pPr>
            <w:pStyle w:val="11"/>
            <w:ind w:left="360"/>
            <w:tabs>
              <w:tab w:val="right" w:leader="dot" w:pos="9026"/>
            </w:tabs>
            <w:spacing w:before="120" w:after="60"/>
          </w:pPr>
          <w:hyperlink w:anchor="_Toc100093" w:history="1">
            <w:r>
              <w:rPr>
                <w:rStyle w:val="Hyperlink"/>
              </w:rPr>
              <w:t>15.5 Refreshing Global Reference Data</w:t>
            </w:r>
            <w:r>
              <w:tab/>
            </w:r>
            <w:r>
              <w:fldChar w:fldCharType="begin"/>
            </w:r>
            <w:r>
              <w:instrText xml:space="preserve"> PAGEREF _Toc100093 \h </w:instrText>
            </w:r>
            <w:r>
              <w:fldChar w:fldCharType="separate"/>
            </w:r>
            <w:r>
              <w:t>33</w:t>
            </w:r>
            <w:r>
              <w:fldChar w:fldCharType="end"/>
            </w:r>
          </w:hyperlink>
        </w:p>
        <w:p>
          <w:pPr>
            <w:pStyle w:val="11"/>
            <w:ind w:left="360"/>
            <w:tabs>
              <w:tab w:val="right" w:leader="dot" w:pos="9026"/>
            </w:tabs>
            <w:spacing w:before="120" w:after="60"/>
          </w:pPr>
          <w:hyperlink w:anchor="_Toc100094" w:history="1">
            <w:r>
              <w:rPr>
                <w:rStyle w:val="Hyperlink"/>
              </w:rPr>
              <w:t>15.6 Ownership and Escalation</w:t>
            </w:r>
            <w:r>
              <w:tab/>
            </w:r>
            <w:r>
              <w:fldChar w:fldCharType="begin"/>
            </w:r>
            <w:r>
              <w:instrText xml:space="preserve"> PAGEREF _Toc100094 \h </w:instrText>
            </w:r>
            <w:r>
              <w:fldChar w:fldCharType="separate"/>
            </w:r>
            <w:r>
              <w:t>33</w:t>
            </w:r>
            <w:r>
              <w:fldChar w:fldCharType="end"/>
            </w:r>
          </w:hyperlink>
        </w:p>
        <w:p>
          <w:pPr>
            <w:pStyle w:val="9"/>
            <w:tabs>
              <w:tab w:val="right" w:leader="dot" w:pos="9026"/>
            </w:tabs>
            <w:spacing w:before="120" w:after="60"/>
          </w:pPr>
          <w:hyperlink w:anchor="_Toc100095" w:history="1">
            <w:r>
              <w:rPr>
                <w:rStyle w:val="Hyperlink"/>
              </w:rPr>
              <w:t>16. Improvement Recommendations and Future Direction</w:t>
            </w:r>
            <w:r>
              <w:tab/>
            </w:r>
            <w:r>
              <w:fldChar w:fldCharType="begin"/>
            </w:r>
            <w:r>
              <w:instrText xml:space="preserve"> PAGEREF _Toc100095 \h </w:instrText>
            </w:r>
            <w:r>
              <w:fldChar w:fldCharType="separate"/>
            </w:r>
            <w:r>
              <w:t>34</w:t>
            </w:r>
            <w:r>
              <w:fldChar w:fldCharType="end"/>
            </w:r>
          </w:hyperlink>
        </w:p>
        <w:p>
          <w:pPr>
            <w:pStyle w:val="11"/>
            <w:ind w:left="360"/>
            <w:tabs>
              <w:tab w:val="right" w:leader="dot" w:pos="9026"/>
            </w:tabs>
            <w:spacing w:before="120" w:after="60"/>
          </w:pPr>
          <w:hyperlink w:anchor="_Toc100096" w:history="1">
            <w:r>
              <w:rPr>
                <w:rStyle w:val="Hyperlink"/>
              </w:rPr>
              <w:t>16.1 Summary of Improvement Areas</w:t>
            </w:r>
            <w:r>
              <w:tab/>
            </w:r>
            <w:r>
              <w:fldChar w:fldCharType="begin"/>
            </w:r>
            <w:r>
              <w:instrText xml:space="preserve"> PAGEREF _Toc100096 \h </w:instrText>
            </w:r>
            <w:r>
              <w:fldChar w:fldCharType="separate"/>
            </w:r>
            <w:r>
              <w:t>34</w:t>
            </w:r>
            <w:r>
              <w:fldChar w:fldCharType="end"/>
            </w:r>
          </w:hyperlink>
        </w:p>
        <w:p>
          <w:pPr>
            <w:pStyle w:val="11"/>
            <w:ind w:left="360"/>
            <w:tabs>
              <w:tab w:val="right" w:leader="dot" w:pos="9026"/>
            </w:tabs>
            <w:spacing w:before="120" w:after="60"/>
          </w:pPr>
          <w:hyperlink w:anchor="_Toc100097" w:history="1">
            <w:r>
              <w:rPr>
                <w:rStyle w:val="Hyperlink"/>
              </w:rPr>
              <w:t>16.2 The Config-Driven Engine</w:t>
            </w:r>
            <w:r>
              <w:tab/>
            </w:r>
            <w:r>
              <w:fldChar w:fldCharType="begin"/>
            </w:r>
            <w:r>
              <w:instrText xml:space="preserve"> PAGEREF _Toc100097 \h </w:instrText>
            </w:r>
            <w:r>
              <w:fldChar w:fldCharType="separate"/>
            </w:r>
            <w:r>
              <w:t>34</w:t>
            </w:r>
            <w:r>
              <w:fldChar w:fldCharType="end"/>
            </w:r>
          </w:hyperlink>
        </w:p>
        <w:p>
          <w:pPr>
            <w:pStyle w:val="11"/>
            <w:ind w:left="360"/>
            <w:tabs>
              <w:tab w:val="right" w:leader="dot" w:pos="9026"/>
            </w:tabs>
            <w:spacing w:before="120" w:after="60"/>
          </w:pPr>
          <w:hyperlink w:anchor="_Toc100098" w:history="1">
            <w:r>
              <w:rPr>
                <w:rStyle w:val="Hyperlink"/>
              </w:rPr>
              <w:t>16.3 Portal Evolution - Auto-Mapping and Auto-Fill</w:t>
            </w:r>
            <w:r>
              <w:tab/>
            </w:r>
            <w:r>
              <w:fldChar w:fldCharType="begin"/>
            </w:r>
            <w:r>
              <w:instrText xml:space="preserve"> PAGEREF _Toc100098 \h </w:instrText>
            </w:r>
            <w:r>
              <w:fldChar w:fldCharType="separate"/>
            </w:r>
            <w:r>
              <w:t>35</w:t>
            </w:r>
            <w:r>
              <w:fldChar w:fldCharType="end"/>
            </w:r>
          </w:hyperlink>
        </w:p>
        <w:p>
          <w:pPr>
            <w:pStyle w:val="11"/>
            <w:ind w:left="360"/>
            <w:tabs>
              <w:tab w:val="right" w:leader="dot" w:pos="9026"/>
            </w:tabs>
            <w:spacing w:before="120" w:after="60"/>
          </w:pPr>
          <w:hyperlink w:anchor="_Toc100099" w:history="1">
            <w:r>
              <w:rPr>
                <w:rStyle w:val="Hyperlink"/>
              </w:rPr>
              <w:t>16.4 Stibo STEP 2026 Capabilities Worth Adopting</w:t>
            </w:r>
            <w:r>
              <w:tab/>
            </w:r>
            <w:r>
              <w:fldChar w:fldCharType="begin"/>
            </w:r>
            <w:r>
              <w:instrText xml:space="preserve"> PAGEREF _Toc100099 \h </w:instrText>
            </w:r>
            <w:r>
              <w:fldChar w:fldCharType="separate"/>
            </w:r>
            <w:r>
              <w:t>35</w:t>
            </w:r>
            <w:r>
              <w:fldChar w:fldCharType="end"/>
            </w:r>
          </w:hyperlink>
        </w:p>
        <w:p>
          <w:pPr>
            <w:pStyle w:val="11"/>
            <w:ind w:left="360"/>
            <w:tabs>
              <w:tab w:val="right" w:leader="dot" w:pos="9026"/>
            </w:tabs>
            <w:spacing w:before="120" w:after="60"/>
          </w:pPr>
          <w:hyperlink w:anchor="_Toc100100" w:history="1">
            <w:r>
              <w:rPr>
                <w:rStyle w:val="Hyperlink"/>
              </w:rPr>
              <w:t>16.5 Phased Roadmap</w:t>
            </w:r>
            <w:r>
              <w:tab/>
            </w:r>
            <w:r>
              <w:fldChar w:fldCharType="begin"/>
            </w:r>
            <w:r>
              <w:instrText xml:space="preserve"> PAGEREF _Toc100100 \h </w:instrText>
            </w:r>
            <w:r>
              <w:fldChar w:fldCharType="separate"/>
            </w:r>
            <w:r>
              <w:t>35</w:t>
            </w:r>
            <w:r>
              <w:fldChar w:fldCharType="end"/>
            </w:r>
          </w:hyperlink>
        </w:p>
        <w:p>
          <w:pPr>
            <w:pStyle w:val="9"/>
            <w:tabs>
              <w:tab w:val="right" w:leader="dot" w:pos="9026"/>
            </w:tabs>
            <w:spacing w:before="120" w:after="60"/>
          </w:pPr>
          <w:hyperlink w:anchor="_Toc100101" w:history="1">
            <w:r>
              <w:rPr>
                <w:rStyle w:val="Hyperlink"/>
              </w:rPr>
              <w:t>Appendix A. Brand, S3 Folder and Handler Matrix</w:t>
            </w:r>
            <w:r>
              <w:tab/>
            </w:r>
            <w:r>
              <w:fldChar w:fldCharType="begin"/>
            </w:r>
            <w:r>
              <w:instrText xml:space="preserve"> PAGEREF _Toc100101 \h </w:instrText>
            </w:r>
            <w:r>
              <w:fldChar w:fldCharType="separate"/>
            </w:r>
            <w:r>
              <w:t>36</w:t>
            </w:r>
            <w:r>
              <w:fldChar w:fldCharType="end"/>
            </w:r>
          </w:hyperlink>
        </w:p>
        <w:p>
          <w:pPr>
            <w:pStyle w:val="9"/>
            <w:tabs>
              <w:tab w:val="right" w:leader="dot" w:pos="9026"/>
            </w:tabs>
            <w:spacing w:before="120" w:after="60"/>
          </w:pPr>
          <w:hyperlink w:anchor="_Toc100102" w:history="1">
            <w:r>
              <w:rPr>
                <w:rStyle w:val="Hyperlink"/>
              </w:rPr>
              <w:t>Appendix B. File-Type Keyword Reference (Selected Brands)</w:t>
            </w:r>
            <w:r>
              <w:tab/>
            </w:r>
            <w:r>
              <w:fldChar w:fldCharType="begin"/>
            </w:r>
            <w:r>
              <w:instrText xml:space="preserve"> PAGEREF _Toc100102 \h </w:instrText>
            </w:r>
            <w:r>
              <w:fldChar w:fldCharType="separate"/>
            </w:r>
            <w:r>
              <w:t>36</w:t>
            </w:r>
            <w:r>
              <w:fldChar w:fldCharType="end"/>
            </w:r>
          </w:hyperlink>
        </w:p>
        <w:p>
          <w:pPr>
            <w:pStyle w:val="9"/>
            <w:tabs>
              <w:tab w:val="right" w:leader="dot" w:pos="9026"/>
            </w:tabs>
            <w:spacing w:before="120" w:after="60"/>
          </w:pPr>
          <w:hyperlink w:anchor="_Toc100103" w:history="1">
            <w:r>
              <w:rPr>
                <w:rStyle w:val="Hyperlink"/>
              </w:rPr>
              <w:t>Appendix C. LOV Catalogue Summary</w:t>
            </w:r>
            <w:r>
              <w:tab/>
            </w:r>
            <w:r>
              <w:fldChar w:fldCharType="begin"/>
            </w:r>
            <w:r>
              <w:instrText xml:space="preserve"> PAGEREF _Toc100103 \h </w:instrText>
            </w:r>
            <w:r>
              <w:fldChar w:fldCharType="separate"/>
            </w:r>
            <w:r>
              <w:t>37</w:t>
            </w:r>
            <w:r>
              <w:fldChar w:fldCharType="end"/>
            </w:r>
          </w:hyperlink>
        </w:p>
        <w:p>
          <w:pPr>
            <w:pStyle w:val="9"/>
            <w:tabs>
              <w:tab w:val="right" w:leader="dot" w:pos="9026"/>
            </w:tabs>
            <w:spacing w:before="120" w:after="60"/>
          </w:pPr>
          <w:hyperlink w:anchor="_Toc100104" w:history="1">
            <w:r>
              <w:rPr>
                <w:rStyle w:val="Hyperlink"/>
              </w:rPr>
              <w:t>Appendix D. Environment Variable Reference</w:t>
            </w:r>
            <w:r>
              <w:tab/>
            </w:r>
            <w:r>
              <w:fldChar w:fldCharType="begin"/>
            </w:r>
            <w:r>
              <w:instrText xml:space="preserve"> PAGEREF _Toc100104 \h </w:instrText>
            </w:r>
            <w:r>
              <w:fldChar w:fldCharType="separate"/>
            </w:r>
            <w:r>
              <w:t>37</w:t>
            </w:r>
            <w:r>
              <w:fldChar w:fldCharType="end"/>
            </w:r>
          </w:hyperlink>
        </w:p>
        <w:p>
          <w:pPr>
            <w:pStyle w:val="9"/>
            <w:tabs>
              <w:tab w:val="right" w:leader="dot" w:pos="9026"/>
            </w:tabs>
            <w:spacing w:before="120" w:after="60"/>
          </w:pPr>
          <w:hyperlink w:anchor="_Toc100105" w:history="1">
            <w:r>
              <w:rPr>
                <w:rStyle w:val="Hyperlink"/>
              </w:rPr>
              <w:t>Appendix E. Glossary</w:t>
            </w:r>
            <w:r>
              <w:tab/>
            </w:r>
            <w:r>
              <w:fldChar w:fldCharType="begin"/>
            </w:r>
            <w:r>
              <w:instrText xml:space="preserve"> PAGEREF _Toc100105 \h </w:instrText>
            </w:r>
            <w:r>
              <w:fldChar w:fldCharType="separate"/>
            </w:r>
            <w:r>
              <w:t>38</w:t>
            </w:r>
            <w:r>
              <w:fldChar w:fldCharType="end"/>
            </w:r>
          </w:hyperlink>
        </w:p>
        <w:p>
          <w:pPr>
            <w:pStyle w:val="9"/>
            <w:tabs>
              <w:tab w:val="right" w:leader="dot" w:pos="9026"/>
            </w:tabs>
            <w:spacing w:before="120" w:after="60"/>
          </w:pPr>
          <w:hyperlink w:anchor="_Toc100106" w:history="1">
            <w:r>
              <w:rPr>
                <w:rStyle w:val="Hyperlink"/>
              </w:rPr>
              <w:t>Appendix F. Source Artifacts Analysed</w:t>
            </w:r>
            <w:r>
              <w:tab/>
            </w:r>
            <w:r>
              <w:fldChar w:fldCharType="begin"/>
            </w:r>
            <w:r>
              <w:instrText xml:space="preserve"> PAGEREF _Toc100106 \h </w:instrText>
            </w:r>
            <w:r>
              <w:fldChar w:fldCharType="separate"/>
            </w:r>
            <w:r>
              <w:t>38</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Times New Roman"/>
          <w:b/>
          <w:bCs/>
          <w:color w:val="16324A"/>
          <w:sz w:val="32"/>
          <w:szCs w:val="32"/>
        </w:rPr>
        <w:t xml:space="preserve">Executive Summary</w:t>
      </w:r>
      <w:bookmarkEnd w:id="100000"/>
    </w:p>
    <w:p>
      <w:pPr>
        <w:keepNext w:val="false"/>
        <w:spacing w:after="120" w:line="312"/>
        <w:jc w:val="both"/>
      </w:pPr>
      <w:r>
        <w:rPr>
          <w:rFonts w:ascii="Times New Roman" w:eastAsia="Times New Roman"/>
          <w:b w:val="false"/>
          <w:bCs w:val="false"/>
          <w:i w:val="false"/>
          <w:iCs w:val="false"/>
          <w:color w:val="000000"/>
          <w:sz w:val="24"/>
          <w:szCs w:val="24"/>
        </w:rPr>
        <w:t xml:space="preserve">MAP operates a fully event-driven master data pipeline that carries product information from dozens of brand principals into Stibo STEP, the company's master data management platform of record. Brand teams upload Excel files through the internal MAP Portal, which stores them in an S3 raw bucket under a standardised, dropdown-derived name. Every upload triggers an AWS Lambda that identifies the brand, classifies the business file type, validates that the required reference files are present, and executes a brand-specific transformation that maps the data onto the Stibo attribute model using the Master Data Dictionary, the brand mapping workbook and the RNA organisational lookup. The resulting STEPXML is written to a processed bucket, from which a second Lambda authenticates to Stibo STEP with OAuth 2.0 client credentials and delivers the file to one of three Inbound Integration End Points (Article Planning, EAN Update, Article Maintenance). Every step writes structured audit evidence to S3.</w:t>
      </w:r>
    </w:p>
    <w:p>
      <w:pPr>
        <w:keepNext w:val="false"/>
        <w:spacing w:after="120" w:line="312"/>
        <w:jc w:val="both"/>
      </w:pPr>
      <w:r>
        <w:rPr>
          <w:rFonts w:ascii="Times New Roman" w:eastAsia="Times New Roman"/>
          <w:b w:val="false"/>
          <w:bCs w:val="false"/>
          <w:i w:val="false"/>
          <w:iCs w:val="false"/>
          <w:color w:val="000000"/>
          <w:sz w:val="24"/>
          <w:szCs w:val="24"/>
        </w:rPr>
        <w:t xml:space="preserve">This document is the first complete description of that landscape, produced by direct analysis of the two Lambda code bases (122,435 lines in total), the four governing Excel workbooks (58-sheet mapping template, 87-sheet data dictionary with about 43,000 list-of-values entries, the naming workbook, and a real 39.8 MB input sample), current Stibo STEP 2025-2026 platform documentation, and the owning team's explanations. Twenty-seven brands are registered and profiled; the naming convention and its unratified replacement are decoded; the STEPXML output format, the delivery contract, the audit schema and the operational runbook are specified in full.</w:t>
      </w:r>
    </w:p>
    <w:p>
      <w:pPr>
        <w:keepNext w:val="false"/>
        <w:spacing w:after="120" w:line="312"/>
        <w:jc w:val="both"/>
      </w:pPr>
      <w:r>
        <w:rPr>
          <w:rFonts w:ascii="Times New Roman" w:eastAsia="Times New Roman"/>
          <w:b w:val="false"/>
          <w:bCs w:val="false"/>
          <w:i w:val="false"/>
          <w:iCs w:val="false"/>
          <w:color w:val="000000"/>
          <w:sz w:val="24"/>
          <w:szCs w:val="24"/>
        </w:rPr>
        <w:t xml:space="preserve">The analysis also surfaced fourteen documented issues, of which two require immediate action: a sys.exit defect that can silently abort global reference-data refreshes mid-way, and database credentials discovered travelling inside an uploaded business file. The structural finding is that roughly three quarters of the transformation code is duplicated boilerplate, while the newest brands already demonstrate a configuration-driven alternative. The closing chapter turns this into a ten-item recommendation register and a five-phase roadmap - stabilise, gain visibility, consolidate the engine, bring validation and auto-mapping into the portal, and synchronise reference data directly from STEP's 2026 REST APIs.</w:t>
      </w:r>
    </w:p>
    <w:p>
      <w:pPr>
        <w:keepNext w:val="false"/>
        <w:spacing w:after="120" w:line="312"/>
        <w:jc w:val="both"/>
      </w:pPr>
      <w:r>
        <w:rPr>
          <w:rFonts w:ascii="Times New Roman" w:eastAsia="Times New Roman"/>
          <w:b w:val="false"/>
          <w:bCs w:val="false"/>
          <w:i w:val="false"/>
          <w:iCs w:val="false"/>
          <w:color w:val="000000"/>
          <w:sz w:val="24"/>
          <w:szCs w:val="24"/>
        </w:rPr>
        <w:t xml:space="preserve">Readers new to the system should start with Chapter 2; operators should keep Chapter 15 at hand; anyone planning the portal's auto-mapping evolution should read Chapters 8, 10 and 16 together. The appendices carry the complete brand matrix, environment contract, LOV inventory and glossary.</w:t>
      </w:r>
    </w:p>
    <w:p>
      <w:pPr>
        <w:pStyle w:val="Heading1"/>
        <w:spacing w:after="160" w:before="360" w:line="312"/>
      </w:pPr>
      <w:bookmarkStart w:id="100001" w:name="_Toc100001"/>
      <w:r>
        <w:rPr>
          <w:rFonts w:ascii="Times New Roman" w:eastAsia="Times New Roman"/>
          <w:b/>
          <w:bCs/>
          <w:color w:val="16324A"/>
          <w:sz w:val="32"/>
          <w:szCs w:val="32"/>
        </w:rPr>
        <w:t xml:space="preserve">1. Introduction</w:t>
      </w:r>
      <w:bookmarkEnd w:id="100001"/>
    </w:p>
    <w:p>
      <w:pPr>
        <w:pStyle w:val="Heading2"/>
        <w:spacing w:after="120" w:before="260" w:line="312"/>
      </w:pPr>
      <w:bookmarkStart w:id="100002" w:name="_Toc100002"/>
      <w:r>
        <w:rPr>
          <w:rFonts w:ascii="Times New Roman" w:eastAsia="Times New Roman"/>
          <w:b/>
          <w:bCs/>
          <w:color w:val="16324A"/>
          <w:sz w:val="28"/>
          <w:szCs w:val="28"/>
        </w:rPr>
        <w:t xml:space="preserve">1.1 Purpose of This Document</w:t>
      </w:r>
      <w:bookmarkEnd w:id="100002"/>
    </w:p>
    <w:p>
      <w:pPr>
        <w:keepNext w:val="false"/>
        <w:spacing w:after="120" w:line="312"/>
        <w:jc w:val="both"/>
      </w:pPr>
      <w:r>
        <w:rPr>
          <w:rFonts w:ascii="Times New Roman" w:eastAsia="Times New Roman"/>
          <w:b w:val="false"/>
          <w:bCs w:val="false"/>
          <w:i w:val="false"/>
          <w:iCs w:val="false"/>
          <w:color w:val="000000"/>
          <w:sz w:val="24"/>
          <w:szCs w:val="24"/>
        </w:rPr>
        <w:t xml:space="preserve">This document is the first consolidated technical documentation of the MAP–Stibo master data integration landscape. It describes the system exactly as it exists today (September 2026): how product master data files are uploaded through the MAP Portal, how they are named and stored in Amazon Web Services (AWS), how two AWS Lambda functions validate, transform and route the data, and how the resulting STEPXML files are delivered into Stibo STEP through Inbound Integration End Points (IIEPs). Until now this knowledge has existed only inside source code, spreadsheet conventions and the memory of individual team members; this manual turns it into a shared, reviewable reference.</w:t>
      </w:r>
    </w:p>
    <w:p>
      <w:pPr>
        <w:keepNext w:val="false"/>
        <w:spacing w:after="120" w:line="312"/>
        <w:jc w:val="both"/>
      </w:pPr>
      <w:r>
        <w:rPr>
          <w:rFonts w:ascii="Times New Roman" w:eastAsia="Times New Roman"/>
          <w:b w:val="false"/>
          <w:bCs w:val="false"/>
          <w:i w:val="false"/>
          <w:iCs w:val="false"/>
          <w:color w:val="000000"/>
          <w:sz w:val="24"/>
          <w:szCs w:val="24"/>
        </w:rPr>
        <w:t xml:space="preserve">The document serves three goals. First, it enables onboarding: a new member of the COE, Brand or IT team should be able to understand the end-to-end flow without reading the source code. Second, it establishes an operational baseline: the runbook chapters give operations staff a systematic way to diagnose failures and to execute recurring procedures such as onboarding a brand or refreshing the Master Data Dictionary. Third, it records risks and technical debt openly - including defects, dead code and governance gaps - so that improvement work can be prioritised on facts rather than recollection.</w:t>
      </w:r>
    </w:p>
    <w:p>
      <w:pPr>
        <w:pStyle w:val="Heading2"/>
        <w:spacing w:after="120" w:before="260" w:line="312"/>
      </w:pPr>
      <w:bookmarkStart w:id="100003" w:name="_Toc100003"/>
      <w:r>
        <w:rPr>
          <w:rFonts w:ascii="Times New Roman" w:eastAsia="Times New Roman"/>
          <w:b/>
          <w:bCs/>
          <w:color w:val="16324A"/>
          <w:sz w:val="28"/>
          <w:szCs w:val="28"/>
        </w:rPr>
        <w:t xml:space="preserve">1.2 Scope</w:t>
      </w:r>
      <w:bookmarkEnd w:id="100003"/>
    </w:p>
    <w:p>
      <w:pPr>
        <w:keepNext w:val="false"/>
        <w:spacing w:after="120" w:line="312"/>
        <w:jc w:val="both"/>
      </w:pPr>
      <w:r>
        <w:rPr>
          <w:rFonts w:ascii="Times New Roman" w:eastAsia="Times New Roman"/>
          <w:b w:val="false"/>
          <w:bCs w:val="false"/>
          <w:i w:val="false"/>
          <w:iCs w:val="false"/>
          <w:color w:val="000000"/>
          <w:sz w:val="24"/>
          <w:szCs w:val="24"/>
        </w:rPr>
        <w:t xml:space="preserve">The documentation covers the inbound product master data pipeline in its entirety: the MAP Portal as the user entry point, the standardised naming convention, the S3 storage layout, the EventBridge trigger, the map-stibo-inbound-validate-transform Lambda (router, 27 brand handlers and their ETL modules), the reference data workbooks (Master Data Dictionary, brand mapping template, RNA lookup, naming convention), the STEPXML output format, the map-stibo-inbound-send-to-step Lambda, and the Stibo STEP IIEP integration including authentication, routing and receipts. Observability (audit logs, CloudWatch, STEP-side monitoring), security observations, known issues and an operational runbook are documented in dedicated chapters.</w:t>
      </w:r>
    </w:p>
    <w:p>
      <w:pPr>
        <w:keepNext w:val="false"/>
        <w:spacing w:after="120" w:line="312"/>
        <w:jc w:val="both"/>
      </w:pPr>
      <w:r>
        <w:rPr>
          <w:rFonts w:ascii="Times New Roman" w:eastAsia="Times New Roman"/>
          <w:b w:val="false"/>
          <w:bCs w:val="false"/>
          <w:i w:val="false"/>
          <w:iCs w:val="false"/>
          <w:color w:val="000000"/>
          <w:sz w:val="24"/>
          <w:szCs w:val="24"/>
        </w:rPr>
        <w:t xml:space="preserve">Out of scope are the internal configuration of Stibo STEP itself (data model setup, workflows and business rules inside the STEP Workbench), the MAP Portal implementation internals (which are documented here only from the outside, based on observed behaviour and the team's description), outbound integrations that consume data from STEP, and commercial or licensing matters. Wherever this document relies on information that could not be verified from code or files, the statement is explicitly marked as an assumption.</w:t>
      </w:r>
    </w:p>
    <w:p>
      <w:pPr>
        <w:pStyle w:val="Heading2"/>
        <w:spacing w:after="120" w:before="260" w:line="312"/>
      </w:pPr>
      <w:bookmarkStart w:id="100004" w:name="_Toc100004"/>
      <w:r>
        <w:rPr>
          <w:rFonts w:ascii="Times New Roman" w:eastAsia="Times New Roman"/>
          <w:b/>
          <w:bCs/>
          <w:color w:val="16324A"/>
          <w:sz w:val="28"/>
          <w:szCs w:val="28"/>
        </w:rPr>
        <w:t xml:space="preserve">1.3 Intended Audience and Reading Paths</w:t>
      </w:r>
      <w:bookmarkEnd w:id="100004"/>
    </w:p>
    <w:p>
      <w:pPr>
        <w:keepNext w:val="false"/>
        <w:spacing w:after="120" w:line="312"/>
        <w:jc w:val="both"/>
      </w:pPr>
      <w:r>
        <w:rPr>
          <w:rFonts w:ascii="Times New Roman" w:eastAsia="Times New Roman"/>
          <w:b w:val="false"/>
          <w:bCs w:val="false"/>
          <w:i w:val="false"/>
          <w:iCs w:val="false"/>
          <w:color w:val="000000"/>
          <w:sz w:val="24"/>
          <w:szCs w:val="24"/>
        </w:rPr>
        <w:t xml:space="preserve">The primary audience is the internal team that owns and operates the pipeline: the COE team that curates mapping and reference data, the Brand teams that prepare and upload principal files, and the IT team that operates AWS and the integration code. Executive and management readers are served by Chapter 2 (System Overview) and Chapter 16 (Recommendations), which can be read standalone. The table below suggests reading paths per role.</w:t>
      </w:r>
    </w:p>
    <w:p>
      <w:pPr>
        <w:keepNext/>
        <w:spacing w:after="80" w:before="160" w:line="312"/>
        <w:jc w:val="left"/>
      </w:pPr>
      <w:r>
        <w:rPr>
          <w:rFonts w:ascii="Times New Roman" w:eastAsia="Times New Roman"/>
          <w:b/>
          <w:bCs/>
          <w:color w:val="16324A"/>
          <w:sz w:val="21"/>
          <w:szCs w:val="21"/>
        </w:rPr>
        <w:t xml:space="preserve">Table 1-1 - Reading paths per role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Role</w:t>
            </w:r>
          </w:p>
        </w:tc>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Essential chapters</w:t>
            </w:r>
          </w:p>
        </w:tc>
        <w:tc>
          <w:tcPr>
            <w:tcW w:type="pct" w:w="4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Purpose</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Management / sponsor</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2, 13, 16</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Understand the system, its risks and the improvement roadmap</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COE team (mapping &amp; data)</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3, 4, 8, 9, 15</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Understand how reference workbooks and naming drive the pipeline</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team (uploaders)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3, 4, 11</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Learn the upload workflow, naming rules and what happens after upload</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IT / DevOps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5, 6, 7, 10, 12, 13, 14, 15</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Operate, troubleshoot and evolve the AWS and integration layers</w:t>
            </w:r>
          </w:p>
        </w:tc>
      </w:tr>
      <w:tr>
        <w:trPr>
          <w:cantSplit/>
        </w:trPr>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New engineer onboarding</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All chapters, in order</w:t>
            </w:r>
          </w:p>
        </w:tc>
        <w:tc>
          <w:tcPr>
            <w:tcW w:type="pct" w:w="4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Full understanding before touching the code</w:t>
            </w:r>
          </w:p>
        </w:tc>
      </w:tr>
    </w:tbl>
    <w:p>
      <w:pPr>
        <w:spacing w:after="140" w:line="240"/>
      </w:pPr>
      <w:r>
        <w:rPr>
          <w:sz w:val="2"/>
          <w:szCs w:val="2"/>
        </w:rPr>
        <w:t xml:space="preserve"> </w:t>
      </w:r>
    </w:p>
    <w:p>
      <w:pPr>
        <w:pStyle w:val="Heading2"/>
        <w:spacing w:after="120" w:before="260" w:line="312"/>
      </w:pPr>
      <w:bookmarkStart w:id="100005" w:name="_Toc100005"/>
      <w:r>
        <w:rPr>
          <w:rFonts w:ascii="Times New Roman" w:eastAsia="Times New Roman"/>
          <w:b/>
          <w:bCs/>
          <w:color w:val="16324A"/>
          <w:sz w:val="28"/>
          <w:szCs w:val="28"/>
        </w:rPr>
        <w:t xml:space="preserve">1.4 Document Conventions</w:t>
      </w:r>
      <w:bookmarkEnd w:id="100005"/>
    </w:p>
    <w:p>
      <w:pPr>
        <w:keepNext w:val="false"/>
        <w:spacing w:after="120" w:line="312"/>
        <w:jc w:val="both"/>
      </w:pPr>
      <w:r>
        <w:rPr>
          <w:rFonts w:ascii="Times New Roman" w:eastAsia="Times New Roman"/>
          <w:b w:val="false"/>
          <w:bCs w:val="false"/>
          <w:i w:val="false"/>
          <w:iCs w:val="false"/>
          <w:color w:val="000000"/>
          <w:sz w:val="24"/>
          <w:szCs w:val="24"/>
        </w:rPr>
        <w:t xml:space="preserve">The document uses British-neutral English and follows standard technical-manual conventions. Key terms are defined in the Glossary (Appendix E) and are written with their full name followed by the abbreviation on first use, for example Inbound Integration End Point (IIEP). Code artefacts - file names, functions, environment variables, S3 keys and XML elements - are set in a monospaced font, for example router.lambda_handler or STIBO_TOKEN_URL. Literal file-name examples are shown as they appear in the system, including spaces, because spaces are genuinely part of the current naming convention.</w:t>
      </w:r>
    </w:p>
    <w:p>
      <w:pPr>
        <w:keepNext w:val="false"/>
        <w:spacing w:after="120" w:line="312"/>
        <w:jc w:val="both"/>
      </w:pPr>
      <w:r>
        <w:rPr>
          <w:rFonts w:ascii="Times New Roman" w:eastAsia="Times New Roman"/>
          <w:b w:val="false"/>
          <w:bCs w:val="false"/>
          <w:i w:val="false"/>
          <w:iCs w:val="false"/>
          <w:color w:val="000000"/>
          <w:sz w:val="24"/>
          <w:szCs w:val="24"/>
        </w:rPr>
        <w:t xml:space="preserve">Statements that could not be verified against source code or analysed files are prefixed with the word Assumption and are listed per chapter. Cross-references use chapter and section numbers (for example see Section 10.3). Warnings that describe live defects use a caution note. All quantitative statements - row counts, sheet counts, line counts - were measured directly on the analysed artefacts in September 2026 and are reproducible with the scripts listed in Appendix F.</w:t>
      </w:r>
    </w:p>
    <w:p>
      <w:pPr>
        <w:pStyle w:val="Heading2"/>
        <w:spacing w:after="120" w:before="260" w:line="312"/>
      </w:pPr>
      <w:bookmarkStart w:id="100006" w:name="_Toc100006"/>
      <w:r>
        <w:rPr>
          <w:rFonts w:ascii="Times New Roman" w:eastAsia="Times New Roman"/>
          <w:b/>
          <w:bCs/>
          <w:color w:val="16324A"/>
          <w:sz w:val="28"/>
          <w:szCs w:val="28"/>
        </w:rPr>
        <w:t xml:space="preserve">1.5 Source Materials and Documentation Method</w:t>
      </w:r>
      <w:bookmarkEnd w:id="100006"/>
    </w:p>
    <w:p>
      <w:pPr>
        <w:keepNext w:val="false"/>
        <w:spacing w:after="120" w:line="312"/>
        <w:jc w:val="both"/>
      </w:pPr>
      <w:r>
        <w:rPr>
          <w:rFonts w:ascii="Times New Roman" w:eastAsia="Times New Roman"/>
          <w:b w:val="false"/>
          <w:bCs w:val="false"/>
          <w:i w:val="false"/>
          <w:iCs w:val="false"/>
          <w:color w:val="000000"/>
          <w:sz w:val="24"/>
          <w:szCs w:val="24"/>
        </w:rPr>
        <w:t xml:space="preserve">This documentation was produced by systematic reverse-engineering of the artefacts listed in Appendix F. The two Lambda code bases were extracted and reviewed: map-stibo-inbound-validate-transform-dev (121,836 lines of Python across 27 brand folders, a shared router, an audit logger and S3 metadata helpers) and map-stibo-inbound-send-to-step-dev (599 lines, a single Python module). The four reference workbooks - NEW - Brand mapping files Template.xlsx (58 sheets), Master Data Dictionary (MAA).xlsx (87 sheets), Brand Input files &amp; Naming convention.xlsx and one real input sample (0888-SP-ELLESSE-Recap Sample MAA Sport Licensed-Multi-SP2027-ID-1.xlsx) - were analysed sheet by sheet with scripted extraction.</w:t>
      </w:r>
    </w:p>
    <w:p>
      <w:pPr>
        <w:keepNext w:val="false"/>
        <w:spacing w:after="120" w:line="312"/>
        <w:jc w:val="both"/>
      </w:pPr>
      <w:r>
        <w:rPr>
          <w:rFonts w:ascii="Times New Roman" w:eastAsia="Times New Roman"/>
          <w:b w:val="false"/>
          <w:bCs w:val="false"/>
          <w:i w:val="false"/>
          <w:iCs w:val="false"/>
          <w:color w:val="000000"/>
          <w:sz w:val="24"/>
          <w:szCs w:val="24"/>
        </w:rPr>
        <w:t xml:space="preserve">Current Stibo STEP capabilities were verified against the vendor's online documentation for releases 2025.x-2026.x so that Chapter 10 and Chapter 16 reflect the platform as it exists today, not folklore. The MAP Portal itself is described from the owning team's explanation and from its observable output (the standardised file names); this is the only component documented without direct access to its implementation, and Section 3.5 lists the resulting open questions. No production data was accessed beyond the supplied sample file; all examples in this document come from that sample or from the code.</w:t>
      </w:r>
    </w:p>
    <w:p>
      <w:pPr>
        <w:pStyle w:val="Heading2"/>
        <w:spacing w:after="120" w:before="260" w:line="312"/>
      </w:pPr>
      <w:bookmarkStart w:id="100007" w:name="_Toc100007"/>
      <w:r>
        <w:rPr>
          <w:rFonts w:ascii="Times New Roman" w:eastAsia="Times New Roman"/>
          <w:b/>
          <w:bCs/>
          <w:color w:val="16324A"/>
          <w:sz w:val="28"/>
          <w:szCs w:val="28"/>
        </w:rPr>
        <w:t xml:space="preserve">1.6 Business and System Context</w:t>
      </w:r>
      <w:bookmarkEnd w:id="100007"/>
    </w:p>
    <w:p>
      <w:pPr>
        <w:keepNext w:val="false"/>
        <w:spacing w:after="120" w:line="312"/>
        <w:jc w:val="both"/>
      </w:pPr>
      <w:r>
        <w:rPr>
          <w:rFonts w:ascii="Times New Roman" w:eastAsia="Times New Roman"/>
          <w:b w:val="false"/>
          <w:bCs w:val="false"/>
          <w:i w:val="false"/>
          <w:iCs w:val="false"/>
          <w:color w:val="000000"/>
          <w:sz w:val="24"/>
          <w:szCs w:val="24"/>
        </w:rPr>
        <w:t xml:space="preserve">The organisation (PT. MAP Aktif Adiperkasa Tbk, company code 0888, referred to here as MAP) is a multi-brand sports and lifestyle retailer operating in Indonesia. It distributes dozens of international brands - among them adidas, Nike, New Balance, Crocs, Asics, Birkenstock, Clarks, Ellesse and roughly twenty more - each of which supplies product information in its own Excel dialect, its own season calendar and its own naming habits. Stibo STEP is the master data management (MDM) platform of record: it holds the unified product master that feeds downstream retail, e-commerce and ERP processes.</w:t>
      </w:r>
    </w:p>
    <w:p>
      <w:pPr>
        <w:keepNext w:val="false"/>
        <w:spacing w:after="120" w:line="312"/>
        <w:jc w:val="both"/>
      </w:pPr>
      <w:r>
        <w:rPr>
          <w:rFonts w:ascii="Times New Roman" w:eastAsia="Times New Roman"/>
          <w:b w:val="false"/>
          <w:bCs w:val="false"/>
          <w:i w:val="false"/>
          <w:iCs w:val="false"/>
          <w:color w:val="000000"/>
          <w:sz w:val="24"/>
          <w:szCs w:val="24"/>
        </w:rPr>
        <w:t xml:space="preserve">Because every brand principal sends data differently, the company built an AWS-based integration layer that absorbs the heterogeneity: one web portal for controlled uploads, one validation-transformation Lambda that contains per-brand ETL logic, and one delivery Lambda that speaks the Stibo API. The pipeline is entirely event-driven and file-based: Excel in, STEPXML out. Understanding this design intent - centralised ingestion, brand-isolated transformation, single delivery channel - is the key to every chapter that follows.</w:t>
      </w:r>
    </w:p>
    <w:p>
      <w:pPr>
        <w:pStyle w:val="Heading1"/>
        <w:spacing w:after="160" w:before="360" w:line="312"/>
      </w:pPr>
      <w:bookmarkStart w:id="100008" w:name="_Toc100008"/>
      <w:r>
        <w:rPr>
          <w:rFonts w:ascii="Times New Roman" w:eastAsia="Times New Roman"/>
          <w:b/>
          <w:bCs/>
          <w:color w:val="16324A"/>
          <w:sz w:val="32"/>
          <w:szCs w:val="32"/>
        </w:rPr>
        <w:t xml:space="preserve">2. System Overview</w:t>
      </w:r>
      <w:bookmarkEnd w:id="100008"/>
    </w:p>
    <w:p>
      <w:pPr>
        <w:pStyle w:val="Heading2"/>
        <w:spacing w:after="120" w:before="260" w:line="312"/>
      </w:pPr>
      <w:bookmarkStart w:id="100009" w:name="_Toc100009"/>
      <w:r>
        <w:rPr>
          <w:rFonts w:ascii="Times New Roman" w:eastAsia="Times New Roman"/>
          <w:b/>
          <w:bCs/>
          <w:color w:val="16324A"/>
          <w:sz w:val="28"/>
          <w:szCs w:val="28"/>
        </w:rPr>
        <w:t xml:space="preserve">2.1 The Solution in One Paragraph</w:t>
      </w:r>
      <w:bookmarkEnd w:id="100009"/>
    </w:p>
    <w:p>
      <w:pPr>
        <w:keepNext w:val="false"/>
        <w:spacing w:after="120" w:line="312"/>
        <w:jc w:val="both"/>
      </w:pPr>
      <w:r>
        <w:rPr>
          <w:rFonts w:ascii="Times New Roman" w:eastAsia="Times New Roman"/>
          <w:b w:val="false"/>
          <w:bCs w:val="false"/>
          <w:i w:val="false"/>
          <w:iCs w:val="false"/>
          <w:color w:val="000000"/>
          <w:sz w:val="24"/>
          <w:szCs w:val="24"/>
        </w:rPr>
        <w:t xml:space="preserve">A user uploads a brand Excel file through the MAP Portal, which stores it in an S3 raw bucket under a standardised name such as 0888-SP-ELLESSE-Recap Sample MAA Sport Licensed-Multi-SP2027-ID-1.xlsx. The upload event triggers a validation-transformation Lambda that identifies the brand from the S3 folder, classifies the business file type from the file name, validates that all required companion files are present, and runs a brand-specific extract-transform-load (ETL) module that maps the Excel content onto the Stibo data model using the reference workbooks (Master Data Dictionary, brand mapping template, RNA lookup). The output is a STEPXML file written to a processed bucket, whose arrival triggers a second Lambda that authenticates against Stibo STEP with OAuth 2.0 client credentials and POSTs the XML to one of three Inbound Integration End Points. Every step leaves an audit trail in S3 and CloudWatch.</w:t>
      </w:r>
    </w:p>
    <w:p>
      <w:pPr>
        <w:pStyle w:val="Heading2"/>
        <w:spacing w:after="120" w:before="260" w:line="312"/>
      </w:pPr>
      <w:bookmarkStart w:id="100010" w:name="_Toc100010"/>
      <w:r>
        <w:rPr>
          <w:rFonts w:ascii="Times New Roman" w:eastAsia="Times New Roman"/>
          <w:b/>
          <w:bCs/>
          <w:color w:val="16324A"/>
          <w:sz w:val="28"/>
          <w:szCs w:val="28"/>
        </w:rPr>
        <w:t xml:space="preserve">2.2 Component Inventory</w:t>
      </w:r>
      <w:bookmarkEnd w:id="100010"/>
    </w:p>
    <w:p>
      <w:pPr>
        <w:keepNext w:val="false"/>
        <w:spacing w:after="120" w:line="312"/>
        <w:jc w:val="both"/>
      </w:pPr>
      <w:r>
        <w:rPr>
          <w:rFonts w:ascii="Times New Roman" w:eastAsia="Times New Roman"/>
          <w:b w:val="false"/>
          <w:bCs w:val="false"/>
          <w:i w:val="false"/>
          <w:iCs w:val="false"/>
          <w:color w:val="000000"/>
          <w:sz w:val="24"/>
          <w:szCs w:val="24"/>
        </w:rPr>
        <w:t xml:space="preserve">The landscape consists of nine cooperating components. Table 2-1 lists each component with its technology and its role in the pipeline; Figure 2-1 shows how they connect.</w:t>
      </w:r>
    </w:p>
    <w:p>
      <w:pPr>
        <w:keepNext/>
        <w:spacing w:after="80" w:before="160" w:line="312"/>
        <w:jc w:val="left"/>
      </w:pPr>
      <w:r>
        <w:rPr>
          <w:rFonts w:ascii="Times New Roman" w:eastAsia="Times New Roman"/>
          <w:b/>
          <w:bCs/>
          <w:color w:val="16324A"/>
          <w:sz w:val="21"/>
          <w:szCs w:val="21"/>
        </w:rPr>
        <w:t xml:space="preserve">Table 2-1 - Component inventory</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Component</w:t>
            </w:r>
          </w:p>
        </w:tc>
        <w:tc>
          <w:tcPr>
            <w:tcW w:type="pct" w:w="2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Technology</w:t>
            </w:r>
          </w:p>
        </w:tc>
        <w:tc>
          <w:tcPr>
            <w:tcW w:type="pct" w:w="5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Role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 Portal</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Web application (internal)</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Controlled upload UI; builds the standardised file name from dropdown selections and writes to S3</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S3 raw bucket</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AWS S3</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Landing zone: raw/metadata/{brand}/ for brand files; raw/metadata/ root for global reference files; raw/logs/ for audit JSON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EventBridge</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AWS EventBridge</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Emits S3 ObjectCreated events that trigger the transform Lambda</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Validate-transform Lambda</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Python 3.12, pandas/openpyxl/pyxlsb</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Router + 27 brand handlers + ETL modules; converts Excel to STEPXML</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Reference workbooks</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Excel on S3</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Master Data Dictionary (attributes + LOVs), brand mapping template, attributes list, RNA lookup, naming convention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S3 processed bucket</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AWS S3</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processed/stepxml/{brand}/*.xml plus bgid/ receipts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Send-to-step Lambda</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Python 3.12, stdlib + boto3</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Filename-based endpoint routing, OIDC authentication, XML upload with retries, bgId receipts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Stibo STEP IIEPs</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REST Direct Receiver</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Three inbound endpoints (Article Planning, EAN Update, Article Maintenance) feeding STEP background processing</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Observability</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S3 JSON + CloudWatch</w:t>
            </w:r>
          </w:p>
        </w:tc>
        <w:tc>
          <w:tcPr>
            <w:tcW w:type="pct" w:w="5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Per-invocation audit logs, Lambda logs, STEP monitoring APIs</w:t>
            </w:r>
          </w:p>
        </w:tc>
      </w:tr>
    </w:tbl>
    <w:p>
      <w:pPr>
        <w:spacing w:after="140" w:line="240"/>
      </w:pPr>
      <w:r>
        <w:rPr>
          <w:sz w:val="2"/>
          <w:szCs w:val="2"/>
        </w:rPr>
        <w:t xml:space="preserve"> </w:t>
      </w:r>
    </w:p>
    <w:p>
      <w:pPr>
        <w:pStyle w:val="Heading2"/>
        <w:spacing w:after="120" w:before="260" w:line="312"/>
      </w:pPr>
      <w:bookmarkStart w:id="100011" w:name="_Toc100011"/>
      <w:r>
        <w:rPr>
          <w:rFonts w:ascii="Times New Roman" w:eastAsia="Times New Roman"/>
          <w:b/>
          <w:bCs/>
          <w:color w:val="16324A"/>
          <w:sz w:val="28"/>
          <w:szCs w:val="28"/>
        </w:rPr>
        <w:t xml:space="preserve">2.3 End-to-End Architecture</w:t>
      </w:r>
      <w:bookmarkEnd w:id="100011"/>
    </w:p>
    <w:p>
      <w:pPr>
        <w:keepNext w:val="false"/>
        <w:spacing w:after="120" w:line="312"/>
        <w:jc w:val="both"/>
      </w:pPr>
      <w:r>
        <w:rPr>
          <w:rFonts w:ascii="Times New Roman" w:eastAsia="Times New Roman"/>
          <w:b w:val="false"/>
          <w:bCs w:val="false"/>
          <w:i w:val="false"/>
          <w:iCs w:val="false"/>
          <w:color w:val="000000"/>
          <w:sz w:val="24"/>
          <w:szCs w:val="24"/>
        </w:rPr>
        <w:t xml:space="preserve">Figure 2-1 shows the five layers of the landscape, from the human entry point down to Stibo STEP. Two design decisions stand out. First, the pipeline is fully event-driven: there are no schedulers and no polling loops; every S3 object creation is the trigger for exactly one unit of work. Second, transformation and delivery are deliberately separated into two Lambda functions coupled only by an S3 folder, which allows each to fail, retry and evolve independently.</w:t>
      </w:r>
    </w:p>
    <w:p>
      <w:pPr>
        <w:keepNext/>
        <w:spacing w:after="60" w:before="16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334000"/>
                    </a:xfrm>
                    <a:prstGeom prst="rect">
                      <a:avLst/>
                    </a:prstGeom>
                  </pic:spPr>
                </pic:pic>
              </a:graphicData>
            </a:graphic>
          </wp:inline>
        </w:drawing>
      </w:r>
    </w:p>
    <w:p>
      <w:pPr>
        <w:spacing w:after="200" w:line="276"/>
        <w:jc w:val="center"/>
      </w:pPr>
      <w:r>
        <w:rPr>
          <w:rFonts w:ascii="Times New Roman" w:eastAsia="Times New Roman"/>
          <w:i/>
          <w:iCs/>
          <w:color w:val="5B6B7D"/>
          <w:sz w:val="20"/>
          <w:szCs w:val="20"/>
        </w:rPr>
        <w:t xml:space="preserve">Figure 2-1 - End-to-end system architecture of the MAP-Stibo inbound pipeline</w:t>
      </w:r>
    </w:p>
    <w:p>
      <w:pPr>
        <w:pStyle w:val="Heading2"/>
        <w:spacing w:after="120" w:before="260" w:line="312"/>
      </w:pPr>
      <w:bookmarkStart w:id="100012" w:name="_Toc100012"/>
      <w:r>
        <w:rPr>
          <w:rFonts w:ascii="Times New Roman" w:eastAsia="Times New Roman"/>
          <w:b/>
          <w:bCs/>
          <w:color w:val="16324A"/>
          <w:sz w:val="28"/>
          <w:szCs w:val="28"/>
        </w:rPr>
        <w:t xml:space="preserve">2.4 Design Principles Observed in the Current System</w:t>
      </w:r>
      <w:bookmarkEnd w:id="100012"/>
    </w:p>
    <w:p>
      <w:pPr>
        <w:keepNext w:val="false"/>
        <w:spacing w:after="120" w:line="312"/>
        <w:jc w:val="both"/>
      </w:pPr>
      <w:r>
        <w:rPr>
          <w:rFonts w:ascii="Times New Roman" w:eastAsia="Times New Roman"/>
          <w:b w:val="false"/>
          <w:bCs w:val="false"/>
          <w:i w:val="false"/>
          <w:iCs w:val="false"/>
          <w:color w:val="000000"/>
          <w:sz w:val="24"/>
          <w:szCs w:val="24"/>
        </w:rPr>
        <w:t xml:space="preserve">Five recurring principles explain most of the implementation choices and are worth naming explicitly, because any future change should preserve or consciously revise them.</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Event-driven, file-based integration. </w:t>
      </w:r>
      <w:r>
        <w:rPr>
          <w:rFonts w:ascii="Times New Roman" w:eastAsia="Times New Roman"/>
          <w:b w:val="false"/>
          <w:bCs w:val="false"/>
          <w:i w:val="false"/>
          <w:iCs w:val="false"/>
          <w:color w:val="000000"/>
          <w:sz w:val="24"/>
          <w:szCs w:val="24"/>
        </w:rPr>
        <w:t xml:space="preserve">Every upload is a self-contained unit of work; state lives in S3 objects, not in databases. This keeps the system simple and replayable, at the price of file-name conventions becoming a de-facto API.</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Brand isolation. </w:t>
      </w:r>
      <w:r>
        <w:rPr>
          <w:rFonts w:ascii="Times New Roman" w:eastAsia="Times New Roman"/>
          <w:b w:val="false"/>
          <w:bCs w:val="false"/>
          <w:i w:val="false"/>
          <w:iCs w:val="false"/>
          <w:color w:val="000000"/>
          <w:sz w:val="24"/>
          <w:szCs w:val="24"/>
        </w:rPr>
        <w:t xml:space="preserve">Each brand has its own S3 folder, its own handler package and its own ETL modules, so a defect in one brand's transformation cannot corrupt another brand's output - but it also produced large amounts of duplicated code (Chapter 6).</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Configuration lives in Excel. </w:t>
      </w:r>
      <w:r>
        <w:rPr>
          <w:rFonts w:ascii="Times New Roman" w:eastAsia="Times New Roman"/>
          <w:b w:val="false"/>
          <w:bCs w:val="false"/>
          <w:i w:val="false"/>
          <w:iCs w:val="false"/>
          <w:color w:val="000000"/>
          <w:sz w:val="24"/>
          <w:szCs w:val="24"/>
        </w:rPr>
        <w:t xml:space="preserve">The mapping rules, list-of-values (LOV) dictionaries and organisational lookups are maintained by the COE team in workbooks, not in code. The newest brand implementations already read these workbooks at runtime as configuration.</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Resume-on-incomplete. </w:t>
      </w:r>
      <w:r>
        <w:rPr>
          <w:rFonts w:ascii="Times New Roman" w:eastAsia="Times New Roman"/>
          <w:b w:val="false"/>
          <w:bCs w:val="false"/>
          <w:i w:val="false"/>
          <w:iCs w:val="false"/>
          <w:color w:val="000000"/>
          <w:sz w:val="24"/>
          <w:szCs w:val="24"/>
        </w:rPr>
        <w:t xml:space="preserve">Because a brand may upload its file before its companion files, the pipeline tolerates missing inputs by exiting gracefully and retrying on the next upload event instead of failing loudly (Section 6.2).</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Audit-first observability. </w:t>
      </w:r>
      <w:r>
        <w:rPr>
          <w:rFonts w:ascii="Times New Roman" w:eastAsia="Times New Roman"/>
          <w:b w:val="false"/>
          <w:bCs w:val="false"/>
          <w:i w:val="false"/>
          <w:iCs w:val="false"/>
          <w:color w:val="000000"/>
          <w:sz w:val="24"/>
          <w:szCs w:val="24"/>
        </w:rPr>
        <w:t xml:space="preserve">Every invocation writes a structured JSON audit document covering routing, classification, downloads, conversions, ETL statistics and uploaded XML keys (Chapter 12), giving full traceability from S3 event to delivered XML.</w:t>
      </w:r>
    </w:p>
    <w:p>
      <w:pPr>
        <w:pStyle w:val="Heading1"/>
        <w:spacing w:after="160" w:before="360" w:line="312"/>
      </w:pPr>
      <w:bookmarkStart w:id="100013" w:name="_Toc100013"/>
      <w:r>
        <w:rPr>
          <w:rFonts w:ascii="Times New Roman" w:eastAsia="Times New Roman"/>
          <w:b/>
          <w:bCs/>
          <w:color w:val="16324A"/>
          <w:sz w:val="32"/>
          <w:szCs w:val="32"/>
        </w:rPr>
        <w:t xml:space="preserve">3. MAP Portal (User Entry Point)</w:t>
      </w:r>
      <w:bookmarkEnd w:id="100013"/>
    </w:p>
    <w:p>
      <w:pPr>
        <w:pStyle w:val="Heading2"/>
        <w:spacing w:after="120" w:before="260" w:line="312"/>
      </w:pPr>
      <w:bookmarkStart w:id="100014" w:name="_Toc100014"/>
      <w:r>
        <w:rPr>
          <w:rFonts w:ascii="Times New Roman" w:eastAsia="Times New Roman"/>
          <w:b/>
          <w:bCs/>
          <w:color w:val="16324A"/>
          <w:sz w:val="28"/>
          <w:szCs w:val="28"/>
        </w:rPr>
        <w:t xml:space="preserve">3.1 Role in the Landscape and User Groups</w:t>
      </w:r>
      <w:bookmarkEnd w:id="100014"/>
    </w:p>
    <w:p>
      <w:pPr>
        <w:keepNext w:val="false"/>
        <w:spacing w:after="120" w:line="312"/>
        <w:jc w:val="both"/>
      </w:pPr>
      <w:r>
        <w:rPr>
          <w:rFonts w:ascii="Times New Roman" w:eastAsia="Times New Roman"/>
          <w:b w:val="false"/>
          <w:bCs w:val="false"/>
          <w:i w:val="false"/>
          <w:iCs w:val="false"/>
          <w:color w:val="000000"/>
          <w:sz w:val="24"/>
          <w:szCs w:val="24"/>
        </w:rPr>
        <w:t xml:space="preserve">The MAP Portal is the single sanctioned way for humans to put brand files into the pipeline. It is a web application that abstracts the S3 naming and folder rules into a guided form: the user never types a file name and never chooses a folder. Its user base spans four groups with different responsibilities: the COE team, which curates the reference data and typically uploads global files such as the Master Data Dictionary; the Brand teams, which upload principal files (line lists, recaps, order forms) each season; the IT team, which operates the portal and the pipeline behind it; and a set of selected business users with upload rights.</w:t>
      </w:r>
    </w:p>
    <w:p>
      <w:pPr>
        <w:pBdr>
          <w:left w:val="single" w:color="1B6B7A" w:sz="12" w:space="12"/>
        </w:pBdr>
        <w:spacing w:after="160" w:before="100" w:line="300"/>
        <w:ind w:left="200"/>
        <w:jc w:val="left"/>
      </w:pPr>
      <w:r>
        <w:rPr>
          <w:rFonts w:ascii="Times New Roman" w:eastAsia="Times New Roman"/>
          <w:b/>
          <w:bCs/>
          <w:i/>
          <w:iCs/>
          <w:color w:val="334155"/>
          <w:sz w:val="21"/>
          <w:szCs w:val="21"/>
        </w:rPr>
        <w:t xml:space="preserve">Assumption: </w:t>
      </w:r>
      <w:r>
        <w:rPr>
          <w:rFonts w:ascii="Times New Roman" w:eastAsia="Times New Roman"/>
          <w:b w:val="false"/>
          <w:bCs w:val="false"/>
          <w:i/>
          <w:iCs/>
          <w:color w:val="334155"/>
          <w:sz w:val="21"/>
          <w:szCs w:val="21"/>
        </w:rPr>
        <w:t xml:space="preserve">the portal's internal implementation, authentication mechanism and user administration are not documented here because the source was not available for analysis. This chapter describes observed behaviour: the dropdown contract, the generated file names and the S3 write target. Section 3.5 lists what should be captured to close this gap.</w:t>
      </w:r>
    </w:p>
    <w:p>
      <w:pPr>
        <w:pStyle w:val="Heading2"/>
        <w:spacing w:after="120" w:before="260" w:line="312"/>
      </w:pPr>
      <w:bookmarkStart w:id="100015" w:name="_Toc100015"/>
      <w:r>
        <w:rPr>
          <w:rFonts w:ascii="Times New Roman" w:eastAsia="Times New Roman"/>
          <w:b/>
          <w:bCs/>
          <w:color w:val="16324A"/>
          <w:sz w:val="28"/>
          <w:szCs w:val="28"/>
        </w:rPr>
        <w:t xml:space="preserve">3.2 Upload Workflow</w:t>
      </w:r>
      <w:bookmarkEnd w:id="100015"/>
    </w:p>
    <w:p>
      <w:pPr>
        <w:keepNext w:val="false"/>
        <w:spacing w:after="120" w:line="312"/>
        <w:jc w:val="both"/>
      </w:pPr>
      <w:r>
        <w:rPr>
          <w:rFonts w:ascii="Times New Roman" w:eastAsia="Times New Roman"/>
          <w:b w:val="false"/>
          <w:bCs w:val="false"/>
          <w:i w:val="false"/>
          <w:iCs w:val="false"/>
          <w:color w:val="000000"/>
          <w:sz w:val="24"/>
          <w:szCs w:val="24"/>
        </w:rPr>
        <w:t xml:space="preserve">An upload session consists of two steps. First, the user classifies the file by selecting eight values from dropdown lists; every value has a display label and a code, and only the code reaches the file name. Second, the user drops the Excel file, and the portal uploads it to the S3 raw bucket under the folder of the selected brand, with the standardised name composed from the dropdown codes.</w:t>
      </w:r>
    </w:p>
    <w:p>
      <w:pPr>
        <w:keepNext/>
        <w:spacing w:after="80" w:before="160" w:line="312"/>
        <w:jc w:val="left"/>
      </w:pPr>
      <w:r>
        <w:rPr>
          <w:rFonts w:ascii="Times New Roman" w:eastAsia="Times New Roman"/>
          <w:b/>
          <w:bCs/>
          <w:color w:val="16324A"/>
          <w:sz w:val="21"/>
          <w:szCs w:val="21"/>
        </w:rPr>
        <w:t xml:space="preserve">Table 3-1 - Dropdown contract of the MAP Portal (display label - code used in file name)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Dropdown</w:t>
            </w:r>
          </w:p>
        </w:tc>
        <w:tc>
          <w:tcPr>
            <w:tcW w:type="pct" w:w="4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Example selection</w:t>
            </w:r>
          </w:p>
        </w:tc>
        <w:tc>
          <w:tcPr>
            <w:tcW w:type="pct" w:w="3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Code in file name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Company Code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PT. MAP Aktif Adiperkasa Tbk</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0888</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Season</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Spring</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SP</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Name / Principal</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ELLESSE</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ELLESSE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File Type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Recap Sample</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Recap Sample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SBU</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MAA Sport (SP)</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MAA Sport (SP)</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License / Inline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License</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Licensed</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 / Mono</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Indonesia</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ID</w:t>
            </w:r>
          </w:p>
        </w:tc>
      </w:tr>
    </w:tbl>
    <w:p>
      <w:pPr>
        <w:spacing w:after="140" w:line="240"/>
      </w:pPr>
      <w:r>
        <w:rPr>
          <w:sz w:val="2"/>
          <w:szCs w:val="2"/>
        </w:rPr>
        <w:t xml:space="preserve"> </w:t>
      </w:r>
    </w:p>
    <w:p>
      <w:pPr>
        <w:keepNext w:val="false"/>
        <w:spacing w:after="120" w:line="312"/>
        <w:jc w:val="both"/>
      </w:pPr>
      <w:r>
        <w:rPr>
          <w:rFonts w:ascii="Times New Roman" w:eastAsia="Times New Roman"/>
          <w:b w:val="false"/>
          <w:bCs w:val="false"/>
          <w:i w:val="false"/>
          <w:iCs w:val="false"/>
          <w:color w:val="000000"/>
          <w:sz w:val="24"/>
          <w:szCs w:val="24"/>
        </w:rPr>
        <w:t xml:space="preserve">The SBU and License selections are appended to the file-type segment, so the file-type part of the name carries three facts at once. In the worked example the file type segment becomes Recap Sample MAA Sport Licensed. The Multi/Mono indicator records whether the file covers a single brand or several, and the country code identifies the market for which the data is destined.</w:t>
      </w:r>
    </w:p>
    <w:p>
      <w:pPr>
        <w:pStyle w:val="Heading2"/>
        <w:spacing w:after="120" w:before="260" w:line="312"/>
      </w:pPr>
      <w:bookmarkStart w:id="100016" w:name="_Toc100016"/>
      <w:r>
        <w:rPr>
          <w:rFonts w:ascii="Times New Roman" w:eastAsia="Times New Roman"/>
          <w:b/>
          <w:bCs/>
          <w:color w:val="16324A"/>
          <w:sz w:val="28"/>
          <w:szCs w:val="28"/>
        </w:rPr>
        <w:t xml:space="preserve">3.3 Automated File Naming</w:t>
      </w:r>
      <w:bookmarkEnd w:id="100016"/>
    </w:p>
    <w:p>
      <w:pPr>
        <w:keepNext w:val="false"/>
        <w:spacing w:after="120" w:line="312"/>
        <w:jc w:val="both"/>
      </w:pPr>
      <w:r>
        <w:rPr>
          <w:rFonts w:ascii="Times New Roman" w:eastAsia="Times New Roman"/>
          <w:b w:val="false"/>
          <w:bCs w:val="false"/>
          <w:i w:val="false"/>
          <w:iCs w:val="false"/>
          <w:color w:val="000000"/>
          <w:sz w:val="24"/>
          <w:szCs w:val="24"/>
        </w:rPr>
        <w:t xml:space="preserve">The generated name concatenates the dropdown codes with hyphens, appends a sequence number and the original extension. Figure 3-1 decodes every segment of the real sample name. The sequence number (the trailing -1) increments on repeated uploads of the same classification, which gives natural versioning: the ETL lists the brand folder and takes the latest file of each classified type.</w:t>
      </w:r>
    </w:p>
    <w:p>
      <w:pPr>
        <w:keepNext/>
        <w:spacing w:after="60" w:before="160"/>
        <w:jc w:val="center"/>
      </w:pPr>
      <w:r>
        <w:drawing>
          <wp:inline distT="0" distB="0" distL="0" distR="0">
            <wp:extent cx="53816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81625" cy="1657350"/>
                    </a:xfrm>
                    <a:prstGeom prst="rect">
                      <a:avLst/>
                    </a:prstGeom>
                  </pic:spPr>
                </pic:pic>
              </a:graphicData>
            </a:graphic>
          </wp:inline>
        </w:drawing>
      </w:r>
    </w:p>
    <w:p>
      <w:pPr>
        <w:spacing w:after="200" w:line="276"/>
        <w:jc w:val="center"/>
      </w:pPr>
      <w:r>
        <w:rPr>
          <w:rFonts w:ascii="Times New Roman" w:eastAsia="Times New Roman"/>
          <w:i/>
          <w:iCs/>
          <w:color w:val="5B6B7D"/>
          <w:sz w:val="20"/>
          <w:szCs w:val="20"/>
        </w:rPr>
        <w:t xml:space="preserve">Figure 3-1 - Segment decoder for the standardised input file name (worked example from the supplied sample)</w:t>
      </w:r>
    </w:p>
    <w:p>
      <w:pPr>
        <w:pStyle w:val="Heading2"/>
        <w:spacing w:after="120" w:before="260" w:line="312"/>
      </w:pPr>
      <w:bookmarkStart w:id="100017" w:name="_Toc100017"/>
      <w:r>
        <w:rPr>
          <w:rFonts w:ascii="Times New Roman" w:eastAsia="Times New Roman"/>
          <w:b/>
          <w:bCs/>
          <w:color w:val="16324A"/>
          <w:sz w:val="28"/>
          <w:szCs w:val="28"/>
        </w:rPr>
        <w:t xml:space="preserve">3.4 Write Target and Downstream Effect</w:t>
      </w:r>
      <w:bookmarkEnd w:id="100017"/>
    </w:p>
    <w:p>
      <w:pPr>
        <w:keepNext w:val="false"/>
        <w:spacing w:after="120" w:line="312"/>
        <w:jc w:val="both"/>
      </w:pPr>
      <w:r>
        <w:rPr>
          <w:rFonts w:ascii="Times New Roman" w:eastAsia="Times New Roman"/>
          <w:b w:val="false"/>
          <w:bCs w:val="false"/>
          <w:i w:val="false"/>
          <w:iCs w:val="false"/>
          <w:color w:val="000000"/>
          <w:sz w:val="24"/>
          <w:szCs w:val="24"/>
        </w:rPr>
        <w:t xml:space="preserve">The portal writes the object to s3://{RAW_BUCKET}/raw/metadata/{brand-folder}/, where the brand folder is the lower-case principal used by the router (for example ellesse). Global reference files - the Master Data Dictionary, the attributes list and the naming workbook - are uploaded by the COE team to the raw/metadata/ root without a brand folder, which the router recognises as a global event and fans out to every brand (Section 5.5). From the moment the object lands, the pipeline is fully automatic: the portal's responsibility ends at the S3 write, and the user's confirmation is the S3 upload success message rather than a transformation result. Consequences of this design are discussed in Chapter 16 (the user currently learns about validation problems only indirectly, through the COE team or the audit logs).</w:t>
      </w:r>
    </w:p>
    <w:p>
      <w:pPr>
        <w:pStyle w:val="Heading2"/>
        <w:spacing w:after="120" w:before="260" w:line="312"/>
      </w:pPr>
      <w:bookmarkStart w:id="100018" w:name="_Toc100018"/>
      <w:r>
        <w:rPr>
          <w:rFonts w:ascii="Times New Roman" w:eastAsia="Times New Roman"/>
          <w:b/>
          <w:bCs/>
          <w:color w:val="16324A"/>
          <w:sz w:val="28"/>
          <w:szCs w:val="28"/>
        </w:rPr>
        <w:t xml:space="preserve">3.5 Documented Assumptions and Open Questions</w:t>
      </w:r>
      <w:bookmarkEnd w:id="100018"/>
    </w:p>
    <w:p>
      <w:pPr>
        <w:keepNext w:val="false"/>
        <w:spacing w:after="120" w:line="312"/>
        <w:jc w:val="both"/>
      </w:pPr>
      <w:r>
        <w:rPr>
          <w:rFonts w:ascii="Times New Roman" w:eastAsia="Times New Roman"/>
          <w:b w:val="false"/>
          <w:bCs w:val="false"/>
          <w:i w:val="false"/>
          <w:iCs w:val="false"/>
          <w:color w:val="000000"/>
          <w:sz w:val="24"/>
          <w:szCs w:val="24"/>
        </w:rPr>
        <w:t xml:space="preserve">Four aspects of the portal should be captured formally, because the pipeline contract depends on them. First, the exact mapping from dropdown selection to brand folder code (for example ELLESSE to ellesse, DR MARTENS to dr-martens) - currently inferred from the router registry. Second, the authentication model and the user-permission matrix (who may upload for which brand). Third, the portal-side validation, if any, of file extension and size. Fourth, whether the portal enforces or merely encourages the sequence-number convention. These gaps are reflected as items in the Known Issues register (Chapter 13) and in the recommendation to formalise the naming convention (Section 4.4).</w:t>
      </w:r>
    </w:p>
    <w:p>
      <w:pPr>
        <w:pStyle w:val="Heading1"/>
        <w:spacing w:after="160" w:before="360" w:line="312"/>
      </w:pPr>
      <w:bookmarkStart w:id="100019" w:name="_Toc100019"/>
      <w:r>
        <w:rPr>
          <w:rFonts w:ascii="Times New Roman" w:eastAsia="Times New Roman"/>
          <w:b/>
          <w:bCs/>
          <w:color w:val="16324A"/>
          <w:sz w:val="32"/>
          <w:szCs w:val="32"/>
        </w:rPr>
        <w:t xml:space="preserve">4. Naming Convention and File Classification</w:t>
      </w:r>
      <w:bookmarkEnd w:id="100019"/>
    </w:p>
    <w:p>
      <w:pPr>
        <w:pStyle w:val="Heading2"/>
        <w:spacing w:after="120" w:before="260" w:line="312"/>
      </w:pPr>
      <w:bookmarkStart w:id="100020" w:name="_Toc100020"/>
      <w:r>
        <w:rPr>
          <w:rFonts w:ascii="Times New Roman" w:eastAsia="Times New Roman"/>
          <w:b/>
          <w:bCs/>
          <w:color w:val="16324A"/>
          <w:sz w:val="28"/>
          <w:szCs w:val="28"/>
        </w:rPr>
        <w:t xml:space="preserve">4.1 Why the File Name Is an Interface</w:t>
      </w:r>
      <w:bookmarkEnd w:id="100020"/>
    </w:p>
    <w:p>
      <w:pPr>
        <w:keepNext w:val="false"/>
        <w:spacing w:after="120" w:line="312"/>
        <w:jc w:val="both"/>
      </w:pPr>
      <w:r>
        <w:rPr>
          <w:rFonts w:ascii="Times New Roman" w:eastAsia="Times New Roman"/>
          <w:b w:val="false"/>
          <w:bCs w:val="false"/>
          <w:i w:val="false"/>
          <w:iCs w:val="false"/>
          <w:color w:val="000000"/>
          <w:sz w:val="24"/>
          <w:szCs w:val="24"/>
        </w:rPr>
        <w:t xml:space="preserve">In the current architecture the file name is the primary machine-readable metadata carrier. The transform Lambda uses it three times: to classify the business file type (which ETL module to run), to extract season, SBU and country context, and - in the delivery stage - to choose the Stibo IIEP endpoint. Changing the naming scheme is therefore not cosmetic: any change is a breaking change to at least three consumers. This chapter documents the de-facto convention as implemented, and contrasts it with the proposal that the COE team has recorded but not yet ratified.</w:t>
      </w:r>
    </w:p>
    <w:p>
      <w:pPr>
        <w:pStyle w:val="Heading2"/>
        <w:spacing w:after="120" w:before="260" w:line="312"/>
      </w:pPr>
      <w:bookmarkStart w:id="100021" w:name="_Toc100021"/>
      <w:r>
        <w:rPr>
          <w:rFonts w:ascii="Times New Roman" w:eastAsia="Times New Roman"/>
          <w:b/>
          <w:bCs/>
          <w:color w:val="16324A"/>
          <w:sz w:val="28"/>
          <w:szCs w:val="28"/>
        </w:rPr>
        <w:t xml:space="preserve">4.2 Filename Segment Decoder</w:t>
      </w:r>
      <w:bookmarkEnd w:id="100021"/>
    </w:p>
    <w:p>
      <w:pPr>
        <w:keepNext/>
        <w:spacing w:after="80" w:before="160" w:line="312"/>
        <w:jc w:val="left"/>
      </w:pPr>
      <w:r>
        <w:rPr>
          <w:rFonts w:ascii="Times New Roman" w:eastAsia="Times New Roman"/>
          <w:b/>
          <w:bCs/>
          <w:color w:val="16324A"/>
          <w:sz w:val="21"/>
          <w:szCs w:val="21"/>
        </w:rPr>
        <w:t xml:space="preserve">Table 4-1 - Filename segments and their consumers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1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Segment</w:t>
            </w:r>
          </w:p>
        </w:tc>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Example</w:t>
            </w:r>
          </w:p>
        </w:tc>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Meaning</w:t>
            </w:r>
          </w:p>
        </w:tc>
        <w:tc>
          <w:tcPr>
            <w:tcW w:type="pct" w:w="2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Primary consumers</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Company code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0888</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SAP company code of the legal entity (0888 = PT. MAP Aktif Adiperkasa Tbk)</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ETL defaults (AT_CompanyCode)</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SBU code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SP</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Strategic business unit (SP = MAA Sport)</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ETL defaults (AT_SBU), audit metadata</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name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ELLESSE</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Principal brand name as displayed in the portal dropdown</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Human readers; brand itself is taken from the S3 folder, not the name</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File type block</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Recap Sample MAA Sport Licensed</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Business file type plus embedded SBU and License qualifiers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File-type classification, ETL dispatch, endpoint routing</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 / Mono</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Multi-brand or mono-brand batch</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Classification context</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Season + year</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SP2027</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Season code with full year (SP, FW, and variants)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Season classification, classification hierarchy naming</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ID</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Destination market (ID = Indonesia)</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 defaults, currency resolution</w:t>
            </w:r>
          </w:p>
        </w:tc>
      </w:tr>
      <w:tr>
        <w:trPr>
          <w:cantSplit/>
        </w:trPr>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Sequence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Upload counter per classification; increments on re-upload</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Latest-wins file selection in the ETL</w:t>
            </w:r>
          </w:p>
        </w:tc>
      </w:tr>
    </w:tbl>
    <w:p>
      <w:pPr>
        <w:spacing w:after="140" w:line="240"/>
      </w:pPr>
      <w:r>
        <w:rPr>
          <w:sz w:val="2"/>
          <w:szCs w:val="2"/>
        </w:rPr>
        <w:t xml:space="preserve"> </w:t>
      </w:r>
    </w:p>
    <w:p>
      <w:pPr>
        <w:pStyle w:val="Heading2"/>
        <w:spacing w:after="120" w:before="260" w:line="312"/>
      </w:pPr>
      <w:bookmarkStart w:id="100022" w:name="_Toc100022"/>
      <w:r>
        <w:rPr>
          <w:rFonts w:ascii="Times New Roman" w:eastAsia="Times New Roman"/>
          <w:b/>
          <w:bCs/>
          <w:color w:val="16324A"/>
          <w:sz w:val="28"/>
          <w:szCs w:val="28"/>
        </w:rPr>
        <w:t xml:space="preserve">4.3 File Type Taxonomy and Endpoint Mapping</w:t>
      </w:r>
      <w:bookmarkEnd w:id="100022"/>
    </w:p>
    <w:p>
      <w:pPr>
        <w:keepNext w:val="false"/>
        <w:spacing w:after="120" w:line="312"/>
        <w:jc w:val="both"/>
      </w:pPr>
      <w:r>
        <w:rPr>
          <w:rFonts w:ascii="Times New Roman" w:eastAsia="Times New Roman"/>
          <w:b w:val="false"/>
          <w:bCs w:val="false"/>
          <w:i w:val="false"/>
          <w:iCs w:val="false"/>
          <w:color w:val="000000"/>
          <w:sz w:val="24"/>
          <w:szCs w:val="24"/>
        </w:rPr>
        <w:t xml:space="preserve">The delivery Lambda routes every XML by case-insensitive regular expressions over the file name. The rules are evaluated in order and the first match wins, so more specific patterns are deliberately placed before broader ones - for example, TDD must be matched before Price List, because a file named TDD and Price List contains the latter phrase. Table 4-2 reproduces the complete, ordered rule set from the send-to-step function; it is effectively the contract between the transform layer and Stibo.</w:t>
      </w:r>
    </w:p>
    <w:p>
      <w:pPr>
        <w:keepNext/>
        <w:spacing w:after="80" w:before="160" w:line="312"/>
        <w:jc w:val="left"/>
      </w:pPr>
      <w:r>
        <w:rPr>
          <w:rFonts w:ascii="Times New Roman" w:eastAsia="Times New Roman"/>
          <w:b/>
          <w:bCs/>
          <w:color w:val="16324A"/>
          <w:sz w:val="21"/>
          <w:szCs w:val="21"/>
        </w:rPr>
        <w:t xml:space="preserve">Table 4-2 - Filename routing rules to Stibo endpoints (ordered, first match wins)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w:t>
            </w:r>
          </w:p>
        </w:tc>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Pattern (regex, case-insensitive)</w:t>
            </w:r>
          </w:p>
        </w:tc>
        <w:tc>
          <w:tcPr>
            <w:tcW w:type="pct" w:w="20%"/>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Endpoint</w:t>
            </w:r>
          </w:p>
        </w:tc>
        <w:tc>
          <w:tcPr>
            <w:tcW w:type="pct" w:w="40%"/>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Typical files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\btdd\b</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Maintenance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 TDD files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\bdtb\b</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Maintenance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 DTB files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3</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ecommerce|eommerce</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Maintenance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E-commerce content files (incl. common misspelling)</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4</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line\s*list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 lists (all spellings: Line List, Linelist, LineList)</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5</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linesheet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Linesheets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6</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recap\s*sample</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 sample files (e.g. the Ellesse SP2027 sample)</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7</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price\s*list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 lists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8</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price\s*master</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 master (Dr. Martens)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9</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product\s*bible</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2XU product bible</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10</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\binline\b</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Inline catalogues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11</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receive.*linelist; 1st\s*revise.*linelist; 2nd\s*revise.*linelist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Revised line list rounds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12</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ofs[-\s]*fc[-\s]*pt[-\s]*mitra</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Birkenstock OFS FC PT Mitra</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13</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fob.*(order\s*form|orderform); order-form-with-lotto combinations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Planning</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FOB and Lotto order forms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14</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backlog</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Backlog files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15</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ean\s*source</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source files (many brands)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16</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order\s*sheet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sheets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17</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packing\s*list; packaging\s*list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Packing / packaging lists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18</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\boor\b</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Open order reports (Aldo)</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19</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order\s*confirmation</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confirmations (2XU, Nike, Crocs)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20</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open\s*shipment; shipment\s*confirmation</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Shipment documents (Crocs)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21</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order\s*form</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Generic order forms (fallback after the FOB/Lotto-specific rules)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22</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\btaf\b; planet\s*sport</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 Running TAF and Planet Sport files</w:t>
            </w:r>
          </w:p>
        </w:tc>
      </w:tr>
      <w:tr>
        <w:trPr>
          <w:cantSplit/>
        </w:trPr>
        <w:tc>
          <w:tcPr>
            <w:tcW w:type="pct" w:w="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23</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fob\s*order(?!\s*form|form)</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 Update</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FOB order documents that are not order forms</w:t>
            </w:r>
          </w:p>
        </w:tc>
      </w:tr>
    </w:tbl>
    <w:p>
      <w:pPr>
        <w:spacing w:after="140" w:line="240"/>
      </w:pPr>
      <w:r>
        <w:rPr>
          <w:sz w:val="2"/>
          <w:szCs w:val="2"/>
        </w:rPr>
        <w:t xml:space="preserve"> </w:t>
      </w:r>
    </w:p>
    <w:p>
      <w:pPr>
        <w:pBdr>
          <w:left w:val="single" w:color="1B6B7A" w:sz="12" w:space="12"/>
        </w:pBdr>
        <w:spacing w:after="160" w:before="100" w:line="300"/>
        <w:ind w:left="200"/>
        <w:jc w:val="left"/>
      </w:pPr>
      <w:r>
        <w:rPr>
          <w:rFonts w:ascii="Times New Roman" w:eastAsia="Times New Roman"/>
          <w:b/>
          <w:bCs/>
          <w:i/>
          <w:iCs/>
          <w:color w:val="334155"/>
          <w:sz w:val="21"/>
          <w:szCs w:val="21"/>
        </w:rPr>
        <w:t xml:space="preserve">Consequence: </w:t>
      </w:r>
      <w:r>
        <w:rPr>
          <w:rFonts w:ascii="Times New Roman" w:eastAsia="Times New Roman"/>
          <w:b w:val="false"/>
          <w:bCs w:val="false"/>
          <w:i/>
          <w:iCs/>
          <w:color w:val="334155"/>
          <w:sz w:val="21"/>
          <w:szCs w:val="21"/>
        </w:rPr>
        <w:t xml:space="preserve">a new business file type must be registered in three places at once - the brand handler's keyword dictionary (transform), the routing table above (delivery) and the naming dropdown in the MAP Portal. Missing any one produces files that are transformed but never delivered, or delivered to the wrong endpoint. This triple-registration is a known maintenance burden (Chapter 13).</w:t>
      </w:r>
    </w:p>
    <w:p>
      <w:pPr>
        <w:pStyle w:val="Heading2"/>
        <w:spacing w:after="120" w:before="260" w:line="312"/>
      </w:pPr>
      <w:bookmarkStart w:id="100023" w:name="_Toc100023"/>
      <w:r>
        <w:rPr>
          <w:rFonts w:ascii="Times New Roman" w:eastAsia="Times New Roman"/>
          <w:b/>
          <w:bCs/>
          <w:color w:val="16324A"/>
          <w:sz w:val="28"/>
          <w:szCs w:val="28"/>
        </w:rPr>
        <w:t xml:space="preserve">4.4 Current Practice versus the COE Naming Proposal</w:t>
      </w:r>
      <w:bookmarkEnd w:id="100023"/>
    </w:p>
    <w:p>
      <w:pPr>
        <w:keepNext w:val="false"/>
        <w:spacing w:after="120" w:line="312"/>
        <w:jc w:val="both"/>
      </w:pPr>
      <w:r>
        <w:rPr>
          <w:rFonts w:ascii="Times New Roman" w:eastAsia="Times New Roman"/>
          <w:b w:val="false"/>
          <w:bCs w:val="false"/>
          <w:i w:val="false"/>
          <w:iCs w:val="false"/>
          <w:color w:val="000000"/>
          <w:sz w:val="24"/>
          <w:szCs w:val="24"/>
        </w:rPr>
        <w:t xml:space="preserve">The naming workbook contains a proposal that has not been implemented: [compcode]-[SBU Code]-[Brand Code]-[Season Code + YY]-[Inline/Licensed]-[Source File Type]-[Multi/Mono]-[Sequence Number]. The real sample deviates from it in three ways: it uses the brand name instead of the brand code (ELLESSE instead of ELL), it embeds SBU and License inside the file-type segment, and it uses the full year (SP2027) instead of the two-digit year (SP27). Table 4-3 summarises the differences. Until the convention is ratified and the portal updated, the pipeline must keep tolerating both variants; the ETL classification is therefore keyword-based rather than position-based.</w:t>
      </w:r>
    </w:p>
    <w:p>
      <w:pPr>
        <w:keepNext/>
        <w:spacing w:after="80" w:before="160" w:line="312"/>
        <w:jc w:val="left"/>
      </w:pPr>
      <w:r>
        <w:rPr>
          <w:rFonts w:ascii="Times New Roman" w:eastAsia="Times New Roman"/>
          <w:b/>
          <w:bCs/>
          <w:color w:val="16324A"/>
          <w:sz w:val="21"/>
          <w:szCs w:val="21"/>
        </w:rPr>
        <w:t xml:space="preserve">Table 4-3 - Current naming practice vs. the unratified COE proposal</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Aspect</w:t>
            </w:r>
          </w:p>
        </w:tc>
        <w:tc>
          <w:tcPr>
            <w:tcW w:type="pct" w:w="4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Current practice (observed)</w:t>
            </w:r>
          </w:p>
        </w:tc>
        <w:tc>
          <w:tcPr>
            <w:tcW w:type="pct" w:w="3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COE proposal (not yet live)</w:t>
            </w:r>
          </w:p>
        </w:tc>
      </w:tr>
      <w:tr>
        <w:trPr>
          <w:cantSplit/>
        </w:trPr>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Segment order</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compcode-SBU-brandname-filetype(+SBU+License)-multimono-seasonFY-country-seq</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compcode-SBU-brandcode-seasonYY-licensetype-filetype-multimono-seq</w:t>
            </w:r>
          </w:p>
        </w:tc>
      </w:tr>
      <w:tr>
        <w:trPr>
          <w:cantSplit/>
        </w:trPr>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identifier</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name (ELLESSE)</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code (ELL)</w:t>
            </w:r>
          </w:p>
        </w:tc>
      </w:tr>
      <w:tr>
        <w:trPr>
          <w:cantSplit/>
        </w:trPr>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Year form</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Full year (SP2027)</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Two-digit year (SP27)</w:t>
            </w:r>
          </w:p>
        </w:tc>
      </w:tr>
      <w:tr>
        <w:trPr>
          <w:cantSplit/>
        </w:trPr>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SBU / License</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Embedded in file-type block</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Separate dedicated segments</w:t>
            </w:r>
          </w:p>
        </w:tc>
      </w:tr>
      <w:tr>
        <w:trPr>
          <w:cantSplit/>
        </w:trPr>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w:t>
            </w:r>
          </w:p>
        </w:tc>
        <w:tc>
          <w:tcPr>
            <w:tcW w:type="pct" w:w="4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Present (ID)</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Not in the proposal</w:t>
            </w:r>
          </w:p>
        </w:tc>
      </w:tr>
    </w:tbl>
    <w:p>
      <w:pPr>
        <w:spacing w:after="140" w:line="240"/>
      </w:pPr>
      <w:r>
        <w:rPr>
          <w:sz w:val="2"/>
          <w:szCs w:val="2"/>
        </w:rPr>
        <w:t xml:space="preserve"> </w:t>
      </w:r>
    </w:p>
    <w:p>
      <w:pPr>
        <w:pStyle w:val="Heading2"/>
        <w:spacing w:after="120" w:before="260" w:line="312"/>
      </w:pPr>
      <w:bookmarkStart w:id="100024" w:name="_Toc100024"/>
      <w:r>
        <w:rPr>
          <w:rFonts w:ascii="Times New Roman" w:eastAsia="Times New Roman"/>
          <w:b/>
          <w:bCs/>
          <w:color w:val="16324A"/>
          <w:sz w:val="28"/>
          <w:szCs w:val="28"/>
        </w:rPr>
        <w:t xml:space="preserve">4.5 Supported Input Formats and Conversion</w:t>
      </w:r>
      <w:bookmarkEnd w:id="100024"/>
    </w:p>
    <w:p>
      <w:pPr>
        <w:keepNext w:val="false"/>
        <w:spacing w:after="120" w:line="312"/>
        <w:jc w:val="both"/>
      </w:pPr>
      <w:r>
        <w:rPr>
          <w:rFonts w:ascii="Times New Roman" w:eastAsia="Times New Roman"/>
          <w:b w:val="false"/>
          <w:bCs w:val="false"/>
          <w:i w:val="false"/>
          <w:iCs w:val="false"/>
          <w:color w:val="000000"/>
          <w:sz w:val="24"/>
          <w:szCs w:val="24"/>
        </w:rPr>
        <w:t xml:space="preserve">The pipeline accepts .xlsx natively, and the brand handlers convert two further formats before parsing: .xlsb (binary Excel, used by some principals for large files) and .csv. Conversions use pandas with the pyxlsb engine and write a temporary .xlsx into the brand's work directory; conversion outcomes are recorded in the audit document. Some brand flows also tolerate .xlsm. Because conversion changes timestamps and may lose sheet-level quirks, the documentation of each brand's ETL in Chapter 7 notes whether its principals actually send non-xlsx files. Files with macros other than xlsm, password-protected workbooks and non-Excel formats are not supported and will fail classification.</w:t>
      </w:r>
    </w:p>
    <w:p>
      <w:pPr>
        <w:pStyle w:val="Heading1"/>
        <w:spacing w:after="160" w:before="360" w:line="312"/>
      </w:pPr>
      <w:bookmarkStart w:id="100025" w:name="_Toc100025"/>
      <w:r>
        <w:rPr>
          <w:rFonts w:ascii="Times New Roman" w:eastAsia="Times New Roman"/>
          <w:b/>
          <w:bCs/>
          <w:color w:val="16324A"/>
          <w:sz w:val="32"/>
          <w:szCs w:val="32"/>
        </w:rPr>
        <w:t xml:space="preserve">5. AWS Infrastructure and Routing Layer</w:t>
      </w:r>
      <w:bookmarkEnd w:id="100025"/>
    </w:p>
    <w:p>
      <w:pPr>
        <w:pStyle w:val="Heading2"/>
        <w:spacing w:after="120" w:before="260" w:line="312"/>
      </w:pPr>
      <w:bookmarkStart w:id="100026" w:name="_Toc100026"/>
      <w:r>
        <w:rPr>
          <w:rFonts w:ascii="Times New Roman" w:eastAsia="Times New Roman"/>
          <w:b/>
          <w:bCs/>
          <w:color w:val="16324A"/>
          <w:sz w:val="28"/>
          <w:szCs w:val="28"/>
        </w:rPr>
        <w:t xml:space="preserve">5.1 S3 Storage Layout</w:t>
      </w:r>
      <w:bookmarkEnd w:id="100026"/>
    </w:p>
    <w:p>
      <w:pPr>
        <w:keepNext w:val="false"/>
        <w:spacing w:after="120" w:line="312"/>
        <w:jc w:val="both"/>
      </w:pPr>
      <w:r>
        <w:rPr>
          <w:rFonts w:ascii="Times New Roman" w:eastAsia="Times New Roman"/>
          <w:b w:val="false"/>
          <w:bCs w:val="false"/>
          <w:i w:val="false"/>
          <w:iCs w:val="false"/>
          <w:color w:val="000000"/>
          <w:sz w:val="24"/>
          <w:szCs w:val="24"/>
        </w:rPr>
        <w:t xml:space="preserve">Two buckets carry all persistent state (their names are injected via the RAW_BUCKET and PROCESSED_BUCKET environment variables). The raw bucket is both the landing zone for inputs and the archive for audit evidence; the processed bucket holds the generated STEPXML and the delivery receipts. Table 5-1 lists every prefix with its producer and consumer.</w:t>
      </w:r>
    </w:p>
    <w:p>
      <w:pPr>
        <w:keepNext/>
        <w:spacing w:after="80" w:before="160" w:line="312"/>
        <w:jc w:val="left"/>
      </w:pPr>
      <w:r>
        <w:rPr>
          <w:rFonts w:ascii="Times New Roman" w:eastAsia="Times New Roman"/>
          <w:b/>
          <w:bCs/>
          <w:color w:val="16324A"/>
          <w:sz w:val="21"/>
          <w:szCs w:val="21"/>
        </w:rPr>
        <w:t xml:space="preserve">Table 5-1 - S3 prefix layout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Prefix</w:t>
            </w:r>
          </w:p>
        </w:tc>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Written by</w:t>
            </w:r>
          </w:p>
        </w:tc>
        <w:tc>
          <w:tcPr>
            <w:tcW w:type="pct" w:w="2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Read by</w:t>
            </w:r>
          </w:p>
        </w:tc>
        <w:tc>
          <w:tcPr>
            <w:tcW w:type="pct" w:w="2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Content</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raw/metadata/{brand}/</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 Portal</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Transform Lambda (brand files)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Standardised brand Excel files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raw/metadata/ (root)</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COE via MAP Portal</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Transform Lambda (all brands)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Global Master Data Dictionary, Attributes List, Naming workbook</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raw/logs/{brand}/</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Transform Lambda</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Operations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Audit JSON, one per invocation: raw/logs/{brand}/{YYYYMMDD_HHMMSS}.json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processed/stepxml/{brand}/</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Transform Lambda</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Send-to-step Lambda</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Generated STEPXML files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processed/stepxml/bgid/{brand}/</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Send-to-step Lambda</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Operations, future feedback loop</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Delivery receipts: file name, bgId, endpoint, timestamp</w:t>
            </w:r>
          </w:p>
        </w:tc>
      </w:tr>
    </w:tbl>
    <w:p>
      <w:pPr>
        <w:spacing w:after="140" w:line="240"/>
      </w:pPr>
      <w:r>
        <w:rPr>
          <w:sz w:val="2"/>
          <w:szCs w:val="2"/>
        </w:rPr>
        <w:t xml:space="preserve"> </w:t>
      </w:r>
    </w:p>
    <w:p>
      <w:pPr>
        <w:pStyle w:val="Heading2"/>
        <w:spacing w:after="120" w:before="260" w:line="312"/>
      </w:pPr>
      <w:bookmarkStart w:id="100027" w:name="_Toc100027"/>
      <w:r>
        <w:rPr>
          <w:rFonts w:ascii="Times New Roman" w:eastAsia="Times New Roman"/>
          <w:b/>
          <w:bCs/>
          <w:color w:val="16324A"/>
          <w:sz w:val="28"/>
          <w:szCs w:val="28"/>
        </w:rPr>
        <w:t xml:space="preserve">5.2 EventBridge Trigger</w:t>
      </w:r>
      <w:bookmarkEnd w:id="100027"/>
    </w:p>
    <w:p>
      <w:pPr>
        <w:keepNext w:val="false"/>
        <w:spacing w:after="120" w:line="312"/>
        <w:jc w:val="both"/>
      </w:pPr>
      <w:r>
        <w:rPr>
          <w:rFonts w:ascii="Times New Roman" w:eastAsia="Times New Roman"/>
          <w:b w:val="false"/>
          <w:bCs w:val="false"/>
          <w:i w:val="false"/>
          <w:iCs w:val="false"/>
          <w:color w:val="000000"/>
          <w:sz w:val="24"/>
          <w:szCs w:val="24"/>
        </w:rPr>
        <w:t xml:space="preserve">An EventBridge rule with event pattern s3:ObjectCreated:* on the raw bucket invokes the transform Lambda for every new object. The event payload carries only the bucket name and object key; everything else - brand, file type, season - is derived from the key. Two behavioural consequences follow. First, re-uploading a file with an incremented sequence number is the mechanism for correction: nothing edits previous objects, the new file simply wins the latest-wins selection. Second, because every object triggers an invocation, accidental uploads to the wrong folder are harmless but noisy: the router returns an ignore or a no-processor response and writes an audit record.</w:t>
      </w:r>
    </w:p>
    <w:p>
      <w:pPr>
        <w:pStyle w:val="Heading2"/>
        <w:spacing w:after="120" w:before="260" w:line="312"/>
      </w:pPr>
      <w:bookmarkStart w:id="100028" w:name="_Toc100028"/>
      <w:r>
        <w:rPr>
          <w:rFonts w:ascii="Times New Roman" w:eastAsia="Times New Roman"/>
          <w:b/>
          <w:bCs/>
          <w:color w:val="16324A"/>
          <w:sz w:val="28"/>
          <w:szCs w:val="28"/>
        </w:rPr>
        <w:t xml:space="preserve">5.3 Lambda Function Inventory</w:t>
      </w:r>
      <w:bookmarkEnd w:id="100028"/>
    </w:p>
    <w:p>
      <w:pPr>
        <w:keepNext/>
        <w:spacing w:after="80" w:before="160" w:line="312"/>
        <w:jc w:val="left"/>
      </w:pPr>
      <w:r>
        <w:rPr>
          <w:rFonts w:ascii="Times New Roman" w:eastAsia="Times New Roman"/>
          <w:b/>
          <w:bCs/>
          <w:color w:val="16324A"/>
          <w:sz w:val="21"/>
          <w:szCs w:val="21"/>
        </w:rPr>
        <w:t xml:space="preserve">Table 5-2 - Lambda functions of the landscape</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Function</w:t>
            </w:r>
          </w:p>
        </w:tc>
        <w:tc>
          <w:tcPr>
            <w:tcW w:type="pct" w:w="1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Runtime</w:t>
            </w:r>
          </w:p>
        </w:tc>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Trigger</w:t>
            </w:r>
          </w:p>
        </w:tc>
        <w:tc>
          <w:tcPr>
            <w:tcW w:type="pct" w:w="1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Handler</w:t>
            </w:r>
          </w:p>
        </w:tc>
        <w:tc>
          <w:tcPr>
            <w:tcW w:type="pct" w:w="1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Core dependencies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map-stibo-inbound-validate-transform-dev</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Python 3.12</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EventBridge (raw bucket ObjectCreated)</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router.lambda_handler</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boto3, pandas, openpyxl, pyxlsb (via layer; no pinned requirements file)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map-stibo-inbound-send-to-step-dev</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Python 3.12</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S3 notification (processed bucket, prefix processed/stepxml/, suffix .xml)</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lambda_function.lambda_handler</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boto3 only (stdlib urllib for HTTP)</w:t>
            </w:r>
          </w:p>
        </w:tc>
      </w:tr>
    </w:tbl>
    <w:p>
      <w:pPr>
        <w:spacing w:after="140" w:line="240"/>
      </w:pPr>
      <w:r>
        <w:rPr>
          <w:sz w:val="2"/>
          <w:szCs w:val="2"/>
        </w:rPr>
        <w:t xml:space="preserve"> </w:t>
      </w:r>
    </w:p>
    <w:p>
      <w:pPr>
        <w:keepNext w:val="false"/>
        <w:spacing w:after="120" w:line="312"/>
        <w:jc w:val="both"/>
      </w:pPr>
      <w:r>
        <w:rPr>
          <w:rFonts w:ascii="Times New Roman" w:eastAsia="Times New Roman"/>
          <w:b w:val="false"/>
          <w:bCs w:val="false"/>
          <w:i w:val="false"/>
          <w:iCs w:val="false"/>
          <w:color w:val="000000"/>
          <w:sz w:val="24"/>
          <w:szCs w:val="24"/>
        </w:rPr>
        <w:t xml:space="preserve">The transform Lambda is a single deployment unit containing the router and all 27 brand packages; a defect in one brand still requires redeploying the whole function. The delivery Lambda intentionally uses only the standard library for HTTP so that it has no layer dependencies and can be redeployed in isolation. Memory and timeout settings are not recorded in the code; the ETL code shows clear signs of being tuned for the 15-minute Lambda ceiling (worker pools capped at eight threads, streaming XML writing, explicit deletion of intermediate objects), which suggests a high-memory configuration.</w:t>
      </w:r>
    </w:p>
    <w:p>
      <w:pPr>
        <w:pStyle w:val="Heading2"/>
        <w:spacing w:after="120" w:before="260" w:line="312"/>
      </w:pPr>
      <w:bookmarkStart w:id="100029" w:name="_Toc100029"/>
      <w:r>
        <w:rPr>
          <w:rFonts w:ascii="Times New Roman" w:eastAsia="Times New Roman"/>
          <w:b/>
          <w:bCs/>
          <w:color w:val="16324A"/>
          <w:sz w:val="28"/>
          <w:szCs w:val="28"/>
        </w:rPr>
        <w:t xml:space="preserve">5.4 Router Behaviour</w:t>
      </w:r>
      <w:bookmarkEnd w:id="100029"/>
    </w:p>
    <w:p>
      <w:pPr>
        <w:keepNext w:val="false"/>
        <w:spacing w:after="120" w:line="312"/>
        <w:jc w:val="both"/>
      </w:pPr>
      <w:r>
        <w:rPr>
          <w:rFonts w:ascii="Times New Roman" w:eastAsia="Times New Roman"/>
          <w:b w:val="false"/>
          <w:bCs w:val="false"/>
          <w:i w:val="false"/>
          <w:iCs w:val="false"/>
          <w:color w:val="000000"/>
          <w:sz w:val="24"/>
          <w:szCs w:val="24"/>
        </w:rPr>
        <w:t xml:space="preserve">The router is the single entry point and executes the decision flow of Figure 5-1: parse the event, gate on the raw/metadata/ prefix, distinguish brand-specific uploads from global files, look up the brand handler in the BRAND_ROUTER registry (27 entries), execute the handler inside an isolated try/except, and always flush the audit log. The registry maps the folder name (the principal) to a Python module: for example new-balance to new_balance.lambda_function (folder names cannot start with a digit, hence the underscore) and 2xu to twoxu.lambda_function. The full matrix is Appendix A.</w:t>
      </w:r>
    </w:p>
    <w:p>
      <w:pPr>
        <w:keepNext/>
        <w:spacing w:after="60" w:before="160"/>
        <w:jc w:val="center"/>
      </w:pPr>
      <w:r>
        <w:drawing>
          <wp:inline distT="0" distB="0" distL="0" distR="0">
            <wp:extent cx="514350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143625"/>
                    </a:xfrm>
                    <a:prstGeom prst="rect">
                      <a:avLst/>
                    </a:prstGeom>
                  </pic:spPr>
                </pic:pic>
              </a:graphicData>
            </a:graphic>
          </wp:inline>
        </w:drawing>
      </w:r>
    </w:p>
    <w:p>
      <w:pPr>
        <w:spacing w:after="200" w:line="276"/>
        <w:jc w:val="center"/>
      </w:pPr>
      <w:r>
        <w:rPr>
          <w:rFonts w:ascii="Times New Roman" w:eastAsia="Times New Roman"/>
          <w:i/>
          <w:iCs/>
          <w:color w:val="5B6B7D"/>
          <w:sz w:val="20"/>
          <w:szCs w:val="20"/>
        </w:rPr>
        <w:t xml:space="preserve">Figure 5-1 - Router decision flow including the global-file fan-out branch</w:t>
      </w:r>
    </w:p>
    <w:p>
      <w:pPr>
        <w:pStyle w:val="Heading2"/>
        <w:spacing w:after="120" w:before="260" w:line="312"/>
      </w:pPr>
      <w:bookmarkStart w:id="100030" w:name="_Toc100030"/>
      <w:r>
        <w:rPr>
          <w:rFonts w:ascii="Times New Roman" w:eastAsia="Times New Roman"/>
          <w:b/>
          <w:bCs/>
          <w:color w:val="16324A"/>
          <w:sz w:val="28"/>
          <w:szCs w:val="28"/>
        </w:rPr>
        <w:t xml:space="preserve">5.5 Global File Fan-Out</w:t>
      </w:r>
      <w:bookmarkEnd w:id="100030"/>
    </w:p>
    <w:p>
      <w:pPr>
        <w:keepNext w:val="false"/>
        <w:spacing w:after="120" w:line="312"/>
        <w:jc w:val="both"/>
      </w:pPr>
      <w:r>
        <w:rPr>
          <w:rFonts w:ascii="Times New Roman" w:eastAsia="Times New Roman"/>
          <w:b w:val="false"/>
          <w:bCs w:val="false"/>
          <w:i w:val="false"/>
          <w:iCs w:val="false"/>
          <w:color w:val="000000"/>
          <w:sz w:val="24"/>
          <w:szCs w:val="24"/>
        </w:rPr>
        <w:t xml:space="preserve">A file uploaded directly under raw/metadata/ (path depth three) or matching the global-name heuristics (mdd, master data, attribute in the file name) is treated as a global refresh. The router then loops over all 27 registered brands and, for each, builds a synthetic event with the key raw/metadata/{brand}/.__global_trigger__ - a placeholder name that deliberately matches no file-type keyword - and invokes the handler with a fresh auditor. Each brand re-runs its ETL against the newest global files and re-generates its XML outputs. Failures are isolated: one brand's exception is logged and does not stop the loop. Two properties of this design deserve attention: the fan-out runs all brands sequentially inside one invocation, which makes it the prime candidate for the 15-minute timeout as brand count grows (recorded as issue KI-02 in Chapter 13); and every fan-out rewrites every brand's XML, which multiplies S3 traffic and downstream STEP uploads by design.</w:t>
      </w:r>
    </w:p>
    <w:p>
      <w:pPr>
        <w:pStyle w:val="Heading2"/>
        <w:spacing w:after="120" w:before="260" w:line="312"/>
      </w:pPr>
      <w:bookmarkStart w:id="100031" w:name="_Toc100031"/>
      <w:r>
        <w:rPr>
          <w:rFonts w:ascii="Times New Roman" w:eastAsia="Times New Roman"/>
          <w:b/>
          <w:bCs/>
          <w:color w:val="16324A"/>
          <w:sz w:val="28"/>
          <w:szCs w:val="28"/>
        </w:rPr>
        <w:t xml:space="preserve">5.6 Environment Variables</w:t>
      </w:r>
      <w:bookmarkEnd w:id="100031"/>
    </w:p>
    <w:p>
      <w:pPr>
        <w:keepNext w:val="false"/>
        <w:spacing w:after="120" w:line="312"/>
        <w:jc w:val="both"/>
      </w:pPr>
      <w:r>
        <w:rPr>
          <w:rFonts w:ascii="Times New Roman" w:eastAsia="Times New Roman"/>
          <w:b w:val="false"/>
          <w:bCs w:val="false"/>
          <w:i w:val="false"/>
          <w:iCs w:val="false"/>
          <w:color w:val="000000"/>
          <w:sz w:val="24"/>
          <w:szCs w:val="24"/>
        </w:rPr>
        <w:t xml:space="preserve">Configuration is exclusively environment-based. The transform Lambda needs RAW_BUCKET and PROCESSED_BUCKET, optional COMP_CODE fallback, and sets a per-brand temporary directory root. The delivery Lambda requires the three STIBO_INBOUND_URL_* endpoint URLs and the OIDC triple STIBO_TOKEN_URL, STIBO_CLIENT_ID and STIBO_CLIENT_SECRET (recommended from Secrets Manager), and tunes behaviour through STIBO_CONTEXT, STIBO_WORKSPACE, STIBO_MAX_RETRIES, STIBO_RETRY_BACKOFF, STIBO_TOKEN_LEEWAY and STIBO_DRY_RUN. Appendix D documents every variable with its function and default.</w:t>
      </w:r>
    </w:p>
    <w:p>
      <w:pPr>
        <w:pStyle w:val="Heading2"/>
        <w:spacing w:after="120" w:before="260" w:line="312"/>
      </w:pPr>
      <w:bookmarkStart w:id="100032" w:name="_Toc100032"/>
      <w:r>
        <w:rPr>
          <w:rFonts w:ascii="Times New Roman" w:eastAsia="Times New Roman"/>
          <w:b/>
          <w:bCs/>
          <w:color w:val="16324A"/>
          <w:sz w:val="28"/>
          <w:szCs w:val="28"/>
        </w:rPr>
        <w:t xml:space="preserve">5.7 Dependencies and Runtime Characteristics</w:t>
      </w:r>
      <w:bookmarkEnd w:id="100032"/>
    </w:p>
    <w:p>
      <w:pPr>
        <w:keepNext w:val="false"/>
        <w:spacing w:after="120" w:line="312"/>
        <w:jc w:val="both"/>
      </w:pPr>
      <w:r>
        <w:rPr>
          <w:rFonts w:ascii="Times New Roman" w:eastAsia="Times New Roman"/>
          <w:b w:val="false"/>
          <w:bCs w:val="false"/>
          <w:i w:val="false"/>
          <w:iCs w:val="false"/>
          <w:color w:val="000000"/>
          <w:sz w:val="24"/>
          <w:szCs w:val="24"/>
        </w:rPr>
        <w:t xml:space="preserve">The transform Lambda depends on pandas, openpyxl and pyxlsb in addition to boto3; the repository contains no requirements.txt or version pins, which means the runtime layer contents must be documented and locked manually (issue KI-10). The delivery Lambda deliberately uses urllib instead of a requests library, keeping it dependency-free. Both functions run on Python 3.12. Observed performance patterns inside the ETL code - thread pools capped at eight workers, streaming XML with a one-megabyte buffer, deliberate garbage collection of intermediates - indicate that the real constraint is the Lambda timeout rather than memory, and that the largest brand files today run close to but within the ceiling. The supplied sample file (39.8 MB, nine sheets, 39 MB of which is one hidden data sheet) illustrates the volume class the pipeline must digest.</w:t>
      </w:r>
    </w:p>
    <w:p>
      <w:pPr>
        <w:pStyle w:val="Heading1"/>
        <w:spacing w:after="160" w:before="360" w:line="312"/>
      </w:pPr>
      <w:bookmarkStart w:id="100033" w:name="_Toc100033"/>
      <w:r>
        <w:rPr>
          <w:rFonts w:ascii="Times New Roman" w:eastAsia="Times New Roman"/>
          <w:b/>
          <w:bCs/>
          <w:color w:val="16324A"/>
          <w:sz w:val="32"/>
          <w:szCs w:val="32"/>
        </w:rPr>
        <w:t xml:space="preserve">6. Inbound Validate and Transform Pipeline</w:t>
      </w:r>
      <w:bookmarkEnd w:id="100033"/>
    </w:p>
    <w:p>
      <w:pPr>
        <w:pStyle w:val="Heading2"/>
        <w:spacing w:after="120" w:before="260" w:line="312"/>
      </w:pPr>
      <w:bookmarkStart w:id="100034" w:name="_Toc100034"/>
      <w:r>
        <w:rPr>
          <w:rFonts w:ascii="Times New Roman" w:eastAsia="Times New Roman"/>
          <w:b/>
          <w:bCs/>
          <w:color w:val="16324A"/>
          <w:sz w:val="28"/>
          <w:szCs w:val="28"/>
        </w:rPr>
        <w:t xml:space="preserve">6.1 Anatomy of a Brand Handler</w:t>
      </w:r>
      <w:bookmarkEnd w:id="100034"/>
    </w:p>
    <w:p>
      <w:pPr>
        <w:keepNext w:val="false"/>
        <w:spacing w:after="120" w:line="312"/>
        <w:jc w:val="both"/>
      </w:pPr>
      <w:r>
        <w:rPr>
          <w:rFonts w:ascii="Times New Roman" w:eastAsia="Times New Roman"/>
          <w:b w:val="false"/>
          <w:bCs w:val="false"/>
          <w:i w:val="false"/>
          <w:iCs w:val="false"/>
          <w:color w:val="000000"/>
          <w:sz w:val="24"/>
          <w:szCs w:val="24"/>
        </w:rPr>
        <w:t xml:space="preserve">Every brand folder contains a lambda_function.py handler with the same twelve-step skeleton, followed by one or more ETL modules holding the actual transformation. The handler receives (event, context, auditor) from the router and performs: event parsing; file-type detection by keyword; required-file policy evaluation; listing of the brand's files plus the global files (latest version wins); early return when mandatory companions are missing; work-directory preparation; download; format conversion; ETL dispatch; and XML upload. The steps below use the Ellesse handler as the reference; deviations of other brands are noted in Chapter 7.</w:t>
      </w:r>
    </w:p>
    <w:p>
      <w:pPr>
        <w:keepNext/>
        <w:spacing w:after="80" w:before="160" w:line="312"/>
        <w:jc w:val="left"/>
      </w:pPr>
      <w:r>
        <w:rPr>
          <w:rFonts w:ascii="Times New Roman" w:eastAsia="Times New Roman"/>
          <w:b/>
          <w:bCs/>
          <w:color w:val="16324A"/>
          <w:sz w:val="21"/>
          <w:szCs w:val="21"/>
        </w:rPr>
        <w:t xml:space="preserve">Table 6-1 - Brand handler skeleton (steps in execution order)</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1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Step</w:t>
            </w:r>
          </w:p>
        </w:tc>
        <w:tc>
          <w:tcPr>
            <w:tcW w:type="pct" w:w="5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Action</w:t>
            </w:r>
          </w:p>
        </w:tc>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Failure behaviour</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 Parse event</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Extract bucket and key from the EventBridge payload; URL-decode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Returns 400 on malformed event</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2. Classify file</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Match file name against FILE_TYPE_KEYWORDS; first match wins; order-sensitive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Unknown type: skip with audit note</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 Required policy</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Look up REQUIRED_TYPES for the trigger (e.g. recap requires recap + mdd + attributes)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Missing type: return 200 waiting_for_mandatory_files</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4. List files</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List S3 under brand prefix and raw/metadata root; select latest sequence per type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S3 errors recorded in audit</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5. Prepare workspace</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Create /tmp/stibo_workdir_{brand}/input/{type} and /output/xml</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 OS errors fatal</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6. Download</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Fetch each required file into its type folder</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Per-file download status in audit</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7. Convert</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xlsb / csv to xlsx via pandas when needed</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Conversion errors recorded; flow may continue without optional files</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8. Defaults</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Derive metadata from file name: company code, SBU, brand code, season, country</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Silent defaults; no user feedback</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9. Dispatch ETL</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Call the ETL module mapped for the detected type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Exceptions propagate to router (except sys.exit - see KI-01)</w:t>
            </w:r>
          </w:p>
        </w:tc>
      </w:tr>
      <w:tr>
        <w:trPr>
          <w:cantSplit/>
        </w:trPr>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10. Upload XML</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Put generated XML to processed/stepxml/{brand}/</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Uploaded keys recorded in audit</w:t>
            </w:r>
          </w:p>
        </w:tc>
      </w:tr>
    </w:tbl>
    <w:p>
      <w:pPr>
        <w:spacing w:after="140" w:line="240"/>
      </w:pPr>
      <w:r>
        <w:rPr>
          <w:sz w:val="2"/>
          <w:szCs w:val="2"/>
        </w:rPr>
        <w:t xml:space="preserve"> </w:t>
      </w:r>
    </w:p>
    <w:p>
      <w:pPr>
        <w:pStyle w:val="Heading2"/>
        <w:spacing w:after="120" w:before="260" w:line="312"/>
      </w:pPr>
      <w:bookmarkStart w:id="100035" w:name="_Toc100035"/>
      <w:r>
        <w:rPr>
          <w:rFonts w:ascii="Times New Roman" w:eastAsia="Times New Roman"/>
          <w:b/>
          <w:bCs/>
          <w:color w:val="16324A"/>
          <w:sz w:val="28"/>
          <w:szCs w:val="28"/>
        </w:rPr>
        <w:t xml:space="preserve">6.2 Required Companion Files and the Resume Model</w:t>
      </w:r>
      <w:bookmarkEnd w:id="100035"/>
    </w:p>
    <w:p>
      <w:pPr>
        <w:keepNext w:val="false"/>
        <w:spacing w:after="120" w:line="312"/>
        <w:jc w:val="both"/>
      </w:pPr>
      <w:r>
        <w:rPr>
          <w:rFonts w:ascii="Times New Roman" w:eastAsia="Times New Roman"/>
          <w:b w:val="false"/>
          <w:bCs w:val="false"/>
          <w:i w:val="false"/>
          <w:iCs w:val="false"/>
          <w:color w:val="000000"/>
          <w:sz w:val="24"/>
          <w:szCs w:val="24"/>
        </w:rPr>
        <w:t xml:space="preserve">Each trigger type declares a required set of companion files - the business file itself plus typically mdd (Master Data Dictionary), attributes (attributes list) and, for some brands, naming (naming convention workbook). Because the COE team and brand teams upload independently, the pipeline assumes that any of these may be missing at the moment a business file arrives. Instead of failing, the handler returns HTTP 200 with the marker waiting_for_mandatory_files; no ETL runs. The model is self-healing: when the missing file is eventually uploaded, its own ObjectCreated event re-invokes the handler, which now finds a complete set and processes both. The cost is operational subtlety - a silent gap between upload and processing can only be detected by reading audit logs, which is why the runbook (Section 15.1) makes this check a daily routine.</w:t>
      </w:r>
    </w:p>
    <w:p>
      <w:pPr>
        <w:pStyle w:val="Heading2"/>
        <w:spacing w:after="120" w:before="260" w:line="312"/>
      </w:pPr>
      <w:bookmarkStart w:id="100036" w:name="_Toc100036"/>
      <w:r>
        <w:rPr>
          <w:rFonts w:ascii="Times New Roman" w:eastAsia="Times New Roman"/>
          <w:b/>
          <w:bCs/>
          <w:color w:val="16324A"/>
          <w:sz w:val="28"/>
          <w:szCs w:val="28"/>
        </w:rPr>
        <w:t xml:space="preserve">6.3 Temporary Workspace Conventions</w:t>
      </w:r>
      <w:bookmarkEnd w:id="100036"/>
    </w:p>
    <w:p>
      <w:pPr>
        <w:keepNext w:val="false"/>
        <w:spacing w:after="120" w:line="312"/>
        <w:jc w:val="both"/>
      </w:pPr>
      <w:r>
        <w:rPr>
          <w:rFonts w:ascii="Times New Roman" w:eastAsia="Times New Roman"/>
          <w:b w:val="false"/>
          <w:bCs w:val="false"/>
          <w:i w:val="false"/>
          <w:iCs w:val="false"/>
          <w:color w:val="000000"/>
          <w:sz w:val="24"/>
          <w:szCs w:val="24"/>
        </w:rPr>
        <w:t xml:space="preserve">Handlers work under /tmp/stibo_workdir_{brand} (for example /tmp/stibo_workdir_ellesse, /tmp/stibo_workdir_smiggle), with the input/{type} and output/xml sub-tree. The directory root is communicated to the ETL modules through the LAMBDA_TMP_DIR environment variable, which must be set before the ETL modules are imported because some of them read it at import time; at least one brand (ANTA) defensively re-asserts it at runtime. New Balance and Diadora share the same /tmp/stibo_workdir root; within a single warm container two flows could theoretically collide, which is recorded as issue KI-09. Lambda storage is ephemeral, so the workspace doubles as the safety net: nothing persists between invocations except what is explicitly uploaded to S3.</w:t>
      </w:r>
    </w:p>
    <w:p>
      <w:pPr>
        <w:pStyle w:val="Heading2"/>
        <w:spacing w:after="120" w:before="260" w:line="312"/>
      </w:pPr>
      <w:bookmarkStart w:id="100037" w:name="_Toc100037"/>
      <w:r>
        <w:rPr>
          <w:rFonts w:ascii="Times New Roman" w:eastAsia="Times New Roman"/>
          <w:b/>
          <w:bCs/>
          <w:color w:val="16324A"/>
          <w:sz w:val="28"/>
          <w:szCs w:val="28"/>
        </w:rPr>
        <w:t xml:space="preserve">6.4 Three Generations of ETL Implementation</w:t>
      </w:r>
      <w:bookmarkEnd w:id="100037"/>
    </w:p>
    <w:p>
      <w:pPr>
        <w:keepNext w:val="false"/>
        <w:spacing w:after="120" w:line="312"/>
        <w:jc w:val="both"/>
      </w:pPr>
      <w:r>
        <w:rPr>
          <w:rFonts w:ascii="Times New Roman" w:eastAsia="Times New Roman"/>
          <w:b w:val="false"/>
          <w:bCs w:val="false"/>
          <w:i w:val="false"/>
          <w:iCs w:val="false"/>
          <w:color w:val="000000"/>
          <w:sz w:val="24"/>
          <w:szCs w:val="24"/>
        </w:rPr>
        <w:t xml:space="preserve">The code base contains three coexisting implementation styles. Understanding which generation a brand belongs to is essential before changing it, because the extension points differ fundamentally.</w:t>
      </w:r>
    </w:p>
    <w:p>
      <w:pPr>
        <w:pStyle w:val="Heading3"/>
        <w:spacing w:after="100" w:before="200" w:line="312"/>
      </w:pPr>
      <w:bookmarkStart w:id="100038" w:name="_Toc100038"/>
      <w:r>
        <w:rPr>
          <w:rFonts w:ascii="Times New Roman" w:eastAsia="Times New Roman"/>
          <w:b/>
          <w:bCs/>
          <w:color w:val="16324A"/>
          <w:sz w:val="24"/>
          <w:szCs w:val="24"/>
        </w:rPr>
        <w:t xml:space="preserve">6.4.1 Generation 1 - Hard-coded mapping (about two thirds of brands)</w:t>
      </w:r>
      <w:bookmarkEnd w:id="100038"/>
    </w:p>
    <w:p>
      <w:pPr>
        <w:keepNext w:val="false"/>
        <w:spacing w:after="120" w:line="312"/>
        <w:jc w:val="both"/>
      </w:pPr>
      <w:r>
        <w:rPr>
          <w:rFonts w:ascii="Times New Roman" w:eastAsia="Times New Roman"/>
          <w:b w:val="false"/>
          <w:bCs w:val="false"/>
          <w:i w:val="false"/>
          <w:iCs w:val="false"/>
          <w:color w:val="000000"/>
          <w:sz w:val="24"/>
          <w:szCs w:val="24"/>
        </w:rPr>
        <w:t xml:space="preserve">The oldest style maps each attribute in a dedicated function with the source column read explicitly (row.get("Column Name")) and value translation performed through roughly 270 hard-coded Python dictionaries named LOV_* spread across 39 files. Adidas is the largest example: its main module carries dual column aliases to survive principal-side renames between seasons and emits about fifty empty placeholder attributes so downstream systems see a stable shape. This style is robust (no external dependencies) but every mapping change is a code change and a deployment.</w:t>
      </w:r>
    </w:p>
    <w:p>
      <w:pPr>
        <w:pStyle w:val="Heading3"/>
        <w:spacing w:after="100" w:before="200" w:line="312"/>
      </w:pPr>
      <w:bookmarkStart w:id="100039" w:name="_Toc100039"/>
      <w:r>
        <w:rPr>
          <w:rFonts w:ascii="Times New Roman" w:eastAsia="Times New Roman"/>
          <w:b/>
          <w:bCs/>
          <w:color w:val="16324A"/>
          <w:sz w:val="24"/>
          <w:szCs w:val="24"/>
        </w:rPr>
        <w:t xml:space="preserve">6.4.2 Generation 2 - Mapping-driven engine (ANTA, Birkenstock, Clarks, New Era, Reebok)</w:t>
      </w:r>
      <w:bookmarkEnd w:id="100039"/>
    </w:p>
    <w:p>
      <w:pPr>
        <w:keepNext w:val="false"/>
        <w:spacing w:after="120" w:line="312"/>
        <w:jc w:val="both"/>
      </w:pPr>
      <w:r>
        <w:rPr>
          <w:rFonts w:ascii="Times New Roman" w:eastAsia="Times New Roman"/>
          <w:b w:val="false"/>
          <w:bCs w:val="false"/>
          <w:i w:val="false"/>
          <w:iCs w:val="false"/>
          <w:color w:val="000000"/>
          <w:sz w:val="24"/>
          <w:szCs w:val="24"/>
        </w:rPr>
        <w:t xml:space="preserve">The newest brands load the brand tab of the brand mapping template workbook at runtime and drive the transformation from it. The AttributeMappingLoader reads, per attribute row: the Stibo attribute ID (column B), the validation base type (column C, where LOV means the LOV ID must be resolved and written), the mapping type (column G - Direct, Formula in System and Mapping-from-Principal are processed; Manual and AI types are excluded from the output), the source column (column J) and the embedded value map (column K, entries of the form raw : id - label). The ANTA implementation documents the intent in its own docstring: adding an attribute is a spreadsheet edit, not a code change. Birkenstock re-implements the same concept independently with a dataclass-based engine, which is evidence of the pattern's value but also of missing shared infrastructure (issue KI-08). Both engines keep escape hatches: special hard-coded attribute IDs and a value-transform hook for the few rules that the sheet cannot express.</w:t>
      </w:r>
    </w:p>
    <w:p>
      <w:pPr>
        <w:pStyle w:val="Heading3"/>
        <w:spacing w:after="100" w:before="200" w:line="312"/>
      </w:pPr>
      <w:bookmarkStart w:id="100040" w:name="_Toc100040"/>
      <w:r>
        <w:rPr>
          <w:rFonts w:ascii="Times New Roman" w:eastAsia="Times New Roman"/>
          <w:b/>
          <w:bCs/>
          <w:color w:val="16324A"/>
          <w:sz w:val="24"/>
          <w:szCs w:val="24"/>
        </w:rPr>
        <w:t xml:space="preserve">6.4.3 Generation 3 - Multi-file enrichment (Adidas)</w:t>
      </w:r>
      <w:bookmarkEnd w:id="100040"/>
    </w:p>
    <w:p>
      <w:pPr>
        <w:keepNext w:val="false"/>
        <w:spacing w:after="120" w:line="312"/>
        <w:jc w:val="both"/>
      </w:pPr>
      <w:r>
        <w:rPr>
          <w:rFonts w:ascii="Times New Roman" w:eastAsia="Times New Roman"/>
          <w:b w:val="false"/>
          <w:bCs w:val="false"/>
          <w:i w:val="false"/>
          <w:iCs w:val="false"/>
          <w:color w:val="000000"/>
          <w:sz w:val="24"/>
          <w:szCs w:val="24"/>
        </w:rPr>
        <w:t xml:space="preserve">Adidas additionally merges several business files per article: the line list is enriched from the TDD (top-down data) and backlog files, with explicit precedence when the same attribute appears in several sources. No other brand currently implements joins of this kind, which makes Adidas the reference for any future multi-source onboarding.</w:t>
      </w:r>
    </w:p>
    <w:p>
      <w:pPr>
        <w:pStyle w:val="Heading2"/>
        <w:spacing w:after="120" w:before="260" w:line="312"/>
      </w:pPr>
      <w:bookmarkStart w:id="100041" w:name="_Toc100041"/>
      <w:r>
        <w:rPr>
          <w:rFonts w:ascii="Times New Roman" w:eastAsia="Times New Roman"/>
          <w:b/>
          <w:bCs/>
          <w:color w:val="16324A"/>
          <w:sz w:val="28"/>
          <w:szCs w:val="28"/>
        </w:rPr>
        <w:t xml:space="preserve">6.5 Shared Loaders and the True Cost of Copy-Paste</w:t>
      </w:r>
      <w:bookmarkEnd w:id="100041"/>
    </w:p>
    <w:p>
      <w:pPr>
        <w:keepNext w:val="false"/>
        <w:spacing w:after="120" w:line="312"/>
        <w:jc w:val="both"/>
      </w:pPr>
      <w:r>
        <w:rPr>
          <w:rFonts w:ascii="Times New Roman" w:eastAsia="Times New Roman"/>
          <w:b w:val="false"/>
          <w:bCs w:val="false"/>
          <w:i w:val="false"/>
          <w:iCs w:val="false"/>
          <w:color w:val="000000"/>
          <w:sz w:val="24"/>
          <w:szCs w:val="24"/>
        </w:rPr>
        <w:t xml:space="preserve">Six loader responsibilities recur in every brand: MDD attributes and LOVs, attributes list, RNA lookup, brand mapping template, MD-mapping value translations, and naming workbook. In a healthy code base these would be six shared modules. Instead, the current code contains 64 separate copies of the MDD loader class and 37 copies of the RNA loader, and the recap ETL engine was cloned across five brands (Ellesse, Lotto, K-Swiss, Airwalk, Astec) with about ninety percent identical code - a measured diff of roughly 200 lines out of 1,913. The practical consequence is that a fix to one loader (for example a new LOV sheet schema) must be replicated in up to 64 places, and history shows some of these copies have already drifted. Consolidation is the single highest-leverage refactoring available and heads the recommendation list in Chapter 16.</w:t>
      </w:r>
    </w:p>
    <w:p>
      <w:pPr>
        <w:pStyle w:val="Heading2"/>
        <w:spacing w:after="120" w:before="260" w:line="312"/>
      </w:pPr>
      <w:bookmarkStart w:id="100042" w:name="_Toc100042"/>
      <w:r>
        <w:rPr>
          <w:rFonts w:ascii="Times New Roman" w:eastAsia="Times New Roman"/>
          <w:b/>
          <w:bCs/>
          <w:color w:val="16324A"/>
          <w:sz w:val="28"/>
          <w:szCs w:val="28"/>
        </w:rPr>
        <w:t xml:space="preserve">6.6 Validation Rules Implemented Today</w:t>
      </w:r>
      <w:bookmarkEnd w:id="100042"/>
    </w:p>
    <w:p>
      <w:pPr>
        <w:keepNext w:val="false"/>
        <w:spacing w:after="120" w:line="312"/>
        <w:jc w:val="both"/>
      </w:pPr>
      <w:r>
        <w:rPr>
          <w:rFonts w:ascii="Times New Roman" w:eastAsia="Times New Roman"/>
          <w:b w:val="false"/>
          <w:bCs w:val="false"/>
          <w:i w:val="false"/>
          <w:iCs w:val="false"/>
          <w:color w:val="000000"/>
          <w:sz w:val="24"/>
          <w:szCs w:val="24"/>
        </w:rPr>
        <w:t xml:space="preserve">Validation exists in five categories. File level: required companion sets and keyword classification. Field level: mandatory check - an attribute whose MDD cardinality is mandatory must be non-empty; the current implementation only records a warning and still writes the article. Membership: values with LOV validation are looked up in the loaded LOV dictionaries; the behaviour on miss varies by brand - skip the attribute, fall back to the raw text, or substitute a default. Format and derivation: date reformatting, price regexes, size-to-SAP-code conversion, zero padding and stripping of illegal XML characters. Cross-file: the RNA join for organisational attributes, TDD/backlog precedence for Adidas, and header sniffing with fallback columns for principals that rename columns. Notably, the audit infrastructure for per-article warnings exists (auditor.add_validation_warnings) but no ETL module calls it - the warnings are computed and then discarded (issue KI-03), so Chapter 12 documents the schema but today's logs carry little article-level evidence.</w:t>
      </w:r>
    </w:p>
    <w:p>
      <w:pPr>
        <w:pStyle w:val="Heading2"/>
        <w:spacing w:after="120" w:before="260" w:line="312"/>
      </w:pPr>
      <w:bookmarkStart w:id="100043" w:name="_Toc100043"/>
      <w:r>
        <w:rPr>
          <w:rFonts w:ascii="Times New Roman" w:eastAsia="Times New Roman"/>
          <w:b/>
          <w:bCs/>
          <w:color w:val="16324A"/>
          <w:sz w:val="28"/>
          <w:szCs w:val="28"/>
        </w:rPr>
        <w:t xml:space="preserve">6.7 Performance Patterns</w:t>
      </w:r>
      <w:bookmarkEnd w:id="100043"/>
    </w:p>
    <w:p>
      <w:pPr>
        <w:keepNext w:val="false"/>
        <w:spacing w:after="120" w:line="312"/>
        <w:jc w:val="both"/>
      </w:pPr>
      <w:r>
        <w:rPr>
          <w:rFonts w:ascii="Times New Roman" w:eastAsia="Times New Roman"/>
          <w:b w:val="false"/>
          <w:bCs w:val="false"/>
          <w:i w:val="false"/>
          <w:iCs w:val="false"/>
          <w:color w:val="000000"/>
          <w:sz w:val="24"/>
          <w:szCs w:val="24"/>
        </w:rPr>
        <w:t xml:space="preserve">Three patterns keep the largest files inside the Lambda ceiling. First, article-level parallelism: pass one maps and validates articles with a ThreadPoolExecutor capped at eight workers, sized for the available vCPUs rather than I/O concurrency. Second, streaming serialisation: pass two writes XML incrementally with a one-megabyte buffer instead of building a DOM, so memory stays flat in the number of articles. Third, deliberate release: intermediate dataframes and dictionaries are deleted as soon as a pass completes, handing memory back before the XML stage. These patterns should be treated as mandatory for any new ETL module; a naive pandas-to-string XML build on a large recap file will exceed the ceiling.</w:t>
      </w:r>
    </w:p>
    <w:p>
      <w:pPr>
        <w:pStyle w:val="Heading1"/>
        <w:spacing w:after="160" w:before="360" w:line="312"/>
      </w:pPr>
      <w:bookmarkStart w:id="100044" w:name="_Toc100044"/>
      <w:r>
        <w:rPr>
          <w:rFonts w:ascii="Times New Roman" w:eastAsia="Times New Roman"/>
          <w:b/>
          <w:bCs/>
          <w:color w:val="16324A"/>
          <w:sz w:val="32"/>
          <w:szCs w:val="32"/>
        </w:rPr>
        <w:t xml:space="preserve">7. Brand ETL Catalog</w:t>
      </w:r>
      <w:bookmarkEnd w:id="100044"/>
    </w:p>
    <w:p>
      <w:pPr>
        <w:pStyle w:val="Heading2"/>
        <w:spacing w:after="120" w:before="260" w:line="312"/>
      </w:pPr>
      <w:bookmarkStart w:id="100045" w:name="_Toc100045"/>
      <w:r>
        <w:rPr>
          <w:rFonts w:ascii="Times New Roman" w:eastAsia="Times New Roman"/>
          <w:b/>
          <w:bCs/>
          <w:color w:val="16324A"/>
          <w:sz w:val="28"/>
          <w:szCs w:val="28"/>
        </w:rPr>
        <w:t xml:space="preserve">7.1 Master Inventory</w:t>
      </w:r>
      <w:bookmarkEnd w:id="100045"/>
    </w:p>
    <w:p>
      <w:pPr>
        <w:keepNext w:val="false"/>
        <w:spacing w:after="120" w:line="312"/>
        <w:jc w:val="both"/>
      </w:pPr>
      <w:r>
        <w:rPr>
          <w:rFonts w:ascii="Times New Roman" w:eastAsia="Times New Roman"/>
          <w:b w:val="false"/>
          <w:bCs w:val="false"/>
          <w:i w:val="false"/>
          <w:iCs w:val="false"/>
          <w:color w:val="000000"/>
          <w:sz w:val="24"/>
          <w:szCs w:val="24"/>
        </w:rPr>
        <w:t xml:space="preserve">Table 7-1 is the authoritative list of the 27 registered brand packages as of September 2026, with their S3 folder names (principals), their business file types and ETL modules, and the mapping generation from Section 6.4. The endpoint column shows the Stibo IIEP that the delivery lambda selects for each file type (see Table 4-2).</w:t>
      </w:r>
    </w:p>
    <w:p>
      <w:pPr>
        <w:keepNext/>
        <w:spacing w:after="80" w:before="160" w:line="312"/>
        <w:jc w:val="left"/>
      </w:pPr>
      <w:r>
        <w:rPr>
          <w:rFonts w:ascii="Times New Roman" w:eastAsia="Times New Roman"/>
          <w:b/>
          <w:bCs/>
          <w:color w:val="16324A"/>
          <w:sz w:val="21"/>
          <w:szCs w:val="21"/>
        </w:rPr>
        <w:t xml:space="preserve">Table 7-1 - Brand handler inventory (27 registrations)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13%"/>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S3 principal</w:t>
            </w:r>
          </w:p>
        </w:tc>
        <w:tc>
          <w:tcPr>
            <w:tcW w:type="pct" w:w="12%"/>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Package</w:t>
            </w:r>
          </w:p>
        </w:tc>
        <w:tc>
          <w:tcPr>
            <w:tcW w:type="pct" w:w="37%"/>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File types / ETL modules</w:t>
            </w:r>
          </w:p>
        </w:tc>
        <w:tc>
          <w:tcPr>
            <w:tcW w:type="pct" w:w="10%"/>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Generation</w:t>
            </w:r>
          </w:p>
        </w:tc>
        <w:tc>
          <w:tcPr>
            <w:tcW w:type="pct" w:w="28%"/>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Notes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adidas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adidas/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backlog; tdd; dtb (+ global mdd, attributes, naming)</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 + 3</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Multi-file merge; ~50 placeholder attributes; dual column aliases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new-balance</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new_balance/</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linelist_footwear; linelist_apparel; linelist_licensed; ecommerce_inline; ecommerce_licensed; ordersheet_licensed; ean_source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Eight sub-flows behind one handler; strict detection order</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smiggle</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smiggle/</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(catalogue/mapi/wholesale/handover); packing; ecommerce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Trigger-aware required sets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aldo</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aldo/</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 trenzashop; oor; mcr; ecommerce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 (partly inactive)</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Handler code largely commented; router entry active - see KI-04</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diadora</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diadora/</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pricelist</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Shares /tmp root with New Balance (KI-09)</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crocs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crocs/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order_form_fw; order_form_accs_bag; order_form_jbz_ean; shipment_confirmation; barcode outputs</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Adds DC_Barcode data containers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2xu</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twoxu/</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product_bible; order_confirmation</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Price formula AT_FOB = MSRP x 0.74; largest single ETL module (1,818 lines)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lotto</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lotto/</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 form; fob_order_info; recap; pricelist</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Order-form routing special case (Table 4-2 rule 13)</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onr</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onr/</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taf_ss26; linelist_planet_sport; linelist_footwear_taf; packaging_list_planet_sport</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ON Running; TAF routed to EAN Update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nike</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nike/</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sp27_maa_linelist; nike_360_linelist; nike_360_ean; orderConfirmation; linelist_rookie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Long keyword-variant chain for line list detection</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dr-martens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dr_marten/</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retail_price_master</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Composite-key MD mapping (product group from gender + sub-division)</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staccato</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staccato/</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birkenstock</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birkenstock/</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OFS_FC_Mitra_ss27 (+ ecom mappings)</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Independent dataclass mapping engine; extra LOVs (heel type/height/occasion)</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pazzion</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pazzion/</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order_form; barcode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MD mappings for heel height and material</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clarks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clarks/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order_form_accs; order_form_footwear; ean_source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Mapping-driven; copy-paste copy of AttributeMappingLoader</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steve-madden</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steve_madden/</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footwear_po; handbag_po; ean_source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asics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asics/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footwear; app_acc; ean</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ptp</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PTP/</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order_form_usd_fob; ean_source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Folder in upper case; barcode containers like Crocs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implus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implus/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(balega / harbinger / sofsole sources); ean_update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Barcode containers; per-source ETL variants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astec</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astec/</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recap</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Clone of the recap engine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airwalk</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airwalk/</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recap</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Clone of the recap engine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ellesse</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ellesse/</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recap</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Reference implementation of the recap flow; RNA 4-pass fuzzy join</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k-swiss</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k_swiss/</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recap; global_line_order_form; ean_source</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1</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Recap clone plus order form</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reebok</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reebok/</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article_master_apparel; article_master_footwear; ean; recap</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Mapping-driven; MD mapping sheets have known unmapped rows</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anta</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anta/</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ean</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Reference implementation of the mapping-driven engine</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new-era</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new_era/</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order_form_acc; order_form_app; order_form_hw; delivery_schedule_ean</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Mapping-driven</w:t>
            </w:r>
          </w:p>
        </w:tc>
      </w:tr>
      <w:tr>
        <w:trPr>
          <w:cantSplit/>
        </w:trPr>
        <w:tc>
          <w:tcPr>
            <w:tcW w:type="pct" w:w="13%"/>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anta-1</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anta_1/</w:t>
            </w:r>
          </w:p>
        </w:tc>
        <w:tc>
          <w:tcPr>
            <w:tcW w:type="pct" w:w="3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linelist; ean</w:t>
            </w:r>
          </w:p>
        </w:tc>
        <w:tc>
          <w:tcPr>
            <w:tcW w:type="pct" w:w="10%"/>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2</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Second ANTA registration (parallel config; folder documented as anta)</w:t>
            </w:r>
          </w:p>
        </w:tc>
      </w:tr>
    </w:tbl>
    <w:p>
      <w:pPr>
        <w:spacing w:after="140" w:line="240"/>
      </w:pPr>
      <w:r>
        <w:rPr>
          <w:sz w:val="2"/>
          <w:szCs w:val="2"/>
        </w:rPr>
        <w:t xml:space="preserve"> </w:t>
      </w:r>
    </w:p>
    <w:p>
      <w:pPr>
        <w:pStyle w:val="Heading2"/>
        <w:spacing w:after="120" w:before="260" w:line="312"/>
      </w:pPr>
      <w:bookmarkStart w:id="100046" w:name="_Toc100046"/>
      <w:r>
        <w:rPr>
          <w:rFonts w:ascii="Times New Roman" w:eastAsia="Times New Roman"/>
          <w:b/>
          <w:bCs/>
          <w:color w:val="16324A"/>
          <w:sz w:val="28"/>
          <w:szCs w:val="28"/>
        </w:rPr>
        <w:t xml:space="preserve">7.2 Representative Brand Profiles</w:t>
      </w:r>
      <w:bookmarkEnd w:id="100046"/>
    </w:p>
    <w:p>
      <w:pPr>
        <w:pStyle w:val="Heading3"/>
        <w:spacing w:after="100" w:before="200" w:line="312"/>
      </w:pPr>
      <w:bookmarkStart w:id="100047" w:name="_Toc100047"/>
      <w:r>
        <w:rPr>
          <w:rFonts w:ascii="Times New Roman" w:eastAsia="Times New Roman"/>
          <w:b/>
          <w:bCs/>
          <w:color w:val="16324A"/>
          <w:sz w:val="24"/>
          <w:szCs w:val="24"/>
        </w:rPr>
        <w:t xml:space="preserve">7.2.1 Ellesse - the recap reference flow</w:t>
      </w:r>
      <w:bookmarkEnd w:id="100047"/>
    </w:p>
    <w:p>
      <w:pPr>
        <w:keepNext w:val="false"/>
        <w:spacing w:after="120" w:line="312"/>
        <w:jc w:val="both"/>
      </w:pPr>
      <w:r>
        <w:rPr>
          <w:rFonts w:ascii="Times New Roman" w:eastAsia="Times New Roman"/>
          <w:b w:val="false"/>
          <w:bCs w:val="false"/>
          <w:i w:val="false"/>
          <w:iCs w:val="false"/>
          <w:color w:val="000000"/>
          <w:sz w:val="24"/>
          <w:szCs w:val="24"/>
        </w:rPr>
        <w:t xml:space="preserve">The Ellesse handler implements the flow documented end-to-end in Section 11.1 and is the reference for the five recap-clone brands. Distinctive elements: it derives all organisational context from the file name (0888, SP, ELL, SP2027, ID); it resolves gender and age through a two-stage chain (raw value to MD-mapping display value to MDD LOV ID); and it joins the RNA sheet with a four-pass fuzzy strategy so that brand-name variations (Ellesse, ELLESSE Sport, ELL) still resolve to the right SBU and company code. Colour attributes follow a documented miss policy: when SAP Color cannot be resolved, the attribute is omitted entirely rather than written with raw text.</w:t>
      </w:r>
    </w:p>
    <w:p>
      <w:pPr>
        <w:pStyle w:val="Heading3"/>
        <w:spacing w:after="100" w:before="200" w:line="312"/>
      </w:pPr>
      <w:bookmarkStart w:id="100048" w:name="_Toc100048"/>
      <w:r>
        <w:rPr>
          <w:rFonts w:ascii="Times New Roman" w:eastAsia="Times New Roman"/>
          <w:b/>
          <w:bCs/>
          <w:color w:val="16324A"/>
          <w:sz w:val="24"/>
          <w:szCs w:val="24"/>
        </w:rPr>
        <w:t xml:space="preserve">7.2.2 Adidas - the multi-file merge</w:t>
      </w:r>
      <w:bookmarkEnd w:id="100048"/>
    </w:p>
    <w:p>
      <w:pPr>
        <w:keepNext w:val="false"/>
        <w:spacing w:after="120" w:line="312"/>
        <w:jc w:val="both"/>
      </w:pPr>
      <w:r>
        <w:rPr>
          <w:rFonts w:ascii="Times New Roman" w:eastAsia="Times New Roman"/>
          <w:b w:val="false"/>
          <w:bCs w:val="false"/>
          <w:i w:val="false"/>
          <w:iCs w:val="false"/>
          <w:color w:val="000000"/>
          <w:sz w:val="24"/>
          <w:szCs w:val="24"/>
        </w:rPr>
        <w:t xml:space="preserve">Adidas receives three file families per season and merges them: the line list provides the article base, the TDD overrides detail attributes, and the backlog contributes EAN information, with documented precedence per attribute. The module also demonstrates two defensive habits worth copying: dual column aliases so a principal-side header rename does not break ingestion, and a fixed set of about fifty placeholder attributes written empty so the XML shape stays stable for downstream consumers.</w:t>
      </w:r>
    </w:p>
    <w:p>
      <w:pPr>
        <w:pStyle w:val="Heading3"/>
        <w:spacing w:after="100" w:before="200" w:line="312"/>
      </w:pPr>
      <w:bookmarkStart w:id="100049" w:name="_Toc100049"/>
      <w:r>
        <w:rPr>
          <w:rFonts w:ascii="Times New Roman" w:eastAsia="Times New Roman"/>
          <w:b/>
          <w:bCs/>
          <w:color w:val="16324A"/>
          <w:sz w:val="24"/>
          <w:szCs w:val="24"/>
        </w:rPr>
        <w:t xml:space="preserve">7.2.3 ANTA and Birkenstock - the mapping-driven engines</w:t>
      </w:r>
      <w:bookmarkEnd w:id="100049"/>
    </w:p>
    <w:p>
      <w:pPr>
        <w:keepNext w:val="false"/>
        <w:spacing w:after="120" w:line="312"/>
        <w:jc w:val="both"/>
      </w:pPr>
      <w:r>
        <w:rPr>
          <w:rFonts w:ascii="Times New Roman" w:eastAsia="Times New Roman"/>
          <w:b w:val="false"/>
          <w:bCs w:val="false"/>
          <w:i w:val="false"/>
          <w:iCs w:val="false"/>
          <w:color w:val="000000"/>
          <w:sz w:val="24"/>
          <w:szCs w:val="24"/>
        </w:rPr>
        <w:t xml:space="preserve">These two brands are the live proof that the workbook can act as configuration: their attribute sets, source columns and value mappings come from the brand tabs of the mapping template at runtime. They differ in engine maturity (ANTA's loader is inline; Birkenstock's is a separate dataclass module with a typed transform hook) but agree on the core semantics, which makes them the natural starting point for the generic engine proposed in Chapter 16.</w:t>
      </w:r>
    </w:p>
    <w:p>
      <w:pPr>
        <w:pStyle w:val="Heading3"/>
        <w:spacing w:after="100" w:before="200" w:line="312"/>
      </w:pPr>
      <w:bookmarkStart w:id="100050" w:name="_Toc100050"/>
      <w:r>
        <w:rPr>
          <w:rFonts w:ascii="Times New Roman" w:eastAsia="Times New Roman"/>
          <w:b/>
          <w:bCs/>
          <w:color w:val="16324A"/>
          <w:sz w:val="24"/>
          <w:szCs w:val="24"/>
        </w:rPr>
        <w:t xml:space="preserve">7.2.4 Crocs, implus and PTP - barcode containers</w:t>
      </w:r>
      <w:bookmarkEnd w:id="100050"/>
    </w:p>
    <w:p>
      <w:pPr>
        <w:keepNext w:val="false"/>
        <w:spacing w:after="120" w:line="312"/>
        <w:jc w:val="both"/>
      </w:pPr>
      <w:r>
        <w:rPr>
          <w:rFonts w:ascii="Times New Roman" w:eastAsia="Times New Roman"/>
          <w:b w:val="false"/>
          <w:bCs w:val="false"/>
          <w:i w:val="false"/>
          <w:iCs w:val="false"/>
          <w:color w:val="000000"/>
          <w:sz w:val="24"/>
          <w:szCs w:val="24"/>
        </w:rPr>
        <w:t xml:space="preserve">These brands extend the common XML shape with DataContainers of type DC_Barcode carrying barcode attributes (AT_Barcode, barcode type P, and a MainEANIndicator set to Y for the primary EAN). Any new brand that must deliver barcodes should reuse this pattern rather than invent a new container layout.</w:t>
      </w:r>
    </w:p>
    <w:p>
      <w:pPr>
        <w:pStyle w:val="Heading2"/>
        <w:spacing w:after="120" w:before="260" w:line="312"/>
      </w:pPr>
      <w:bookmarkStart w:id="100051" w:name="_Toc100051"/>
      <w:r>
        <w:rPr>
          <w:rFonts w:ascii="Times New Roman" w:eastAsia="Times New Roman"/>
          <w:b/>
          <w:bCs/>
          <w:color w:val="16324A"/>
          <w:sz w:val="28"/>
          <w:szCs w:val="28"/>
        </w:rPr>
        <w:t xml:space="preserve">7.3 Adding a New Brand or File Type Today</w:t>
      </w:r>
      <w:bookmarkEnd w:id="100051"/>
    </w:p>
    <w:p>
      <w:pPr>
        <w:keepNext w:val="false"/>
        <w:spacing w:after="120" w:line="312"/>
        <w:jc w:val="both"/>
      </w:pPr>
      <w:r>
        <w:rPr>
          <w:rFonts w:ascii="Times New Roman" w:eastAsia="Times New Roman"/>
          <w:b w:val="false"/>
          <w:bCs w:val="false"/>
          <w:i w:val="false"/>
          <w:iCs w:val="false"/>
          <w:color w:val="000000"/>
          <w:sz w:val="24"/>
          <w:szCs w:val="24"/>
        </w:rPr>
        <w:t xml:space="preserve">Onboarding a brand is currently a code task. The steps are: create a package with the handler skeleton and ETL module (in practice by cloning the closest existing brand); register keyword dictionaries and required-type policies; add the handler import and BRAND_ROUTER entry; add endpoint routing patterns in the delivery Lambda if the file type is new; and update the portal dropdown lists. Estimated effort is days for a clone of an existing flow and weeks for a genuinely new business file type, dominated by mapping-template curation by the COE team and by test iterations against real principal files. The main risks are the triple-registration burden of Section 4.3 and the temptation to clone rather than consolidate, which is how the code base reached its current duplication level. The runbook (Section 15.4) gives the step-by-step checklist.</w:t>
      </w:r>
    </w:p>
    <w:p>
      <w:pPr>
        <w:pStyle w:val="Heading1"/>
        <w:spacing w:after="160" w:before="360" w:line="312"/>
      </w:pPr>
      <w:bookmarkStart w:id="100052" w:name="_Toc100052"/>
      <w:r>
        <w:rPr>
          <w:rFonts w:ascii="Times New Roman" w:eastAsia="Times New Roman"/>
          <w:b/>
          <w:bCs/>
          <w:color w:val="16324A"/>
          <w:sz w:val="32"/>
          <w:szCs w:val="32"/>
        </w:rPr>
        <w:t xml:space="preserve">8. Reference Data and Mapping Framework</w:t>
      </w:r>
      <w:bookmarkEnd w:id="100052"/>
    </w:p>
    <w:p>
      <w:pPr>
        <w:pStyle w:val="Heading2"/>
        <w:spacing w:after="120" w:before="260" w:line="312"/>
      </w:pPr>
      <w:bookmarkStart w:id="100053" w:name="_Toc100053"/>
      <w:r>
        <w:rPr>
          <w:rFonts w:ascii="Times New Roman" w:eastAsia="Times New Roman"/>
          <w:b/>
          <w:bCs/>
          <w:color w:val="16324A"/>
          <w:sz w:val="28"/>
          <w:szCs w:val="28"/>
        </w:rPr>
        <w:t xml:space="preserve">8.1 Master Data Dictionary (MAA).xlsx</w:t>
      </w:r>
      <w:bookmarkEnd w:id="100053"/>
    </w:p>
    <w:p>
      <w:pPr>
        <w:keepNext w:val="false"/>
        <w:spacing w:after="120" w:line="312"/>
        <w:jc w:val="both"/>
      </w:pPr>
      <w:r>
        <w:rPr>
          <w:rFonts w:ascii="Times New Roman" w:eastAsia="Times New Roman"/>
          <w:b w:val="false"/>
          <w:bCs w:val="false"/>
          <w:i w:val="false"/>
          <w:iCs w:val="false"/>
          <w:color w:val="000000"/>
          <w:sz w:val="24"/>
          <w:szCs w:val="24"/>
        </w:rPr>
        <w:t xml:space="preserve">The Master Data Dictionary is the single source of truth for what a Stibo attribute is. Its Core Attributes sheet carries 401 attribute rows with 380 distinct AT_ identifiers across 40 metadata columns, including PIM name and ID, validation base type, minimum and maximum lengths, precision, multi-valued flag, cardinality, business rule text, default value, LOV name and display sequence. Cardinality distribution: 173 mandatory, 215 optional, 3 conditional (plus two rows whose value Optional Mandatory is ambiguous - a small but real data-quality defect). Validation base types follow the 15-type Stibo definitions documented on the Validation Base Type Definition sheet (integer, number, number range, fraction, date, ISO date, text, numeric text, LOV, regular expression, URL and variants). The type distribution across attributes is 150 text, 137 LOV, 44 number, 6 date and 64 blank - the blank ones being attributes whose validation is defined only in STEP.</w:t>
      </w:r>
    </w:p>
    <w:p>
      <w:pPr>
        <w:keepNext w:val="false"/>
        <w:spacing w:after="120" w:line="312"/>
        <w:jc w:val="both"/>
      </w:pPr>
      <w:r>
        <w:rPr>
          <w:rFonts w:ascii="Times New Roman" w:eastAsia="Times New Roman"/>
          <w:b w:val="false"/>
          <w:bCs w:val="false"/>
          <w:i w:val="false"/>
          <w:iCs w:val="false"/>
          <w:color w:val="000000"/>
          <w:sz w:val="24"/>
          <w:szCs w:val="24"/>
        </w:rPr>
        <w:t xml:space="preserve">The workbook also carries the Instructions sheet (Stibo's own attribute-worksheet specification), a Version History sheet, one Business Rules sheet that contains exactly one rule (BCI is mandatory for SPORTS and GOLF), and the LOV catalogue itself. Assumption: the workbook is maintained by the COE team and manually kept in sync with the STEP data model; Chapter 16 proposes replacing this manual sync with the STEP REST API v2 model endpoints, which since release 2026.1 expose attribute validators and LOVs programmatically.</w:t>
      </w:r>
    </w:p>
    <w:p>
      <w:pPr>
        <w:pStyle w:val="Heading2"/>
        <w:spacing w:after="120" w:before="260" w:line="312"/>
      </w:pPr>
      <w:bookmarkStart w:id="100054" w:name="_Toc100054"/>
      <w:r>
        <w:rPr>
          <w:rFonts w:ascii="Times New Roman" w:eastAsia="Times New Roman"/>
          <w:b/>
          <w:bCs/>
          <w:color w:val="16324A"/>
          <w:sz w:val="28"/>
          <w:szCs w:val="28"/>
        </w:rPr>
        <w:t xml:space="preserve">8.2 List of Values (LOV) Catalogue</w:t>
      </w:r>
      <w:bookmarkEnd w:id="100054"/>
    </w:p>
    <w:p>
      <w:pPr>
        <w:keepNext w:val="false"/>
        <w:spacing w:after="120" w:line="312"/>
        <w:jc w:val="both"/>
      </w:pPr>
      <w:r>
        <w:rPr>
          <w:rFonts w:ascii="Times New Roman" w:eastAsia="Times New Roman"/>
          <w:b w:val="false"/>
          <w:bCs w:val="false"/>
          <w:i w:val="false"/>
          <w:iCs w:val="false"/>
          <w:color w:val="000000"/>
          <w:sz w:val="24"/>
          <w:szCs w:val="24"/>
        </w:rPr>
        <w:t xml:space="preserve">The dictionary contains 64 LOV and reference sheets with approximately 43,352 entries in total. Most LOV sheets follow a two-column display-value / ID convention (column A the human label, column B the Stibo ID), but the schemas are not uniform: the vendor sheet has three columns (company code, vendor ID, vendor name), the size-code sheet has seven, and several sheets are single-column. Table 8-1 lists the largest sheets to give a sense of scale. Schema drift is handled by the loader copies per brand - one more reason consolidation is urgent (issue KI-08).</w:t>
      </w:r>
    </w:p>
    <w:p>
      <w:pPr>
        <w:keepNext/>
        <w:spacing w:after="80" w:before="160" w:line="312"/>
        <w:jc w:val="left"/>
      </w:pPr>
      <w:r>
        <w:rPr>
          <w:rFonts w:ascii="Times New Roman" w:eastAsia="Times New Roman"/>
          <w:b/>
          <w:bCs/>
          <w:color w:val="16324A"/>
          <w:sz w:val="21"/>
          <w:szCs w:val="21"/>
        </w:rPr>
        <w:t xml:space="preserve">Table 8-1 - Largest LOV sheets (by row count)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LOV sheet</w:t>
            </w:r>
          </w:p>
        </w:tc>
        <w:tc>
          <w:tcPr>
            <w:tcW w:type="pct" w:w="1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Rows</w:t>
            </w:r>
          </w:p>
        </w:tc>
        <w:tc>
          <w:tcPr>
            <w:tcW w:type="pct" w:w="4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Notes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Vendor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32,663</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 columns: company code + vendor ID + vendor name; per-company namespaces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Size Code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5,061</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7 columns; SAP size codes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Franchise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1,917</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Single column</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Retail Price Currency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183</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Currency per country</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 Origin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239</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Country of origin values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Color Code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222</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SAP colour codes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Group / Brand Category</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301 / 50</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hierarchy attributes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Season LOV</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9</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SP, SM, FL, WN, CO, SS, FW, AL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All remaining 55 sheets</w:t>
            </w:r>
          </w:p>
        </w:tc>
        <w:tc>
          <w:tcPr>
            <w:tcW w:type="pct" w:w="1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approx. 2,900 combined</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Two-column display/ID convention</w:t>
            </w:r>
          </w:p>
        </w:tc>
      </w:tr>
    </w:tbl>
    <w:p>
      <w:pPr>
        <w:spacing w:after="140" w:line="240"/>
      </w:pPr>
      <w:r>
        <w:rPr>
          <w:sz w:val="2"/>
          <w:szCs w:val="2"/>
        </w:rPr>
        <w:t xml:space="preserve"> </w:t>
      </w:r>
    </w:p>
    <w:p>
      <w:pPr>
        <w:pStyle w:val="Heading2"/>
        <w:spacing w:after="120" w:before="260" w:line="312"/>
      </w:pPr>
      <w:bookmarkStart w:id="100055" w:name="_Toc100055"/>
      <w:r>
        <w:rPr>
          <w:rFonts w:ascii="Times New Roman" w:eastAsia="Times New Roman"/>
          <w:b/>
          <w:bCs/>
          <w:color w:val="16324A"/>
          <w:sz w:val="28"/>
          <w:szCs w:val="28"/>
        </w:rPr>
        <w:t xml:space="preserve">8.3 RNA Master Lookup</w:t>
      </w:r>
      <w:bookmarkEnd w:id="100055"/>
    </w:p>
    <w:p>
      <w:pPr>
        <w:keepNext w:val="false"/>
        <w:spacing w:after="120" w:line="312"/>
        <w:jc w:val="both"/>
      </w:pPr>
      <w:r>
        <w:rPr>
          <w:rFonts w:ascii="Times New Roman" w:eastAsia="Times New Roman"/>
          <w:b w:val="false"/>
          <w:bCs w:val="false"/>
          <w:i w:val="false"/>
          <w:iCs w:val="false"/>
          <w:color w:val="000000"/>
          <w:sz w:val="24"/>
          <w:szCs w:val="24"/>
        </w:rPr>
        <w:t xml:space="preserve">The sheet Source Mapping related RNA (2,364 rows by 15 columns, also embedded as a tab inside the mapping workbook) is the organisational spine of every ETL: it maps country to company code (7 countries, 23 company codes; 0888 = PT. MAP Aktif Adiperkasa Tbk), to SBU grouping, SBU (43 values), brand group, brand category, brand type, brand name, brand code, reporting brand code and name, brand status and BY codes (8 values such as MAA_CH, MAA_FF, MAA_SD, MAA_SP, MAA_PY, MAA_GO, FTL_SP, FTL_FF). The loaders perform a fuzzy, multi-pass join - brand name first, then reporting code, then looser matches - so the RNA is the fallback that lets even hard-coded brands resolve SBU and company attributes consistently. Any change to the organisational structure (new SBU, renamed brand) is made here and propagates to all brands on the next fan-out.</w:t>
      </w:r>
    </w:p>
    <w:p>
      <w:pPr>
        <w:pStyle w:val="Heading2"/>
        <w:spacing w:after="120" w:before="260" w:line="312"/>
      </w:pPr>
      <w:bookmarkStart w:id="100056" w:name="_Toc100056"/>
      <w:r>
        <w:rPr>
          <w:rFonts w:ascii="Times New Roman" w:eastAsia="Times New Roman"/>
          <w:b/>
          <w:bCs/>
          <w:color w:val="16324A"/>
          <w:sz w:val="28"/>
          <w:szCs w:val="28"/>
        </w:rPr>
        <w:t xml:space="preserve">8.4 Brand Mapping Template Workbook</w:t>
      </w:r>
      <w:bookmarkEnd w:id="100056"/>
    </w:p>
    <w:p>
      <w:pPr>
        <w:keepNext w:val="false"/>
        <w:spacing w:after="120" w:line="312"/>
        <w:jc w:val="both"/>
      </w:pPr>
      <w:r>
        <w:rPr>
          <w:rFonts w:ascii="Times New Roman" w:eastAsia="Times New Roman"/>
          <w:b w:val="false"/>
          <w:bCs w:val="false"/>
          <w:i w:val="false"/>
          <w:iCs w:val="false"/>
          <w:color w:val="000000"/>
          <w:sz w:val="24"/>
          <w:szCs w:val="24"/>
        </w:rPr>
        <w:t xml:space="preserve">The NEW - Brand mapping files Template workbook is the negotiation table between COE and the brands: 29 brand tabs, each with an identical 2-row header and 234 attribute rows (about 6,786 mapping rows in total). Its hidden MDD tab (167 attributes) resolves attribute names to IDs by VLOOKUP. Table 8-2 decodes the column semantics; Figure 8-1 shows how the three reference workbooks flow into the ETL loaders and out into the STEPXML values.</w:t>
      </w:r>
    </w:p>
    <w:p>
      <w:pPr>
        <w:keepNext/>
        <w:spacing w:after="80" w:before="160" w:line="312"/>
        <w:jc w:val="left"/>
      </w:pPr>
      <w:r>
        <w:rPr>
          <w:rFonts w:ascii="Times New Roman" w:eastAsia="Times New Roman"/>
          <w:b/>
          <w:bCs/>
          <w:color w:val="16324A"/>
          <w:sz w:val="21"/>
          <w:szCs w:val="21"/>
        </w:rPr>
        <w:t xml:space="preserve">Table 8-2 - Column semantics of a brand mapping tab (header row 2)</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Col</w:t>
            </w:r>
          </w:p>
        </w:tc>
        <w:tc>
          <w:tcPr>
            <w:tcW w:type="pct" w:w="5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Meaning</w:t>
            </w:r>
          </w:p>
        </w:tc>
        <w:tc>
          <w:tcPr>
            <w:tcW w:type="pct" w:w="3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Example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Stibo attribute display name</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SAP Color</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Stibo attribute ID (VLOOKUP into hidden MDD tab)</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AT_Color</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Validation base type (VLOOKUP): LOV, text, regexp, number, legacyisodatetime, url, date</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LOV</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Cluster (Basic, Commercial, Price, Cost, MC, Hierarchy, Online, Translation, Image, System indicator)</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Basic</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Grouping (Color, Gender, Sizing, Barcode, Images, Description)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Color</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Free-text description: lengths, co-dependencies, composition rules</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Max 18 digits: generic code + 3-digit colour + 3-digit size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G</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Field mapping type: Direct from Principal / Formula in System / Mapping-from-Principal / Manual Input in Portal / AI Images Analysis / AI Translation / Not Available</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Mapping-from-Principal</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H / I / J</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Source: brand file name and link / sheet name / field name in the brand file</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Example RECAP SAMPLE.xlsx / LOT / 1st Ingestion: Color Code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 / L</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Mapping logic (free text or embedded value map raw : id - label) + optional additional mapping file (SharePoint link)</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 : M - Male / W : F - Female / U : U - Unisex</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w:t>
            </w:r>
          </w:p>
        </w:tc>
        <w:tc>
          <w:tcPr>
            <w:tcW w:type="pct" w:w="5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Per-product-type applicability letters under Inline/Licensed x Footwear/Apparel/Accessories/Equipment headers</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 = direct, B = mapping+formula, C = AI image, D = manual, E = not available, F = system formula</w:t>
            </w:r>
          </w:p>
        </w:tc>
      </w:tr>
    </w:tbl>
    <w:p>
      <w:pPr>
        <w:spacing w:after="140" w:line="240"/>
      </w:pPr>
      <w:r>
        <w:rPr>
          <w:sz w:val="2"/>
          <w:szCs w:val="2"/>
        </w:rPr>
        <w:t xml:space="preserve"> </w:t>
      </w:r>
    </w:p>
    <w:p>
      <w:pPr>
        <w:keepNext/>
        <w:spacing w:after="60" w:before="160"/>
        <w:jc w:val="center"/>
      </w:pPr>
      <w:r>
        <w:drawing>
          <wp:inline distT="0" distB="0" distL="0" distR="0">
            <wp:extent cx="5381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3086100"/>
                    </a:xfrm>
                    <a:prstGeom prst="rect">
                      <a:avLst/>
                    </a:prstGeom>
                  </pic:spPr>
                </pic:pic>
              </a:graphicData>
            </a:graphic>
          </wp:inline>
        </w:drawing>
      </w:r>
    </w:p>
    <w:p>
      <w:pPr>
        <w:spacing w:after="200" w:line="276"/>
        <w:jc w:val="center"/>
      </w:pPr>
      <w:r>
        <w:rPr>
          <w:rFonts w:ascii="Times New Roman" w:eastAsia="Times New Roman"/>
          <w:i/>
          <w:iCs/>
          <w:color w:val="5B6B7D"/>
          <w:sz w:val="20"/>
          <w:szCs w:val="20"/>
        </w:rPr>
        <w:t xml:space="preserve">Figure 8-1 - Reference data framework: sources, loaders and consumers</w:t>
      </w:r>
    </w:p>
    <w:p>
      <w:pPr>
        <w:pStyle w:val="Heading2"/>
        <w:spacing w:after="120" w:before="260" w:line="312"/>
      </w:pPr>
      <w:bookmarkStart w:id="100057" w:name="_Toc100057"/>
      <w:r>
        <w:rPr>
          <w:rFonts w:ascii="Times New Roman" w:eastAsia="Times New Roman"/>
          <w:b/>
          <w:bCs/>
          <w:color w:val="16324A"/>
          <w:sz w:val="28"/>
          <w:szCs w:val="28"/>
        </w:rPr>
        <w:t xml:space="preserve">8.5 The Ten Mapping Rule Archetypes</w:t>
      </w:r>
      <w:bookmarkEnd w:id="100057"/>
    </w:p>
    <w:p>
      <w:pPr>
        <w:keepNext w:val="false"/>
        <w:spacing w:after="120" w:line="312"/>
        <w:jc w:val="both"/>
      </w:pPr>
      <w:r>
        <w:rPr>
          <w:rFonts w:ascii="Times New Roman" w:eastAsia="Times New Roman"/>
          <w:b w:val="false"/>
          <w:bCs w:val="false"/>
          <w:i w:val="false"/>
          <w:iCs w:val="false"/>
          <w:color w:val="000000"/>
          <w:sz w:val="24"/>
          <w:szCs w:val="24"/>
        </w:rPr>
        <w:t xml:space="preserve">Across all brand tabs, the free-text mapping logic (columns G/K and the applicability letters) resolves to ten recurring rule shapes. They are listed here because any future portal or engine must support exactly these shapes as first-class configuration - and because four of them (manual, AI image, AI translation, stage-conditional) are precisely the ones the current pipeline cannot execute, which is the gap the portal initiative targets.</w:t>
      </w:r>
    </w:p>
    <w:p>
      <w:pPr>
        <w:keepNext/>
        <w:spacing w:after="80" w:before="160" w:line="312"/>
        <w:jc w:val="left"/>
      </w:pPr>
      <w:r>
        <w:rPr>
          <w:rFonts w:ascii="Times New Roman" w:eastAsia="Times New Roman"/>
          <w:b/>
          <w:bCs/>
          <w:color w:val="16324A"/>
          <w:sz w:val="21"/>
          <w:szCs w:val="21"/>
        </w:rPr>
        <w:t xml:space="preserve">Table 8-3 - Mapping rule archetypes with verbatim examples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5%"/>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w:t>
            </w:r>
          </w:p>
        </w:tc>
        <w:tc>
          <w:tcPr>
            <w:tcW w:type="pct" w:w="2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Archetype</w:t>
            </w:r>
          </w:p>
        </w:tc>
        <w:tc>
          <w:tcPr>
            <w:tcW w:type="pct" w:w="71%"/>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Verbatim example from the workbook</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Direct copy</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Direct from Principal (column G) with source field in J</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Constant default</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Country of Origin: Default : China; SAP Age: Default : Adults</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3</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Country/derived default</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Retail Price Currency: Default by currency per country e.g Indonesia (IDR), Philiphine (PHP)</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4</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First-entry rule</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Main Vendor Identification: 1st entry always be as main vendor</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5</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Substring / transform</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Principal Color Code: Line List : Column 'Colorway Code' (put the last 3 digits)</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6</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Code concatenation</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Variant code: 3 Digits Brand Code + Max 9 Digits Principal Style Code + 3 Digits Size (generic-code Types A-E per brand)</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7</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LOV lookup</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SAP Gender: M : M - Male / W : F - Female / U : U - Unisex</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8</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AI image analysis</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SAP Color / Size: AI Images Analysist (letter C) - currently excluded from output</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9</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AI translation</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AI translation entries for description attributes - currently excluded from output</w:t>
            </w:r>
          </w:p>
        </w:tc>
      </w:tr>
      <w:tr>
        <w:trPr>
          <w:cantSplit/>
        </w:trPr>
        <w:tc>
          <w:tcPr>
            <w:tcW w:type="pct" w:w="5%"/>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10</w:t>
            </w:r>
          </w:p>
        </w:tc>
        <w:tc>
          <w:tcPr>
            <w:tcW w:type="pct" w:w="2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Ingestion-stage conditional</w:t>
            </w:r>
          </w:p>
        </w:tc>
        <w:tc>
          <w:tcPr>
            <w:tcW w:type="pct" w:w="71%"/>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Original Price: 1st ingestion : keep as blank / 2nd ingestion : proposed_retail_price</w:t>
            </w:r>
          </w:p>
        </w:tc>
      </w:tr>
    </w:tbl>
    <w:p>
      <w:pPr>
        <w:spacing w:after="140" w:line="240"/>
      </w:pPr>
      <w:r>
        <w:rPr>
          <w:sz w:val="2"/>
          <w:szCs w:val="2"/>
        </w:rPr>
        <w:t xml:space="preserve"> </w:t>
      </w:r>
    </w:p>
    <w:p>
      <w:pPr>
        <w:pStyle w:val="Heading2"/>
        <w:spacing w:after="120" w:before="260" w:line="312"/>
      </w:pPr>
      <w:bookmarkStart w:id="100058" w:name="_Toc100058"/>
      <w:r>
        <w:rPr>
          <w:rFonts w:ascii="Times New Roman" w:eastAsia="Times New Roman"/>
          <w:b/>
          <w:bCs/>
          <w:color w:val="16324A"/>
          <w:sz w:val="28"/>
          <w:szCs w:val="28"/>
        </w:rPr>
        <w:t xml:space="preserve">8.6 MD-Mapping Value-Translation Sheets</w:t>
      </w:r>
      <w:bookmarkEnd w:id="100058"/>
    </w:p>
    <w:p>
      <w:pPr>
        <w:keepNext w:val="false"/>
        <w:spacing w:after="120" w:line="312"/>
        <w:jc w:val="both"/>
      </w:pPr>
      <w:r>
        <w:rPr>
          <w:rFonts w:ascii="Times New Roman" w:eastAsia="Times New Roman"/>
          <w:b w:val="false"/>
          <w:bCs w:val="false"/>
          <w:i w:val="false"/>
          <w:iCs w:val="false"/>
          <w:color w:val="000000"/>
          <w:sz w:val="24"/>
          <w:szCs w:val="24"/>
        </w:rPr>
        <w:t xml:space="preserve">Fifteen MD Mappings tabs (about 1,700 value pairs in total) translate raw principal values into Stibo display values and then into LOV IDs. Their header block names the source file and column, the division and the target attribute, followed by the raw-to-Stibo pairs. Translations are frequently one-to-many: Lotto's JUNIOR maps simultaneously to SAP Gender = Unisex, SAP Age = Children and BY Gender/Age pairs. Some sheets use composite keys (Dr. Martens derives SAP Product Group from Gender plus Sub-Division). Known gaps: the Reebok silhouette sheet carries 38 raw values with no target on 22 of them, and the copy-paste duplication of these sheets across brand workbooks has produced at least one confirmed defect (a Crocs row maps Principal Size Code to the wrong attribute ID - issue KI-12).</w:t>
      </w:r>
    </w:p>
    <w:p>
      <w:pPr>
        <w:pStyle w:val="Heading2"/>
        <w:spacing w:after="120" w:before="260" w:line="312"/>
      </w:pPr>
      <w:bookmarkStart w:id="100059" w:name="_Toc100059"/>
      <w:r>
        <w:rPr>
          <w:rFonts w:ascii="Times New Roman" w:eastAsia="Times New Roman"/>
          <w:b/>
          <w:bCs/>
          <w:color w:val="16324A"/>
          <w:sz w:val="28"/>
          <w:szCs w:val="28"/>
        </w:rPr>
        <w:t xml:space="preserve">8.7 Data-Quality Gaps in the Reference Framework</w:t>
      </w:r>
      <w:bookmarkEnd w:id="100059"/>
    </w:p>
    <w:p>
      <w:pPr>
        <w:keepNext w:val="false"/>
        <w:spacing w:after="120" w:line="312"/>
        <w:jc w:val="both"/>
      </w:pPr>
      <w:r>
        <w:rPr>
          <w:rFonts w:ascii="Times New Roman" w:eastAsia="Times New Roman"/>
          <w:b w:val="false"/>
          <w:bCs w:val="false"/>
          <w:i w:val="false"/>
          <w:iCs w:val="false"/>
          <w:color w:val="000000"/>
          <w:sz w:val="24"/>
          <w:szCs w:val="24"/>
        </w:rPr>
        <w:t xml:space="preserve">Five gaps limit full automation today and are tracked in Chapter 13: 80 of the 234 template attributes have no AT_ identifier (the Images 1-50 block, BY hierarchy attributes, packaging dimensions, Valid From/To, MC structure attributes and the VN/TH translation attributes); column G contains 55 spelling variants of the six intended mapping types, so letter-to-type correlation is only about 85 percent reliable; the naming convention is unratified (Section 4.4); the Business Rules sheet holds a single rule while the real rule inventory lives informally in free-text descriptions; and several brand tabs still carry open TODO notes (the Summary Missing Requirements sheet lists them, including remarks in Indonesian). None of these gaps blocks the current pipeline - it simply routes around them - but each one becomes a hard blocker for a fully configuration-driven engine, which is why Chapter 16 places data clean-up in Phase 0.</w:t>
      </w:r>
    </w:p>
    <w:p>
      <w:pPr>
        <w:pStyle w:val="Heading1"/>
        <w:spacing w:after="160" w:before="360" w:line="312"/>
      </w:pPr>
      <w:bookmarkStart w:id="100060" w:name="_Toc100060"/>
      <w:r>
        <w:rPr>
          <w:rFonts w:ascii="Times New Roman" w:eastAsia="Times New Roman"/>
          <w:b/>
          <w:bCs/>
          <w:color w:val="16324A"/>
          <w:sz w:val="32"/>
          <w:szCs w:val="32"/>
        </w:rPr>
        <w:t xml:space="preserve">9. STEPXML Output Specification</w:t>
      </w:r>
      <w:bookmarkEnd w:id="100060"/>
    </w:p>
    <w:p>
      <w:pPr>
        <w:pStyle w:val="Heading2"/>
        <w:spacing w:after="120" w:before="260" w:line="312"/>
      </w:pPr>
      <w:bookmarkStart w:id="100061" w:name="_Toc100061"/>
      <w:r>
        <w:rPr>
          <w:rFonts w:ascii="Times New Roman" w:eastAsia="Times New Roman"/>
          <w:b/>
          <w:bCs/>
          <w:color w:val="16324A"/>
          <w:sz w:val="28"/>
          <w:szCs w:val="28"/>
        </w:rPr>
        <w:t xml:space="preserve">9.1 Document Root and Namespaces</w:t>
      </w:r>
      <w:bookmarkEnd w:id="100061"/>
    </w:p>
    <w:p>
      <w:pPr>
        <w:keepNext w:val="false"/>
        <w:spacing w:after="120" w:line="312"/>
        <w:jc w:val="both"/>
      </w:pPr>
      <w:r>
        <w:rPr>
          <w:rFonts w:ascii="Times New Roman" w:eastAsia="Times New Roman"/>
          <w:b w:val="false"/>
          <w:bCs w:val="false"/>
          <w:i w:val="false"/>
          <w:iCs w:val="false"/>
          <w:color w:val="000000"/>
          <w:sz w:val="24"/>
          <w:szCs w:val="24"/>
        </w:rPr>
        <w:t xml:space="preserve">All 82 ETL output modules produce the same STEPXML document format, conforming to Stibo's PIM.XSD. The root element STEP-ProductInformation binds the default namespace http://www.stibosystems.com/step and carries the export context: ExportTime, ExportContext and ContextID set to Context1, WorkspaceID set to Main, and UseContextLocale set to false. Adidas additionally sets update=true on the root, requesting an update-import rather than insert-only semantics; no other brand does. The delivery lambda counts xmlns and ns0: occurrences as a structural sanity check before upload, which catches the most common serialisation accidents.</w:t>
      </w:r>
    </w:p>
    <w:p>
      <w:pPr>
        <w:pStyle w:val="Heading2"/>
        <w:spacing w:after="120" w:before="260" w:line="312"/>
      </w:pPr>
      <w:bookmarkStart w:id="100062" w:name="_Toc100062"/>
      <w:r>
        <w:rPr>
          <w:rFonts w:ascii="Times New Roman" w:eastAsia="Times New Roman"/>
          <w:b/>
          <w:bCs/>
          <w:color w:val="16324A"/>
          <w:sz w:val="28"/>
          <w:szCs w:val="28"/>
        </w:rPr>
        <w:t xml:space="preserve">9.2 Classification Hierarchy</w:t>
      </w:r>
      <w:bookmarkEnd w:id="100062"/>
    </w:p>
    <w:p>
      <w:pPr>
        <w:keepNext w:val="false"/>
        <w:spacing w:after="120" w:line="312"/>
        <w:jc w:val="both"/>
      </w:pPr>
      <w:r>
        <w:rPr>
          <w:rFonts w:ascii="Times New Roman" w:eastAsia="Times New Roman"/>
          <w:b w:val="false"/>
          <w:bCs w:val="false"/>
          <w:i w:val="false"/>
          <w:iCs w:val="false"/>
          <w:color w:val="000000"/>
          <w:sz w:val="24"/>
          <w:szCs w:val="24"/>
        </w:rPr>
        <w:t xml:space="preserve">Each file creates a season classification subtree used for batching inbound articles. Under the brand batches root CLH_{Brand}Batches (for example CLH_ELLBatches), the ETL creates a season node CLH_{BRANDCODE}_{SS|FW}{YYYY} - for example CLH_ELL_SP2027 - of classification type CLS_Season, with confirmed and unconfirmed leaves (...CA and ...UA) beneath. Articles are then referenced into this subtree plus two further classification references (the brand articles root CLH_{Brand}Articles with target CPL_Merchandiser, and the season unconfirmed node with target CPL_UnConfirmedForSeason). The delivery lambda can optionally blank the classification IDs: the blank_ids option rewrites ID="CLH_..." to ID="" on Classification elements only, forcing STEP to resolve or create the nodes by name - used when the target classification IDs may already exist with different IDs.</w:t>
      </w:r>
    </w:p>
    <w:p>
      <w:pPr>
        <w:pStyle w:val="Heading2"/>
        <w:spacing w:after="120" w:before="260" w:line="312"/>
      </w:pPr>
      <w:bookmarkStart w:id="100063" w:name="_Toc100063"/>
      <w:r>
        <w:rPr>
          <w:rFonts w:ascii="Times New Roman" w:eastAsia="Times New Roman"/>
          <w:b/>
          <w:bCs/>
          <w:color w:val="16324A"/>
          <w:sz w:val="28"/>
          <w:szCs w:val="28"/>
        </w:rPr>
        <w:t xml:space="preserve">9.3 Product and Variant Structure</w:t>
      </w:r>
      <w:bookmarkEnd w:id="100063"/>
    </w:p>
    <w:p>
      <w:pPr>
        <w:keepNext w:val="false"/>
        <w:spacing w:after="120" w:line="312"/>
        <w:jc w:val="both"/>
      </w:pPr>
      <w:r>
        <w:rPr>
          <w:rFonts w:ascii="Times New Roman" w:eastAsia="Times New Roman"/>
          <w:b w:val="false"/>
          <w:bCs w:val="false"/>
          <w:i w:val="false"/>
          <w:iCs w:val="false"/>
          <w:color w:val="000000"/>
          <w:sz w:val="24"/>
          <w:szCs w:val="24"/>
        </w:rPr>
        <w:t xml:space="preserve">Products are written as Product elements of UserTypeID PRD_GenericArticle (style/colour level) or PRD_SingleArticle, with ParentID pointing at a temporary subcategory (PPH_{F|A|E|Q|T}-TempSubCat by product family). Identity is carried by a KeyValue element with KeyID KEY_InboundArticle (the generic article code), not by the product ID - the Product elements intentionally carry no ID attribute. Each product carries a Name, its classification references, and a Values block. Variants are nested PRD_VariantArticle elements inside their generic article, identified by KEY_InboundVariant; the variant code composition follows the per-brand generic-code Types A-E documented in the mapping workbook (brand code + principal style + colour + size, with per-brand digit layouts).</w:t>
      </w:r>
    </w:p>
    <w:tbl>
      <w:tblPr>
        <w:tblW w:type="pct" w:w="100%"/>
        <w:tblBorders>
          <w:top w:val="single" w:color="CBD5E1" w:sz="1"/>
          <w:left w:val="single" w:color="1B6B7A" w:sz="6"/>
          <w:bottom w:val="single" w:color="CBD5E1" w:sz="1"/>
          <w:right w:val="single" w:color="CBD5E1" w:sz="1"/>
          <w:insideH w:val="none"/>
          <w:insideV w:val="none"/>
        </w:tblBorders>
      </w:tblPr>
      <w:tblGrid>
        <w:gridCol w:w="100"/>
      </w:tblGrid>
      <w:tr>
        <w:trPr>
          <w:cantSplit w:val="false"/>
        </w:trPr>
        <w:tc>
          <w:tcPr>
            <w:tcW w:type="pct" w:w="100%"/>
            <w:shd w:fill="F8FAFC" w:val="clear"/>
            <w:tcMar>
              <w:top w:type="dxa" w:w="100"/>
              <w:left w:type="dxa" w:w="160"/>
              <w:bottom w:type="dxa" w:w="100"/>
              <w:right w:type="dxa" w:w="160"/>
            </w:tcMar>
          </w:tcPr>
          <w:p>
            <w:pPr>
              <w:spacing w:after="60" w:line="240"/>
            </w:pPr>
            <w:r>
              <w:rPr>
                <w:rFonts w:ascii="Courier New" w:eastAsia="Courier New"/>
                <w:b/>
                <w:bCs/>
                <w:color w:val="5B6B7D"/>
                <w:sz w:val="16"/>
                <w:szCs w:val="16"/>
              </w:rPr>
              <w:t xml:space="preserve">Illustrative STEPXML skeleton (structure reconstructed from the ETL builder code; attribute IDs shortened for readability)</w:t>
            </w:r>
          </w:p>
          <w:p>
            <w:pPr>
              <w:spacing w:after="0" w:line="240"/>
            </w:pPr>
            <w:r>
              <w:rPr>
                <w:rFonts w:ascii="Courier New" w:eastAsia="Courier New"/>
                <w:color w:val="1F2937"/>
                <w:sz w:val="17"/>
                <w:szCs w:val="17"/>
              </w:rPr>
              <w:t xml:space="preserve">&lt;STEP-ProductInformation xmlns="http://www.stibosystems.com/step"</w:t>
            </w:r>
          </w:p>
          <w:p>
            <w:pPr>
              <w:spacing w:after="0" w:line="240"/>
            </w:pPr>
            <w:r>
              <w:rPr>
                <w:rFonts w:ascii="Courier New" w:eastAsia="Courier New"/>
                <w:color w:val="1F2937"/>
                <w:sz w:val="17"/>
                <w:szCs w:val="17"/>
              </w:rPr>
              <w:t xml:space="preserve">    ExportTime="2026-09-07T03:12:44Z" ExportContext="Context1" ContextID="Context1"</w:t>
            </w:r>
          </w:p>
          <w:p>
            <w:pPr>
              <w:spacing w:after="0" w:line="240"/>
            </w:pPr>
            <w:r>
              <w:rPr>
                <w:rFonts w:ascii="Courier New" w:eastAsia="Courier New"/>
                <w:color w:val="1F2937"/>
                <w:sz w:val="17"/>
                <w:szCs w:val="17"/>
              </w:rPr>
              <w:t xml:space="preserve">    WorkspaceID="Main" UseContextLocale="false"&gt;</w:t>
            </w:r>
          </w:p>
          <w:p>
            <w:pPr>
              <w:spacing w:after="0" w:line="240"/>
            </w:pPr>
            <w:r>
              <w:rPr>
                <w:rFonts w:ascii="Courier New" w:eastAsia="Courier New"/>
                <w:color w:val="1F2937"/>
                <w:sz w:val="17"/>
                <w:szCs w:val="17"/>
              </w:rPr>
              <w:t xml:space="preserve">  &lt;Classifications&gt;</w:t>
            </w:r>
          </w:p>
          <w:p>
            <w:pPr>
              <w:spacing w:after="0" w:line="240"/>
            </w:pPr>
            <w:r>
              <w:rPr>
                <w:rFonts w:ascii="Courier New" w:eastAsia="Courier New"/>
                <w:color w:val="1F2937"/>
                <w:sz w:val="17"/>
                <w:szCs w:val="17"/>
              </w:rPr>
              <w:t xml:space="preserve">    &lt;Classification ID="CLH_ELLBatches" UserTypeID="CLH_Batches"&gt;</w:t>
            </w:r>
          </w:p>
          <w:p>
            <w:pPr>
              <w:spacing w:after="0" w:line="240"/>
            </w:pPr>
            <w:r>
              <w:rPr>
                <w:rFonts w:ascii="Courier New" w:eastAsia="Courier New"/>
                <w:color w:val="1F2937"/>
                <w:sz w:val="17"/>
                <w:szCs w:val="17"/>
              </w:rPr>
              <w:t xml:space="preserve">      &lt;Name&gt;ELLESSE Batches&lt;/Name&gt;</w:t>
            </w:r>
          </w:p>
          <w:p>
            <w:pPr>
              <w:spacing w:after="0" w:line="240"/>
            </w:pPr>
            <w:r>
              <w:rPr>
                <w:rFonts w:ascii="Courier New" w:eastAsia="Courier New"/>
                <w:color w:val="1F2937"/>
                <w:sz w:val="17"/>
                <w:szCs w:val="17"/>
              </w:rPr>
              <w:t xml:space="preserve">      &lt;Classification ID="CLH_ELL_SP2027" UserTypeID="CLS_Season"&gt;</w:t>
            </w:r>
          </w:p>
          <w:p>
            <w:pPr>
              <w:spacing w:after="0" w:line="240"/>
            </w:pPr>
            <w:r>
              <w:rPr>
                <w:rFonts w:ascii="Courier New" w:eastAsia="Courier New"/>
                <w:color w:val="1F2937"/>
                <w:sz w:val="17"/>
                <w:szCs w:val="17"/>
              </w:rPr>
              <w:t xml:space="preserve">        &lt;Name&gt;ELLESSE SP2027&lt;/Name&gt;</w:t>
            </w:r>
          </w:p>
          <w:p>
            <w:pPr>
              <w:spacing w:after="0" w:line="240"/>
            </w:pPr>
            <w:r>
              <w:rPr>
                <w:rFonts w:ascii="Courier New" w:eastAsia="Courier New"/>
                <w:color w:val="1F2937"/>
                <w:sz w:val="17"/>
                <w:szCs w:val="17"/>
              </w:rPr>
              <w:t xml:space="preserve">        &lt;Classification ID="CLH_ELL_SP2027_UA" UserTypeID="CLS_UnConfirmedForSeason"/&gt;</w:t>
            </w:r>
          </w:p>
          <w:p>
            <w:pPr>
              <w:spacing w:after="0" w:line="240"/>
            </w:pPr>
            <w:r>
              <w:rPr>
                <w:rFonts w:ascii="Courier New" w:eastAsia="Courier New"/>
                <w:color w:val="1F2937"/>
                <w:sz w:val="17"/>
                <w:szCs w:val="17"/>
              </w:rPr>
              <w:t xml:space="preserve">      &lt;/Classification&gt;</w:t>
            </w:r>
          </w:p>
          <w:p>
            <w:pPr>
              <w:spacing w:after="0" w:line="240"/>
            </w:pPr>
            <w:r>
              <w:rPr>
                <w:rFonts w:ascii="Courier New" w:eastAsia="Courier New"/>
                <w:color w:val="1F2937"/>
                <w:sz w:val="17"/>
                <w:szCs w:val="17"/>
              </w:rPr>
              <w:t xml:space="preserve">    &lt;/Classification&gt;</w:t>
            </w:r>
          </w:p>
          <w:p>
            <w:pPr>
              <w:spacing w:after="0" w:line="240"/>
            </w:pPr>
            <w:r>
              <w:rPr>
                <w:rFonts w:ascii="Courier New" w:eastAsia="Courier New"/>
                <w:color w:val="1F2937"/>
                <w:sz w:val="17"/>
                <w:szCs w:val="17"/>
              </w:rPr>
              <w:t xml:space="preserve">  &lt;/Classifications&gt;</w:t>
            </w:r>
          </w:p>
          <w:p>
            <w:pPr>
              <w:spacing w:after="0" w:line="240"/>
            </w:pPr>
            <w:r>
              <w:rPr>
                <w:rFonts w:ascii="Courier New" w:eastAsia="Courier New"/>
                <w:color w:val="1F2937"/>
                <w:sz w:val="17"/>
                <w:szCs w:val="17"/>
              </w:rPr>
              <w:t xml:space="preserve">  &lt;Products&gt;</w:t>
            </w:r>
          </w:p>
          <w:p>
            <w:pPr>
              <w:spacing w:after="0" w:line="240"/>
            </w:pPr>
            <w:r>
              <w:rPr>
                <w:rFonts w:ascii="Courier New" w:eastAsia="Courier New"/>
                <w:color w:val="1F2937"/>
                <w:sz w:val="17"/>
                <w:szCs w:val="17"/>
              </w:rPr>
              <w:t xml:space="preserve">    &lt;Product UserTypeID="PRD_GenericArticle" ParentID="PPH_F-TempSubCat"&gt;</w:t>
            </w:r>
          </w:p>
          <w:p>
            <w:pPr>
              <w:spacing w:after="0" w:line="240"/>
            </w:pPr>
            <w:r>
              <w:rPr>
                <w:rFonts w:ascii="Courier New" w:eastAsia="Courier New"/>
                <w:color w:val="1F2937"/>
                <w:sz w:val="17"/>
                <w:szCs w:val="17"/>
              </w:rPr>
              <w:t xml:space="preserve">      &lt;KeyValue KeyID="KEY_InboundArticle" Value="ELL6RT123MB"/&gt;</w:t>
            </w:r>
          </w:p>
          <w:p>
            <w:pPr>
              <w:spacing w:after="0" w:line="240"/>
            </w:pPr>
            <w:r>
              <w:rPr>
                <w:rFonts w:ascii="Courier New" w:eastAsia="Courier New"/>
                <w:color w:val="1F2937"/>
                <w:sz w:val="17"/>
                <w:szCs w:val="17"/>
              </w:rPr>
              <w:t xml:space="preserve">      &lt;Name&gt;ELLESSE Run Top - Navy&lt;/Name&gt;</w:t>
            </w:r>
          </w:p>
          <w:p>
            <w:pPr>
              <w:spacing w:after="0" w:line="240"/>
            </w:pPr>
            <w:r>
              <w:rPr>
                <w:rFonts w:ascii="Courier New" w:eastAsia="Courier New"/>
                <w:color w:val="1F2937"/>
                <w:sz w:val="17"/>
                <w:szCs w:val="17"/>
              </w:rPr>
              <w:t xml:space="preserve">      &lt;ClassificationReference ClassificationID="CLH_ELLArticles" Target="CPL_Merchandiser"/&gt;</w:t>
            </w:r>
          </w:p>
          <w:p>
            <w:pPr>
              <w:spacing w:after="0" w:line="240"/>
            </w:pPr>
            <w:r>
              <w:rPr>
                <w:rFonts w:ascii="Courier New" w:eastAsia="Courier New"/>
                <w:color w:val="1F2937"/>
                <w:sz w:val="17"/>
                <w:szCs w:val="17"/>
              </w:rPr>
              <w:t xml:space="preserve">      &lt;ClassificationReference ClassificationID="CLH_ELL_SP2027_UA" Target="CPL_UnConfirmedForSeason"/&gt;</w:t>
            </w:r>
          </w:p>
          <w:p>
            <w:pPr>
              <w:spacing w:after="0" w:line="240"/>
            </w:pPr>
            <w:r>
              <w:rPr>
                <w:rFonts w:ascii="Courier New" w:eastAsia="Courier New"/>
                <w:color w:val="1F2937"/>
                <w:sz w:val="17"/>
                <w:szCs w:val="17"/>
              </w:rPr>
              <w:t xml:space="preserve">      &lt;Values&gt;</w:t>
            </w:r>
          </w:p>
          <w:p>
            <w:pPr>
              <w:spacing w:after="0" w:line="240"/>
            </w:pPr>
            <w:r>
              <w:rPr>
                <w:rFonts w:ascii="Courier New" w:eastAsia="Courier New"/>
                <w:color w:val="1F2937"/>
                <w:sz w:val="17"/>
                <w:szCs w:val="17"/>
              </w:rPr>
              <w:t xml:space="preserve">        &lt;Value AttributeID="AT_Brand" ID="ELL"&gt;ELLESSE&lt;/Value&gt;</w:t>
            </w:r>
          </w:p>
          <w:p>
            <w:pPr>
              <w:spacing w:after="0" w:line="240"/>
            </w:pPr>
            <w:r>
              <w:rPr>
                <w:rFonts w:ascii="Courier New" w:eastAsia="Courier New"/>
                <w:color w:val="1F2937"/>
                <w:sz w:val="17"/>
                <w:szCs w:val="17"/>
              </w:rPr>
              <w:t xml:space="preserve">        &lt;Value AttributeID="AT_Color" ID="581"&gt;Navy&lt;/Value&gt;</w:t>
            </w:r>
          </w:p>
          <w:p>
            <w:pPr>
              <w:spacing w:after="0" w:line="240"/>
            </w:pPr>
            <w:r>
              <w:rPr>
                <w:rFonts w:ascii="Courier New" w:eastAsia="Courier New"/>
                <w:color w:val="1F2937"/>
                <w:sz w:val="17"/>
                <w:szCs w:val="17"/>
              </w:rPr>
              <w:t xml:space="preserve">        &lt;MultiValue AttributeID="AT_SBU"&gt;&lt;Value ID="MAA_SP"/&gt;&lt;/MultiValue&gt;</w:t>
            </w:r>
          </w:p>
          <w:p>
            <w:pPr>
              <w:spacing w:after="0" w:line="240"/>
            </w:pPr>
            <w:r>
              <w:rPr>
                <w:rFonts w:ascii="Courier New" w:eastAsia="Courier New"/>
                <w:color w:val="1F2937"/>
                <w:sz w:val="17"/>
                <w:szCs w:val="17"/>
              </w:rPr>
              <w:t xml:space="preserve">        &lt;MultiValue AttributeID="AT_CompanyCode"&gt;&lt;Value ID="0888"/&gt;&lt;/MultiValue&gt;</w:t>
            </w:r>
          </w:p>
          <w:p>
            <w:pPr>
              <w:spacing w:after="0" w:line="240"/>
            </w:pPr>
            <w:r>
              <w:rPr>
                <w:rFonts w:ascii="Courier New" w:eastAsia="Courier New"/>
                <w:color w:val="1F2937"/>
                <w:sz w:val="17"/>
                <w:szCs w:val="17"/>
              </w:rPr>
              <w:t xml:space="preserve">        &lt;Product UserTypeID="PRD_VariantArticle"&gt;</w:t>
            </w:r>
          </w:p>
          <w:p>
            <w:pPr>
              <w:spacing w:after="0" w:line="240"/>
            </w:pPr>
            <w:r>
              <w:rPr>
                <w:rFonts w:ascii="Courier New" w:eastAsia="Courier New"/>
                <w:color w:val="1F2937"/>
                <w:sz w:val="17"/>
                <w:szCs w:val="17"/>
              </w:rPr>
              <w:t xml:space="preserve">          &lt;KeyValue KeyID="KEY_InboundVariant" Value="ELL6RT123MB58139"/&gt;</w:t>
            </w:r>
          </w:p>
          <w:p>
            <w:pPr>
              <w:spacing w:after="0" w:line="240"/>
            </w:pPr>
            <w:r>
              <w:rPr>
                <w:rFonts w:ascii="Courier New" w:eastAsia="Courier New"/>
                <w:color w:val="1F2937"/>
                <w:sz w:val="17"/>
                <w:szCs w:val="17"/>
              </w:rPr>
              <w:t xml:space="preserve">          &lt;Values&gt;</w:t>
            </w:r>
          </w:p>
          <w:p>
            <w:pPr>
              <w:spacing w:after="0" w:line="240"/>
            </w:pPr>
            <w:r>
              <w:rPr>
                <w:rFonts w:ascii="Courier New" w:eastAsia="Courier New"/>
                <w:color w:val="1F2937"/>
                <w:sz w:val="17"/>
                <w:szCs w:val="17"/>
              </w:rPr>
              <w:t xml:space="preserve">            &lt;Value AttributeID="AT_SizeCode" ID="039"&gt;39&lt;/Value&gt;</w:t>
            </w:r>
          </w:p>
          <w:p>
            <w:pPr>
              <w:spacing w:after="0" w:line="240"/>
            </w:pPr>
            <w:r>
              <w:rPr>
                <w:rFonts w:ascii="Courier New" w:eastAsia="Courier New"/>
                <w:color w:val="1F2937"/>
                <w:sz w:val="17"/>
                <w:szCs w:val="17"/>
              </w:rPr>
              <w:t xml:space="preserve">          &lt;/Values&gt;</w:t>
            </w:r>
          </w:p>
          <w:p>
            <w:pPr>
              <w:spacing w:after="0" w:line="240"/>
            </w:pPr>
            <w:r>
              <w:rPr>
                <w:rFonts w:ascii="Courier New" w:eastAsia="Courier New"/>
                <w:color w:val="1F2937"/>
                <w:sz w:val="17"/>
                <w:szCs w:val="17"/>
              </w:rPr>
              <w:t xml:space="preserve">        &lt;/Product&gt;</w:t>
            </w:r>
          </w:p>
          <w:p>
            <w:pPr>
              <w:spacing w:after="0" w:line="240"/>
            </w:pPr>
            <w:r>
              <w:rPr>
                <w:rFonts w:ascii="Courier New" w:eastAsia="Courier New"/>
                <w:color w:val="1F2937"/>
                <w:sz w:val="17"/>
                <w:szCs w:val="17"/>
              </w:rPr>
              <w:t xml:space="preserve">      &lt;/Values&gt;</w:t>
            </w:r>
          </w:p>
          <w:p>
            <w:pPr>
              <w:spacing w:after="0" w:line="240"/>
            </w:pPr>
            <w:r>
              <w:rPr>
                <w:rFonts w:ascii="Courier New" w:eastAsia="Courier New"/>
                <w:color w:val="1F2937"/>
                <w:sz w:val="17"/>
                <w:szCs w:val="17"/>
              </w:rPr>
              <w:t xml:space="preserve">    &lt;/Product&gt;</w:t>
            </w:r>
          </w:p>
          <w:p>
            <w:pPr>
              <w:spacing w:after="0" w:line="240"/>
            </w:pPr>
            <w:r>
              <w:rPr>
                <w:rFonts w:ascii="Courier New" w:eastAsia="Courier New"/>
                <w:color w:val="1F2937"/>
                <w:sz w:val="17"/>
                <w:szCs w:val="17"/>
              </w:rPr>
              <w:t xml:space="preserve">  &lt;/Products&gt;</w:t>
            </w:r>
          </w:p>
          <w:p>
            <w:pPr>
              <w:spacing w:after="0" w:line="240"/>
            </w:pPr>
            <w:r>
              <w:rPr>
                <w:rFonts w:ascii="Courier New" w:eastAsia="Courier New"/>
                <w:color w:val="1F2937"/>
                <w:sz w:val="17"/>
                <w:szCs w:val="17"/>
              </w:rPr>
              <w:t xml:space="preserve">&lt;/STEP-ProductInformation&gt;</w:t>
            </w:r>
          </w:p>
        </w:tc>
      </w:tr>
    </w:tbl>
    <w:p>
      <w:pPr>
        <w:spacing w:after="140" w:line="240"/>
      </w:pPr>
      <w:r>
        <w:rPr>
          <w:sz w:val="2"/>
          <w:szCs w:val="2"/>
        </w:rPr>
        <w:t xml:space="preserve"> </w:t>
      </w:r>
    </w:p>
    <w:p>
      <w:pPr>
        <w:pStyle w:val="Heading2"/>
        <w:spacing w:after="120" w:before="260" w:line="312"/>
      </w:pPr>
      <w:bookmarkStart w:id="100064" w:name="_Toc100064"/>
      <w:r>
        <w:rPr>
          <w:rFonts w:ascii="Times New Roman" w:eastAsia="Times New Roman"/>
          <w:b/>
          <w:bCs/>
          <w:color w:val="16324A"/>
          <w:sz w:val="28"/>
          <w:szCs w:val="28"/>
        </w:rPr>
        <w:t xml:space="preserve">9.4 Attribute Values and Multi-Values</w:t>
      </w:r>
      <w:bookmarkEnd w:id="100064"/>
    </w:p>
    <w:p>
      <w:pPr>
        <w:keepNext w:val="false"/>
        <w:spacing w:after="120" w:line="312"/>
        <w:jc w:val="both"/>
      </w:pPr>
      <w:r>
        <w:rPr>
          <w:rFonts w:ascii="Times New Roman" w:eastAsia="Times New Roman"/>
          <w:b w:val="false"/>
          <w:bCs w:val="false"/>
          <w:i w:val="false"/>
          <w:iCs w:val="false"/>
          <w:color w:val="000000"/>
          <w:sz w:val="24"/>
          <w:szCs w:val="24"/>
        </w:rPr>
        <w:t xml:space="preserve">Simple attributes are written as Value elements with AttributeID and the display text as element content; when the attribute is LOV-validated and the LOV ID was resolved, the ID attribute carries the LOV identifier, which tells STEP to link the value rather than store free text. Organisational attributes AT_SBU and AT_CompanyCode are always written as MultiValue blocks even for single values, reflecting their Stibo multi-valued definition. Brands with barcode requirements (Crocs, implus, PTP) additionally attach DataContainers of type DC_Barcode under the variant, holding AT_Barcode, barcode type P and a MainEANIndicator of Y on the primary EAN. Illegal XML control characters are stripped during serialisation, and empty mandatory attributes are emitted as empty elements (or skipped, per brand) as described in Section 6.6.</w:t>
      </w:r>
    </w:p>
    <w:p>
      <w:pPr>
        <w:pStyle w:val="Heading2"/>
        <w:spacing w:after="120" w:before="260" w:line="312"/>
      </w:pPr>
      <w:bookmarkStart w:id="100065" w:name="_Toc100065"/>
      <w:r>
        <w:rPr>
          <w:rFonts w:ascii="Times New Roman" w:eastAsia="Times New Roman"/>
          <w:b/>
          <w:bCs/>
          <w:color w:val="16324A"/>
          <w:sz w:val="28"/>
          <w:szCs w:val="28"/>
        </w:rPr>
        <w:t xml:space="preserve">9.5 ID Blank-Out Option</w:t>
      </w:r>
      <w:bookmarkEnd w:id="100065"/>
    </w:p>
    <w:p>
      <w:pPr>
        <w:keepNext w:val="false"/>
        <w:spacing w:after="120" w:line="312"/>
        <w:jc w:val="both"/>
      </w:pPr>
      <w:r>
        <w:rPr>
          <w:rFonts w:ascii="Times New Roman" w:eastAsia="Times New Roman"/>
          <w:b w:val="false"/>
          <w:bCs w:val="false"/>
          <w:i w:val="false"/>
          <w:iCs w:val="false"/>
          <w:color w:val="000000"/>
          <w:sz w:val="24"/>
          <w:szCs w:val="24"/>
        </w:rPr>
        <w:t xml:space="preserve">The delivery lambda's blank_ids flag (enabled by default in its direct-invocation examples) applies the regex replacement ID="CLH_[^"]*" to ID="" on Classification tags only, leaving Product tags untouched because products carry no ID by design. The operational meaning: classification nodes are matched by name in STEP rather than asserted by ID, which avoids duplicate-season conflicts when a re-run generates a fresh subtree for a season that already exists. Teams should treat blank_ids as the default posture for season classifications and disable it only for specific remediation cases agreed with the STEP administrator.</w:t>
      </w:r>
    </w:p>
    <w:p>
      <w:pPr>
        <w:pStyle w:val="Heading1"/>
        <w:spacing w:after="160" w:before="360" w:line="312"/>
      </w:pPr>
      <w:bookmarkStart w:id="100066" w:name="_Toc100066"/>
      <w:r>
        <w:rPr>
          <w:rFonts w:ascii="Times New Roman" w:eastAsia="Times New Roman"/>
          <w:b/>
          <w:bCs/>
          <w:color w:val="16324A"/>
          <w:sz w:val="32"/>
          <w:szCs w:val="32"/>
        </w:rPr>
        <w:t xml:space="preserve">10. Stibo STEP Integration Layer</w:t>
      </w:r>
      <w:bookmarkEnd w:id="100066"/>
    </w:p>
    <w:p>
      <w:pPr>
        <w:pStyle w:val="Heading2"/>
        <w:spacing w:after="120" w:before="260" w:line="312"/>
      </w:pPr>
      <w:bookmarkStart w:id="100067" w:name="_Toc100067"/>
      <w:r>
        <w:rPr>
          <w:rFonts w:ascii="Times New Roman" w:eastAsia="Times New Roman"/>
          <w:b/>
          <w:bCs/>
          <w:color w:val="16324A"/>
          <w:sz w:val="28"/>
          <w:szCs w:val="28"/>
        </w:rPr>
        <w:t xml:space="preserve">10.1 Authentication - OIDC Client Credentials</w:t>
      </w:r>
      <w:bookmarkEnd w:id="100067"/>
    </w:p>
    <w:p>
      <w:pPr>
        <w:keepNext w:val="false"/>
        <w:spacing w:after="120" w:line="312"/>
        <w:jc w:val="both"/>
      </w:pPr>
      <w:r>
        <w:rPr>
          <w:rFonts w:ascii="Times New Roman" w:eastAsia="Times New Roman"/>
          <w:b w:val="false"/>
          <w:bCs w:val="false"/>
          <w:i w:val="false"/>
          <w:iCs w:val="false"/>
          <w:color w:val="000000"/>
          <w:sz w:val="24"/>
          <w:szCs w:val="24"/>
        </w:rPr>
        <w:t xml:space="preserve">The delivery lambda authenticates against Stibo's OAuth 2.0 / OpenID Connect token endpoint using the client-credentials grant: POST with grant_type, client_id and client_secret as form fields, receiving an access token whose expiry (expires_in, default assumption 300 seconds if the response omits it) is cached in module scope with a 30-second safety leeway. Secrets are sourced from environment variables; STIBO_CLIENT_SECRET should be provided through AWS Secrets Manager rather than plain environment configuration. The token is sent as a Bearer Authorization header on every upload. This is exactly the mechanism Stibo documents for SaaS STEP (client credentials created via the Stibo Service Portal and mapped to a service-account user), so the integration is forward-compatible with a SaaS migration.</w:t>
      </w:r>
    </w:p>
    <w:p>
      <w:pPr>
        <w:pStyle w:val="Heading2"/>
        <w:spacing w:after="120" w:before="260" w:line="312"/>
      </w:pPr>
      <w:bookmarkStart w:id="100068" w:name="_Toc100068"/>
      <w:r>
        <w:rPr>
          <w:rFonts w:ascii="Times New Roman" w:eastAsia="Times New Roman"/>
          <w:b/>
          <w:bCs/>
          <w:color w:val="16324A"/>
          <w:sz w:val="28"/>
          <w:szCs w:val="28"/>
        </w:rPr>
        <w:t xml:space="preserve">10.2 The IIEP REST Direct Receiver</w:t>
      </w:r>
      <w:bookmarkEnd w:id="100068"/>
    </w:p>
    <w:p>
      <w:pPr>
        <w:keepNext w:val="false"/>
        <w:spacing w:after="120" w:line="312"/>
        <w:jc w:val="both"/>
      </w:pPr>
      <w:r>
        <w:rPr>
          <w:rFonts w:ascii="Times New Roman" w:eastAsia="Times New Roman"/>
          <w:b w:val="false"/>
          <w:bCs w:val="false"/>
          <w:i w:val="false"/>
          <w:iCs w:val="false"/>
          <w:color w:val="000000"/>
          <w:sz w:val="24"/>
          <w:szCs w:val="24"/>
        </w:rPr>
        <w:t xml:space="preserve">Uploads are performed against three Inbound Integration End Points configured with the REST Direct Receiver. The call is POST {endpoint}/upload-direct?fileName={name}&amp;context={context}&amp;workspace={workspace} with the raw XML bytes as the body and Content-Type application/octet-stream. Per Stibo's current documentation (2026.x) the context and workspace parameters are required but without significance for this receiver, and the transactional setting of the endpoint is forced to none - each file is processed as a whole by the STEP importer in a background process (BGP). The endpoint returns a JSON body with an id - the background process identifier (bgId) - which the lambda captures. A disabled endpoint or a full BGP queue rejects the call; the filename must not contain characters forbidden by STEP.</w:t>
      </w:r>
    </w:p>
    <w:p>
      <w:pPr>
        <w:pStyle w:val="Heading2"/>
        <w:spacing w:after="120" w:before="260" w:line="312"/>
      </w:pPr>
      <w:bookmarkStart w:id="100069" w:name="_Toc100069"/>
      <w:r>
        <w:rPr>
          <w:rFonts w:ascii="Times New Roman" w:eastAsia="Times New Roman"/>
          <w:b/>
          <w:bCs/>
          <w:color w:val="16324A"/>
          <w:sz w:val="28"/>
          <w:szCs w:val="28"/>
        </w:rPr>
        <w:t xml:space="preserve">10.3 Endpoint Routing</w:t>
      </w:r>
      <w:bookmarkEnd w:id="100069"/>
    </w:p>
    <w:p>
      <w:pPr>
        <w:keepNext w:val="false"/>
        <w:spacing w:after="120" w:line="312"/>
        <w:jc w:val="both"/>
      </w:pPr>
      <w:r>
        <w:rPr>
          <w:rFonts w:ascii="Times New Roman" w:eastAsia="Times New Roman"/>
          <w:b w:val="false"/>
          <w:bCs w:val="false"/>
          <w:i w:val="false"/>
          <w:iCs w:val="false"/>
          <w:color w:val="000000"/>
          <w:sz w:val="24"/>
          <w:szCs w:val="24"/>
        </w:rPr>
        <w:t xml:space="preserve">Routing from file name to endpoint is the ordered regex table already reproduced in Table 4-2; the delivery lambda compiles it once per container and evaluates first-match-wins. An explicit endpoint_type override in the invocation payload bypasses filename matching - useful for manual re-sends. If no rule matches, the file is rejected with a 400 response and never silently dropped: the failure is visible in CloudWatch and (since the XML remains in processed/stepxml/) re-drivable by direct invocation.</w:t>
      </w:r>
    </w:p>
    <w:p>
      <w:pPr>
        <w:pStyle w:val="Heading2"/>
        <w:spacing w:after="120" w:before="260" w:line="312"/>
      </w:pPr>
      <w:bookmarkStart w:id="100070" w:name="_Toc100070"/>
      <w:r>
        <w:rPr>
          <w:rFonts w:ascii="Times New Roman" w:eastAsia="Times New Roman"/>
          <w:b/>
          <w:bCs/>
          <w:color w:val="16324A"/>
          <w:sz w:val="28"/>
          <w:szCs w:val="28"/>
        </w:rPr>
        <w:t xml:space="preserve">10.4 Retry and Error Policy</w:t>
      </w:r>
      <w:bookmarkEnd w:id="100070"/>
    </w:p>
    <w:p>
      <w:pPr>
        <w:keepNext/>
        <w:spacing w:after="80" w:before="160" w:line="312"/>
        <w:jc w:val="left"/>
      </w:pPr>
      <w:r>
        <w:rPr>
          <w:rFonts w:ascii="Times New Roman" w:eastAsia="Times New Roman"/>
          <w:b/>
          <w:bCs/>
          <w:color w:val="16324A"/>
          <w:sz w:val="21"/>
          <w:szCs w:val="21"/>
        </w:rPr>
        <w:t xml:space="preserve">Table 10-1 - Delivery error handling matrix</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Condition</w:t>
            </w:r>
          </w:p>
        </w:tc>
        <w:tc>
          <w:tcPr>
            <w:tcW w:type="pct" w:w="66%"/>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Behaviour</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HTTP 2xx from upload-direct</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Success: bgId parsed from JSON body; receipt written to processed/stepxml/bgid/{brand}/{file}.json</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HTTP 4xx except 429</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No retry: client errors (auth, disabled endpoint, bad name) are deterministic; lambda returns 502 after first failure</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HTTP 429 / 5xx / network errors</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Retried up to STIBO_MAX_RETRIES (default 3) with exponential backoff (2s, 4s, 8s - STIBO_RETRY_BACKOFF base)</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Token fetch failure</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Raises immediately; no upload attempt; visible as OIDC error in CloudWatch</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No routing rule matched</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Immediate 400; nothing uploaded</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STIBO_DRY_RUN enabled</w:t>
            </w:r>
          </w:p>
        </w:tc>
        <w:tc>
          <w:tcPr>
            <w:tcW w:type="pct" w:w="66%"/>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Token is fetched (validating auth) but no POST is made; intended for connectivity tests</w:t>
            </w:r>
          </w:p>
        </w:tc>
      </w:tr>
    </w:tbl>
    <w:p>
      <w:pPr>
        <w:spacing w:after="140" w:line="240"/>
      </w:pPr>
      <w:r>
        <w:rPr>
          <w:sz w:val="2"/>
          <w:szCs w:val="2"/>
        </w:rPr>
        <w:t xml:space="preserve"> </w:t>
      </w:r>
    </w:p>
    <w:p>
      <w:pPr>
        <w:pStyle w:val="Heading2"/>
        <w:spacing w:after="120" w:before="260" w:line="312"/>
      </w:pPr>
      <w:bookmarkStart w:id="100071" w:name="_Toc100071"/>
      <w:r>
        <w:rPr>
          <w:rFonts w:ascii="Times New Roman" w:eastAsia="Times New Roman"/>
          <w:b/>
          <w:bCs/>
          <w:color w:val="16324A"/>
          <w:sz w:val="28"/>
          <w:szCs w:val="28"/>
        </w:rPr>
        <w:t xml:space="preserve">10.5 Delivery Receipts (bgId)</w:t>
      </w:r>
      <w:bookmarkEnd w:id="100071"/>
    </w:p>
    <w:p>
      <w:pPr>
        <w:keepNext w:val="false"/>
        <w:spacing w:after="120" w:line="312"/>
        <w:jc w:val="both"/>
      </w:pPr>
      <w:r>
        <w:rPr>
          <w:rFonts w:ascii="Times New Roman" w:eastAsia="Times New Roman"/>
          <w:b w:val="false"/>
          <w:bCs w:val="false"/>
          <w:i w:val="false"/>
          <w:iCs w:val="false"/>
          <w:color w:val="000000"/>
          <w:sz w:val="24"/>
          <w:szCs w:val="24"/>
        </w:rPr>
        <w:t xml:space="preserve">Every successful upload writes a receipt JSON next to the XML receipts tree: { filename, s3_key, bg_id, endpoint, uploaded_at }. The receipts are the join key between the AWS pipeline and STEP's own background-process monitoring, and they are the natural anchor for the feedback loop recommended in Chapter 16 (poll the endpoint's background-process list for the bgId, read the execution report, and surface per-row errors back to the portal). Until that loop exists, receipts are the fastest way for IT to answer the question: did file X reach STEP, and under which background process?</w:t>
      </w:r>
    </w:p>
    <w:p>
      <w:pPr>
        <w:pStyle w:val="Heading2"/>
        <w:spacing w:after="120" w:before="260" w:line="312"/>
      </w:pPr>
      <w:bookmarkStart w:id="100072" w:name="_Toc100072"/>
      <w:r>
        <w:rPr>
          <w:rFonts w:ascii="Times New Roman" w:eastAsia="Times New Roman"/>
          <w:b/>
          <w:bCs/>
          <w:color w:val="16324A"/>
          <w:sz w:val="28"/>
          <w:szCs w:val="28"/>
        </w:rPr>
        <w:t xml:space="preserve">10.6 STEP-Side Monitoring and Feedback Surface</w:t>
      </w:r>
      <w:bookmarkEnd w:id="100072"/>
    </w:p>
    <w:p>
      <w:pPr>
        <w:keepNext w:val="false"/>
        <w:spacing w:after="120" w:line="312"/>
        <w:jc w:val="both"/>
      </w:pPr>
      <w:r>
        <w:rPr>
          <w:rFonts w:ascii="Times New Roman" w:eastAsia="Times New Roman"/>
          <w:b w:val="false"/>
          <w:bCs w:val="false"/>
          <w:i w:val="false"/>
          <w:iCs w:val="false"/>
          <w:color w:val="000000"/>
          <w:sz w:val="24"/>
          <w:szCs w:val="24"/>
        </w:rPr>
        <w:t xml:space="preserve">Stibo provides a monitoring surface that the pipeline does not yet consume but should (Section 16.4). Monitoring sensors are auto-created per IIEP and expose traffic-light status plus Nagios-format and XML detail without authentication. The authenticated REST surface offers GET /restapi/integrationendpoints (overview), /{id} (statistics), /{id}/log (execution reports), /{id}/errorexcerpts and /{id}/backgroundprocesses (the BGP list where bgIds resolve to outcomes). Since release 2026.1, original input files are attached to import BGPs and retrievable via the attachments endpoints, and event-based OIEPs or Kafka delivery can push completion or rejection notifications out of STEP - the building blocks for closing the loop described above. The current pipeline's gap is simply that nothing reads these surfaces automatically yet.</w:t>
      </w:r>
    </w:p>
    <w:p>
      <w:pPr>
        <w:pStyle w:val="Heading1"/>
        <w:spacing w:after="160" w:before="360" w:line="312"/>
      </w:pPr>
      <w:bookmarkStart w:id="100073" w:name="_Toc100073"/>
      <w:r>
        <w:rPr>
          <w:rFonts w:ascii="Times New Roman" w:eastAsia="Times New Roman"/>
          <w:b/>
          <w:bCs/>
          <w:color w:val="16324A"/>
          <w:sz w:val="32"/>
          <w:szCs w:val="32"/>
        </w:rPr>
        <w:t xml:space="preserve">11. End-to-End Flow Walkthroughs</w:t>
      </w:r>
      <w:bookmarkEnd w:id="100073"/>
    </w:p>
    <w:p>
      <w:pPr>
        <w:pStyle w:val="Heading2"/>
        <w:spacing w:after="120" w:before="260" w:line="312"/>
      </w:pPr>
      <w:bookmarkStart w:id="100074" w:name="_Toc100074"/>
      <w:r>
        <w:rPr>
          <w:rFonts w:ascii="Times New Roman" w:eastAsia="Times New Roman"/>
          <w:b/>
          <w:bCs/>
          <w:color w:val="16324A"/>
          <w:sz w:val="28"/>
          <w:szCs w:val="28"/>
        </w:rPr>
        <w:t xml:space="preserve">11.1 Walkthrough A - Brand-Specific Upload (Ellesse Recap, SP2027)</w:t>
      </w:r>
      <w:bookmarkEnd w:id="100074"/>
    </w:p>
    <w:p>
      <w:pPr>
        <w:keepNext w:val="false"/>
        <w:spacing w:after="120" w:line="312"/>
        <w:jc w:val="both"/>
      </w:pPr>
      <w:r>
        <w:rPr>
          <w:rFonts w:ascii="Times New Roman" w:eastAsia="Times New Roman"/>
          <w:b w:val="false"/>
          <w:bCs w:val="false"/>
          <w:i w:val="false"/>
          <w:iCs w:val="false"/>
          <w:color w:val="000000"/>
          <w:sz w:val="24"/>
          <w:szCs w:val="24"/>
        </w:rPr>
        <w:t xml:space="preserve">This is the canonical happy path, traced step by step from the portal click to the STEP background process. The worked file is the supplied sample 0888-SP-ELLESSE-Recap Sample MAA Sport Licensed-Multi-SP2027-ID-1.xlsx; Figure 11-1 shows the same flow graphically.</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 Upload. </w:t>
      </w:r>
      <w:r>
        <w:rPr>
          <w:rFonts w:ascii="Times New Roman" w:eastAsia="Times New Roman"/>
          <w:b w:val="false"/>
          <w:bCs w:val="false"/>
          <w:i w:val="false"/>
          <w:iCs w:val="false"/>
          <w:color w:val="000000"/>
          <w:sz w:val="24"/>
          <w:szCs w:val="24"/>
        </w:rPr>
        <w:t xml:space="preserve">The user selects Company Code 0888, Season Spring - SP, Brand ELLESSE, File Type Recap Sample, SBU MAA Sport (SP), License, Multi, Country Indonesia - ID in the MAP Portal and drops the Excel file. The portal writes it to raw/metadata/ellesse/ under the standardised name.</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2. Trigger. </w:t>
      </w:r>
      <w:r>
        <w:rPr>
          <w:rFonts w:ascii="Times New Roman" w:eastAsia="Times New Roman"/>
          <w:b w:val="false"/>
          <w:bCs w:val="false"/>
          <w:i w:val="false"/>
          <w:iCs w:val="false"/>
          <w:color w:val="000000"/>
          <w:sz w:val="24"/>
          <w:szCs w:val="24"/>
        </w:rPr>
        <w:t xml:space="preserve">S3 emits ObjectCreated; EventBridge invokes router.lambda_handler with bucket and key.</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3. Routing. </w:t>
      </w:r>
      <w:r>
        <w:rPr>
          <w:rFonts w:ascii="Times New Roman" w:eastAsia="Times New Roman"/>
          <w:b w:val="false"/>
          <w:bCs w:val="false"/>
          <w:i w:val="false"/>
          <w:iCs w:val="false"/>
          <w:color w:val="000000"/>
          <w:sz w:val="24"/>
          <w:szCs w:val="24"/>
        </w:rPr>
        <w:t xml:space="preserve">The router extracts principal ellesse from path segment 2, finds the handler in BRAND_ROUTER, and creates an AuditLogger with trigger_type brand_specific.</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4. Classification. </w:t>
      </w:r>
      <w:r>
        <w:rPr>
          <w:rFonts w:ascii="Times New Roman" w:eastAsia="Times New Roman"/>
          <w:b w:val="false"/>
          <w:bCs w:val="false"/>
          <w:i w:val="false"/>
          <w:iCs w:val="false"/>
          <w:color w:val="000000"/>
          <w:sz w:val="24"/>
          <w:szCs w:val="24"/>
        </w:rPr>
        <w:t xml:space="preserve">The handler matches Recap Sample against its keyword dictionary and selects type recap, mapped by ETL_DISPATCHER to recap_main.</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5. Required-file check. </w:t>
      </w:r>
      <w:r>
        <w:rPr>
          <w:rFonts w:ascii="Times New Roman" w:eastAsia="Times New Roman"/>
          <w:b w:val="false"/>
          <w:bCs w:val="false"/>
          <w:i w:val="false"/>
          <w:iCs w:val="false"/>
          <w:color w:val="000000"/>
          <w:sz w:val="24"/>
          <w:szCs w:val="24"/>
        </w:rPr>
        <w:t xml:space="preserve">REQUIRED_TYPES = {recap, mdd, attributes}. The handler lists the brand prefix and the raw/metadata root, picks the latest sequence per type, and verifies the set. If incomplete it returns waiting_for_mandatory_files and the flow ends here (audit-only).</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6. Preparation. </w:t>
      </w:r>
      <w:r>
        <w:rPr>
          <w:rFonts w:ascii="Times New Roman" w:eastAsia="Times New Roman"/>
          <w:b w:val="false"/>
          <w:bCs w:val="false"/>
          <w:i w:val="false"/>
          <w:iCs w:val="false"/>
          <w:color w:val="000000"/>
          <w:sz w:val="24"/>
          <w:szCs w:val="24"/>
        </w:rPr>
        <w:t xml:space="preserve">Files download into /tmp/stibo_workdir_ellesse/input/{type}; xlsb/csv inputs are converted to xlsx.</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7. Context defaults. </w:t>
      </w:r>
      <w:r>
        <w:rPr>
          <w:rFonts w:ascii="Times New Roman" w:eastAsia="Times New Roman"/>
          <w:b w:val="false"/>
          <w:bCs w:val="false"/>
          <w:i w:val="false"/>
          <w:iCs w:val="false"/>
          <w:color w:val="000000"/>
          <w:sz w:val="24"/>
          <w:szCs w:val="24"/>
        </w:rPr>
        <w:t xml:space="preserve">From the file name the ETL derives company code 0888, SBU SP, brand code ELL, season SP2027, country ID.</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8. Reference load. </w:t>
      </w:r>
      <w:r>
        <w:rPr>
          <w:rFonts w:ascii="Times New Roman" w:eastAsia="Times New Roman"/>
          <w:b w:val="false"/>
          <w:bCs w:val="false"/>
          <w:i w:val="false"/>
          <w:iCs w:val="false"/>
          <w:color w:val="000000"/>
          <w:sz w:val="24"/>
          <w:szCs w:val="24"/>
        </w:rPr>
        <w:t xml:space="preserve">MDDLoader reads Core Attributes + LOV sheets; AttributesListLoader reads the Ellesse tab; the MD-mapping loader reads the gender/age translations; RNALoader joins the RNA sheet with a four-pass fuzzy strategy.</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9. Transform pass 1. </w:t>
      </w:r>
      <w:r>
        <w:rPr>
          <w:rFonts w:ascii="Times New Roman" w:eastAsia="Times New Roman"/>
          <w:b w:val="false"/>
          <w:bCs w:val="false"/>
          <w:i w:val="false"/>
          <w:iCs w:val="false"/>
          <w:color w:val="000000"/>
          <w:sz w:val="24"/>
          <w:szCs w:val="24"/>
        </w:rPr>
        <w:t xml:space="preserve">Each article row is mapped on a worker thread (max 8): source columns are read, substrings and concatenations applied, gender/age resolved raw to display to LOV ID, defaults applied, mandatory and LOV-membership validation evaluated.</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10. Transform pass 2. </w:t>
      </w:r>
      <w:r>
        <w:rPr>
          <w:rFonts w:ascii="Times New Roman" w:eastAsia="Times New Roman"/>
          <w:b w:val="false"/>
          <w:bCs w:val="false"/>
          <w:i w:val="false"/>
          <w:iCs w:val="false"/>
          <w:color w:val="000000"/>
          <w:sz w:val="24"/>
          <w:szCs w:val="24"/>
        </w:rPr>
        <w:t xml:space="preserve">The classification subtree (CLH_ELLBatches, CLH_ELL_SP2027 with UA leaf) and the Product/Variant XML are streamed to output/xml with a 1 MB buffer.</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11. XML upload. </w:t>
      </w:r>
      <w:r>
        <w:rPr>
          <w:rFonts w:ascii="Times New Roman" w:eastAsia="Times New Roman"/>
          <w:b w:val="false"/>
          <w:bCs w:val="false"/>
          <w:i w:val="false"/>
          <w:iCs w:val="false"/>
          <w:color w:val="000000"/>
          <w:sz w:val="24"/>
          <w:szCs w:val="24"/>
        </w:rPr>
        <w:t xml:space="preserve">The XML lands at processed/stepxml/ellesse/0888-SP-ELLESSE-Recap Sample MAA Sport Licensed-Multi-SP2027-ID-1.xml; the audit records the uploaded keys.</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12. Delivery trigger. </w:t>
      </w:r>
      <w:r>
        <w:rPr>
          <w:rFonts w:ascii="Times New Roman" w:eastAsia="Times New Roman"/>
          <w:b w:val="false"/>
          <w:bCs w:val="false"/>
          <w:i w:val="false"/>
          <w:iCs w:val="false"/>
          <w:color w:val="000000"/>
          <w:sz w:val="24"/>
          <w:szCs w:val="24"/>
        </w:rPr>
        <w:t xml:space="preserve">The processed-bucket notification invokes the delivery lambda, which matches recap\s*sample and resolves endpoint IIEP_ArticlePlanning.</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13. Upload to STEP. </w:t>
      </w:r>
      <w:r>
        <w:rPr>
          <w:rFonts w:ascii="Times New Roman" w:eastAsia="Times New Roman"/>
          <w:b w:val="false"/>
          <w:bCs w:val="false"/>
          <w:i w:val="false"/>
          <w:iCs w:val="false"/>
          <w:color w:val="000000"/>
          <w:sz w:val="24"/>
          <w:szCs w:val="24"/>
        </w:rPr>
        <w:t xml:space="preserve">OIDC token fetched (or reused), POST upload-direct?fileName=...&amp;context=Context1&amp;workspace=Main with the XML bytes; 2xx returns the bgId; the receipt JSON is written; non-retryable 4xx abort immediately, 5xx/429 retry up to three times with backoff.</w:t>
      </w:r>
    </w:p>
    <w:p>
      <w:pPr>
        <w:pStyle w:val="ListParagraph"/>
        <w:numPr>
          <w:ilvl w:val="0"/>
          <w:numId w:val="1"/>
        </w:numPr>
        <w:spacing w:after="60" w:line="312"/>
        <w:jc w:val="left"/>
      </w:pPr>
      <w:r>
        <w:rPr>
          <w:rFonts w:ascii="Times New Roman" w:eastAsia="Times New Roman"/>
          <w:b/>
          <w:bCs/>
          <w:i w:val="false"/>
          <w:iCs w:val="false"/>
          <w:color w:val="000000"/>
          <w:sz w:val="24"/>
          <w:szCs w:val="24"/>
        </w:rPr>
        <w:t xml:space="preserve">14. Audit flush. </w:t>
      </w:r>
      <w:r>
        <w:rPr>
          <w:rFonts w:ascii="Times New Roman" w:eastAsia="Times New Roman"/>
          <w:b w:val="false"/>
          <w:bCs w:val="false"/>
          <w:i w:val="false"/>
          <w:iCs w:val="false"/>
          <w:color w:val="000000"/>
          <w:sz w:val="24"/>
          <w:szCs w:val="24"/>
        </w:rPr>
        <w:t xml:space="preserve">Back in the router's finally block, the audit JSON is written to raw/logs/ellesse/{timestamp}.json. STEP processes the file in its BGP queue; today the outcome is visible only in STEP monitoring (Section 10.6).</w:t>
      </w:r>
    </w:p>
    <w:p>
      <w:pPr>
        <w:keepNext/>
        <w:spacing w:after="60" w:before="160"/>
        <w:jc w:val="center"/>
      </w:pPr>
      <w:r>
        <w:drawing>
          <wp:inline distT="0" distB="0" distL="0" distR="0">
            <wp:extent cx="49530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267450"/>
                    </a:xfrm>
                    <a:prstGeom prst="rect">
                      <a:avLst/>
                    </a:prstGeom>
                  </pic:spPr>
                </pic:pic>
              </a:graphicData>
            </a:graphic>
          </wp:inline>
        </w:drawing>
      </w:r>
    </w:p>
    <w:p>
      <w:pPr>
        <w:spacing w:after="200" w:line="276"/>
        <w:jc w:val="center"/>
      </w:pPr>
      <w:r>
        <w:rPr>
          <w:rFonts w:ascii="Times New Roman" w:eastAsia="Times New Roman"/>
          <w:i/>
          <w:iCs/>
          <w:color w:val="5B6B7D"/>
          <w:sz w:val="20"/>
          <w:szCs w:val="20"/>
        </w:rPr>
        <w:t xml:space="preserve">Figure 11-1 - End-to-end walkthrough of a brand-specific upload (six phases, 16 steps)</w:t>
      </w:r>
    </w:p>
    <w:p>
      <w:pPr>
        <w:pStyle w:val="Heading2"/>
        <w:spacing w:after="120" w:before="260" w:line="312"/>
      </w:pPr>
      <w:bookmarkStart w:id="100075" w:name="_Toc100075"/>
      <w:r>
        <w:rPr>
          <w:rFonts w:ascii="Times New Roman" w:eastAsia="Times New Roman"/>
          <w:b/>
          <w:bCs/>
          <w:color w:val="16324A"/>
          <w:sz w:val="28"/>
          <w:szCs w:val="28"/>
        </w:rPr>
        <w:t xml:space="preserve">11.2 Walkthrough B - Global File Fan-Out</w:t>
      </w:r>
      <w:bookmarkEnd w:id="100075"/>
    </w:p>
    <w:p>
      <w:pPr>
        <w:keepNext w:val="false"/>
        <w:spacing w:after="120" w:line="312"/>
        <w:jc w:val="both"/>
      </w:pPr>
      <w:r>
        <w:rPr>
          <w:rFonts w:ascii="Times New Roman" w:eastAsia="Times New Roman"/>
          <w:b w:val="false"/>
          <w:bCs w:val="false"/>
          <w:i w:val="false"/>
          <w:iCs w:val="false"/>
          <w:color w:val="000000"/>
          <w:sz w:val="24"/>
          <w:szCs w:val="24"/>
        </w:rPr>
        <w:t xml:space="preserve">When the COE team uploads a new Master Data Dictionary to raw/metadata/ (no brand folder), the router's global-file branch fires. It iterates all 27 BRAND_ROUTER entries; for each brand it creates a fresh auditor, builds the synthetic event key raw/metadata/{brand}/.__global_trigger__ (a name that matches no keyword, so the handler classifies nothing and simply refreshes), and invokes the handler. Each brand re-lists its inputs, re-runs its ETL against the new dictionary, and rewrites its XML - which in turn re-delivers everything to STEP. Failures are isolated per brand and reported in the composite response. The design guarantees that every brand's next output is consistent with the newest reference data, at the cost of a full pipeline wave per global upload: today this is acceptable, but the sequential loop inside a single invocation is the first thing that will hit the 15-minute ceiling as brand count grows (KI-02).</w:t>
      </w:r>
    </w:p>
    <w:p>
      <w:pPr>
        <w:pStyle w:val="Heading2"/>
        <w:spacing w:after="120" w:before="260" w:line="312"/>
      </w:pPr>
      <w:bookmarkStart w:id="100076" w:name="_Toc100076"/>
      <w:r>
        <w:rPr>
          <w:rFonts w:ascii="Times New Roman" w:eastAsia="Times New Roman"/>
          <w:b/>
          <w:bCs/>
          <w:color w:val="16324A"/>
          <w:sz w:val="28"/>
          <w:szCs w:val="28"/>
        </w:rPr>
        <w:t xml:space="preserve">11.3 Walkthrough C - Incomplete Upload and Resume</w:t>
      </w:r>
      <w:bookmarkEnd w:id="100076"/>
    </w:p>
    <w:p>
      <w:pPr>
        <w:keepNext w:val="false"/>
        <w:spacing w:after="120" w:line="312"/>
        <w:jc w:val="both"/>
      </w:pPr>
      <w:r>
        <w:rPr>
          <w:rFonts w:ascii="Times New Roman" w:eastAsia="Times New Roman"/>
          <w:b w:val="false"/>
          <w:bCs w:val="false"/>
          <w:i w:val="false"/>
          <w:iCs w:val="false"/>
          <w:color w:val="000000"/>
          <w:sz w:val="24"/>
          <w:szCs w:val="24"/>
        </w:rPr>
        <w:t xml:space="preserve">Assume the Ellesse recap arrives while the brand's attributes list is missing. Step 5 above finds the gap and the invocation ends with waiting_for_mandatory_files - deliberately HTTP 200 so EventBridge does not retry. Hours later the COE team uploads the attributes list; that upload's own event re-invokes the same handler, which now finds recap + mdd + attributes and proceeds with the full flow. The model trades immediacy for robustness: no orchestrator is needed, but the delay between partial and complete states is invisible to users. Operationally this means a missing-file condition is only discoverable through the audit logs or through the symptom that no XML appeared - hence the daily check in the runbook (Section 15.1).</w:t>
      </w:r>
    </w:p>
    <w:p>
      <w:pPr>
        <w:pStyle w:val="Heading2"/>
        <w:spacing w:after="120" w:before="260" w:line="312"/>
      </w:pPr>
      <w:bookmarkStart w:id="100077" w:name="_Toc100077"/>
      <w:r>
        <w:rPr>
          <w:rFonts w:ascii="Times New Roman" w:eastAsia="Times New Roman"/>
          <w:b/>
          <w:bCs/>
          <w:color w:val="16324A"/>
          <w:sz w:val="28"/>
          <w:szCs w:val="28"/>
        </w:rPr>
        <w:t xml:space="preserve">11.4 Walkthrough D - Delivery Lambda Mechanics</w:t>
      </w:r>
      <w:bookmarkEnd w:id="100077"/>
    </w:p>
    <w:p>
      <w:pPr>
        <w:keepNext w:val="false"/>
        <w:spacing w:after="120" w:line="312"/>
        <w:jc w:val="both"/>
      </w:pPr>
      <w:r>
        <w:rPr>
          <w:rFonts w:ascii="Times New Roman" w:eastAsia="Times New Roman"/>
          <w:b w:val="false"/>
          <w:bCs w:val="false"/>
          <w:i w:val="false"/>
          <w:iCs w:val="false"/>
          <w:color w:val="000000"/>
          <w:sz w:val="24"/>
          <w:szCs w:val="24"/>
        </w:rPr>
        <w:t xml:space="preserve">The delivery invocation starts from the XML object event. Parsing validates the processed/stepxml/{principal}/ prefix; filename routing resolves the endpoint (or honours an explicit endpoint_type override in direct invocations); configuration is loaded from environment with hard failures for missing STIBO_* variables; the XML is read into memory; the blank_ids transformation optionally blanks CLH_ classification IDs; structural counters (xmlns, ns0:, Value counts) are logged; and the upload proceeds per the retry matrix of Table 10-1. Success writes the bgId receipt; exhaustion returns 502 with the file still in place in S3, so recovery is a direct re-invocation rather than a re-run of the whole ETL.</w:t>
      </w:r>
    </w:p>
    <w:p>
      <w:pPr>
        <w:pStyle w:val="Heading1"/>
        <w:spacing w:after="160" w:before="360" w:line="312"/>
      </w:pPr>
      <w:bookmarkStart w:id="100078" w:name="_Toc100078"/>
      <w:r>
        <w:rPr>
          <w:rFonts w:ascii="Times New Roman" w:eastAsia="Times New Roman"/>
          <w:b/>
          <w:bCs/>
          <w:color w:val="16324A"/>
          <w:sz w:val="32"/>
          <w:szCs w:val="32"/>
        </w:rPr>
        <w:t xml:space="preserve">12. Observability, Logging and Traceability</w:t>
      </w:r>
      <w:bookmarkEnd w:id="100078"/>
    </w:p>
    <w:p>
      <w:pPr>
        <w:pStyle w:val="Heading2"/>
        <w:spacing w:after="120" w:before="260" w:line="312"/>
      </w:pPr>
      <w:bookmarkStart w:id="100079" w:name="_Toc100079"/>
      <w:r>
        <w:rPr>
          <w:rFonts w:ascii="Times New Roman" w:eastAsia="Times New Roman"/>
          <w:b/>
          <w:bCs/>
          <w:color w:val="16324A"/>
          <w:sz w:val="28"/>
          <w:szCs w:val="28"/>
        </w:rPr>
        <w:t xml:space="preserve">12.1 The Audit Document</w:t>
      </w:r>
      <w:bookmarkEnd w:id="100079"/>
    </w:p>
    <w:p>
      <w:pPr>
        <w:keepNext w:val="false"/>
        <w:spacing w:after="120" w:line="312"/>
        <w:jc w:val="both"/>
      </w:pPr>
      <w:r>
        <w:rPr>
          <w:rFonts w:ascii="Times New Roman" w:eastAsia="Times New Roman"/>
          <w:b w:val="false"/>
          <w:bCs w:val="false"/>
          <w:i w:val="false"/>
          <w:iCs w:val="false"/>
          <w:color w:val="000000"/>
          <w:sz w:val="24"/>
          <w:szCs w:val="24"/>
        </w:rPr>
        <w:t xml:space="preserve">Every invocation of the transform lambda produces one structured JSON document, flushed by the router (never by the brand handlers) to raw/logs/{brand}/{YYYYMMDD_HHMMSS}.json. The schema has five sections plus runtime metadata: router (trigger type, original key, detected brand, routing decision), lambda_function (file classification, missing required types, per-file download outcomes, conversions, parsed metadata, diffs, uploaded XML keys, status and error), etl (loader statuses, article and variant counts, warning counts, XML file name and size, status and error), articles (per-article status written/skipped/failed with warnings) and validation_warnings (full warning strings). The document closes with request id, start and end timestamps, duration and the raw input event.</w:t>
      </w:r>
    </w:p>
    <w:tbl>
      <w:tblPr>
        <w:tblW w:type="pct" w:w="100%"/>
        <w:tblBorders>
          <w:top w:val="single" w:color="CBD5E1" w:sz="1"/>
          <w:left w:val="single" w:color="1B6B7A" w:sz="6"/>
          <w:bottom w:val="single" w:color="CBD5E1" w:sz="1"/>
          <w:right w:val="single" w:color="CBD5E1" w:sz="1"/>
          <w:insideH w:val="none"/>
          <w:insideV w:val="none"/>
        </w:tblBorders>
      </w:tblPr>
      <w:tblGrid>
        <w:gridCol w:w="100"/>
      </w:tblGrid>
      <w:tr>
        <w:trPr>
          <w:cantSplit w:val="false"/>
        </w:trPr>
        <w:tc>
          <w:tcPr>
            <w:tcW w:type="pct" w:w="100%"/>
            <w:shd w:fill="F8FAFC" w:val="clear"/>
            <w:tcMar>
              <w:top w:type="dxa" w:w="100"/>
              <w:left w:type="dxa" w:w="160"/>
              <w:bottom w:type="dxa" w:w="100"/>
              <w:right w:type="dxa" w:w="160"/>
            </w:tcMar>
          </w:tcPr>
          <w:p>
            <w:pPr>
              <w:spacing w:after="60" w:line="240"/>
            </w:pPr>
            <w:r>
              <w:rPr>
                <w:rFonts w:ascii="Courier New" w:eastAsia="Courier New"/>
                <w:b/>
                <w:bCs/>
                <w:color w:val="5B6B7D"/>
                <w:sz w:val="16"/>
                <w:szCs w:val="16"/>
              </w:rPr>
              <w:t xml:space="preserve">Audit document structure (illustrative; field set per audit_logger.py v1.0)</w:t>
            </w:r>
          </w:p>
          <w:p>
            <w:pPr>
              <w:spacing w:after="0" w:line="240"/>
            </w:pPr>
            <w:r>
              <w:rPr>
                <w:rFonts w:ascii="Courier New" w:eastAsia="Courier New"/>
                <w:color w:val="1F2937"/>
                <w:sz w:val="17"/>
                <w:szCs w:val="17"/>
              </w:rPr>
              <w:t xml:space="preserve">{</w:t>
            </w:r>
          </w:p>
          <w:p>
            <w:pPr>
              <w:spacing w:after="0" w:line="240"/>
            </w:pPr>
            <w:r>
              <w:rPr>
                <w:rFonts w:ascii="Courier New" w:eastAsia="Courier New"/>
                <w:color w:val="1F2937"/>
                <w:sz w:val="17"/>
                <w:szCs w:val="17"/>
              </w:rPr>
              <w:t xml:space="preserve">  "schema": "1.0",</w:t>
            </w:r>
          </w:p>
          <w:p>
            <w:pPr>
              <w:spacing w:after="0" w:line="240"/>
            </w:pPr>
            <w:r>
              <w:rPr>
                <w:rFonts w:ascii="Courier New" w:eastAsia="Courier New"/>
                <w:color w:val="1F2937"/>
                <w:sz w:val="17"/>
                <w:szCs w:val="17"/>
              </w:rPr>
              <w:t xml:space="preserve">  "router": {</w:t>
            </w:r>
          </w:p>
          <w:p>
            <w:pPr>
              <w:spacing w:after="0" w:line="240"/>
            </w:pPr>
            <w:r>
              <w:rPr>
                <w:rFonts w:ascii="Courier New" w:eastAsia="Courier New"/>
                <w:color w:val="1F2937"/>
                <w:sz w:val="17"/>
                <w:szCs w:val="17"/>
              </w:rPr>
              <w:t xml:space="preserve">    "trigger_type": "brand_specific",</w:t>
            </w:r>
          </w:p>
          <w:p>
            <w:pPr>
              <w:spacing w:after="0" w:line="240"/>
            </w:pPr>
            <w:r>
              <w:rPr>
                <w:rFonts w:ascii="Courier New" w:eastAsia="Courier New"/>
                <w:color w:val="1F2937"/>
                <w:sz w:val="17"/>
                <w:szCs w:val="17"/>
              </w:rPr>
              <w:t xml:space="preserve">    "original_key": "raw/metadata/ellesse/0888-SP-ELLESSE-...-ID-1.xlsx",</w:t>
            </w:r>
          </w:p>
          <w:p>
            <w:pPr>
              <w:spacing w:after="0" w:line="240"/>
            </w:pPr>
            <w:r>
              <w:rPr>
                <w:rFonts w:ascii="Courier New" w:eastAsia="Courier New"/>
                <w:color w:val="1F2937"/>
                <w:sz w:val="17"/>
                <w:szCs w:val="17"/>
              </w:rPr>
              <w:t xml:space="preserve">    "detected_brand": "ellesse",</w:t>
            </w:r>
          </w:p>
          <w:p>
            <w:pPr>
              <w:spacing w:after="0" w:line="240"/>
            </w:pPr>
            <w:r>
              <w:rPr>
                <w:rFonts w:ascii="Courier New" w:eastAsia="Courier New"/>
                <w:color w:val="1F2937"/>
                <w:sz w:val="17"/>
                <w:szCs w:val="17"/>
              </w:rPr>
              <w:t xml:space="preserve">    "routing_decision": "brand-specific file upload; routing to 'ellesse' handler"</w:t>
            </w:r>
          </w:p>
          <w:p>
            <w:pPr>
              <w:spacing w:after="0" w:line="240"/>
            </w:pPr>
            <w:r>
              <w:rPr>
                <w:rFonts w:ascii="Courier New" w:eastAsia="Courier New"/>
                <w:color w:val="1F2937"/>
                <w:sz w:val="17"/>
                <w:szCs w:val="17"/>
              </w:rPr>
              <w:t xml:space="preserve">  },</w:t>
            </w:r>
          </w:p>
          <w:p>
            <w:pPr>
              <w:spacing w:after="0" w:line="240"/>
            </w:pPr>
            <w:r>
              <w:rPr>
                <w:rFonts w:ascii="Courier New" w:eastAsia="Courier New"/>
                <w:color w:val="1F2937"/>
                <w:sz w:val="17"/>
                <w:szCs w:val="17"/>
              </w:rPr>
              <w:t xml:space="preserve">  "lambda_function": {</w:t>
            </w:r>
          </w:p>
          <w:p>
            <w:pPr>
              <w:spacing w:after="0" w:line="240"/>
            </w:pPr>
            <w:r>
              <w:rPr>
                <w:rFonts w:ascii="Courier New" w:eastAsia="Courier New"/>
                <w:color w:val="1F2937"/>
                <w:sz w:val="17"/>
                <w:szCs w:val="17"/>
              </w:rPr>
              <w:t xml:space="preserve">    "file_classification": { "trigger": "recap", "etl": "recap_main" },</w:t>
            </w:r>
          </w:p>
          <w:p>
            <w:pPr>
              <w:spacing w:after="0" w:line="240"/>
            </w:pPr>
            <w:r>
              <w:rPr>
                <w:rFonts w:ascii="Courier New" w:eastAsia="Courier New"/>
                <w:color w:val="1F2937"/>
                <w:sz w:val="17"/>
                <w:szCs w:val="17"/>
              </w:rPr>
              <w:t xml:space="preserve">    "missing_required_types": [],</w:t>
            </w:r>
          </w:p>
          <w:p>
            <w:pPr>
              <w:spacing w:after="0" w:line="240"/>
            </w:pPr>
            <w:r>
              <w:rPr>
                <w:rFonts w:ascii="Courier New" w:eastAsia="Courier New"/>
                <w:color w:val="1F2937"/>
                <w:sz w:val="17"/>
                <w:szCs w:val="17"/>
              </w:rPr>
              <w:t xml:space="preserve">    "downloads": [ { "type": "recap", "key": "...", "status": "ok" }, ... ],</w:t>
            </w:r>
          </w:p>
          <w:p>
            <w:pPr>
              <w:spacing w:after="0" w:line="240"/>
            </w:pPr>
            <w:r>
              <w:rPr>
                <w:rFonts w:ascii="Courier New" w:eastAsia="Courier New"/>
                <w:color w:val="1F2937"/>
                <w:sz w:val="17"/>
                <w:szCs w:val="17"/>
              </w:rPr>
              <w:t xml:space="preserve">    "uploaded_xml": [ "processed/stepxml/ellesse/0888-SP-ELLESSE-....xml" ],</w:t>
            </w:r>
          </w:p>
          <w:p>
            <w:pPr>
              <w:spacing w:after="0" w:line="240"/>
            </w:pPr>
            <w:r>
              <w:rPr>
                <w:rFonts w:ascii="Courier New" w:eastAsia="Courier New"/>
                <w:color w:val="1F2937"/>
                <w:sz w:val="17"/>
                <w:szCs w:val="17"/>
              </w:rPr>
              <w:t xml:space="preserve">    "status": "success"</w:t>
            </w:r>
          </w:p>
          <w:p>
            <w:pPr>
              <w:spacing w:after="0" w:line="240"/>
            </w:pPr>
            <w:r>
              <w:rPr>
                <w:rFonts w:ascii="Courier New" w:eastAsia="Courier New"/>
                <w:color w:val="1F2937"/>
                <w:sz w:val="17"/>
                <w:szCs w:val="17"/>
              </w:rPr>
              <w:t xml:space="preserve">  },</w:t>
            </w:r>
          </w:p>
          <w:p>
            <w:pPr>
              <w:spacing w:after="0" w:line="240"/>
            </w:pPr>
            <w:r>
              <w:rPr>
                <w:rFonts w:ascii="Courier New" w:eastAsia="Courier New"/>
                <w:color w:val="1F2937"/>
                <w:sz w:val="17"/>
                <w:szCs w:val="17"/>
              </w:rPr>
              <w:t xml:space="preserve">  "etl": { "articles": 3, "variants": 57, "validation_warnings": 0, "status": "success" },</w:t>
            </w:r>
          </w:p>
          <w:p>
            <w:pPr>
              <w:spacing w:after="0" w:line="240"/>
            </w:pPr>
            <w:r>
              <w:rPr>
                <w:rFonts w:ascii="Courier New" w:eastAsia="Courier New"/>
                <w:color w:val="1F2937"/>
                <w:sz w:val="17"/>
                <w:szCs w:val="17"/>
              </w:rPr>
              <w:t xml:space="preserve">  "articles": [],</w:t>
            </w:r>
          </w:p>
          <w:p>
            <w:pPr>
              <w:spacing w:after="0" w:line="240"/>
            </w:pPr>
            <w:r>
              <w:rPr>
                <w:rFonts w:ascii="Courier New" w:eastAsia="Courier New"/>
                <w:color w:val="1F2937"/>
                <w:sz w:val="17"/>
                <w:szCs w:val="17"/>
              </w:rPr>
              <w:t xml:space="preserve">  "validation_warnings": [],</w:t>
            </w:r>
          </w:p>
          <w:p>
            <w:pPr>
              <w:spacing w:after="0" w:line="240"/>
            </w:pPr>
            <w:r>
              <w:rPr>
                <w:rFonts w:ascii="Courier New" w:eastAsia="Courier New"/>
                <w:color w:val="1F2937"/>
                <w:sz w:val="17"/>
                <w:szCs w:val="17"/>
              </w:rPr>
              <w:t xml:space="preserve">  "runtime": { "request_id": "...", "duration_seconds": 41.8 }</w:t>
            </w:r>
          </w:p>
          <w:p>
            <w:pPr>
              <w:spacing w:after="0" w:line="240"/>
            </w:pPr>
            <w:r>
              <w:rPr>
                <w:rFonts w:ascii="Courier New" w:eastAsia="Courier New"/>
                <w:color w:val="1F2937"/>
                <w:sz w:val="17"/>
                <w:szCs w:val="17"/>
              </w:rPr>
              <w:t xml:space="preserve">}</w:t>
            </w:r>
          </w:p>
        </w:tc>
      </w:tr>
    </w:tbl>
    <w:p>
      <w:pPr>
        <w:spacing w:after="140" w:line="240"/>
      </w:pPr>
      <w:r>
        <w:rPr>
          <w:sz w:val="2"/>
          <w:szCs w:val="2"/>
        </w:rPr>
        <w:t xml:space="preserve"> </w:t>
      </w:r>
    </w:p>
    <w:p>
      <w:pPr>
        <w:pStyle w:val="Heading2"/>
        <w:spacing w:after="120" w:before="260" w:line="312"/>
      </w:pPr>
      <w:bookmarkStart w:id="100080" w:name="_Toc100080"/>
      <w:r>
        <w:rPr>
          <w:rFonts w:ascii="Times New Roman" w:eastAsia="Times New Roman"/>
          <w:b/>
          <w:bCs/>
          <w:color w:val="16324A"/>
          <w:sz w:val="28"/>
          <w:szCs w:val="28"/>
        </w:rPr>
        <w:t xml:space="preserve">12.2 Log Surfaces</w:t>
      </w:r>
      <w:bookmarkEnd w:id="100080"/>
    </w:p>
    <w:p>
      <w:pPr>
        <w:keepNext w:val="false"/>
        <w:spacing w:after="120" w:line="312"/>
        <w:jc w:val="both"/>
      </w:pPr>
      <w:r>
        <w:rPr>
          <w:rFonts w:ascii="Times New Roman" w:eastAsia="Times New Roman"/>
          <w:b w:val="false"/>
          <w:bCs w:val="false"/>
          <w:i w:val="false"/>
          <w:iCs w:val="false"/>
          <w:color w:val="000000"/>
          <w:sz w:val="24"/>
          <w:szCs w:val="24"/>
        </w:rPr>
        <w:t xml:space="preserve">Three surfaces exist. The S3 audit documents are the primary evidence - immutable, per-invocation, and queryable by prefix and timestamp. CloudWatch carries the Python logging output of both lambdas, including the delivery lambda's routing decisions, XML head/tail debug dumps and Stibo HTTP responses; it is the first place to look for delivery-side failures. The bgId receipts (Section 10.5) are the smallest but most operationally valuable surface, because they answer whether a specific file reached STEP. Retention policies on all three surfaces are not documented in the code and should be confirmed with IT (recorded in Chapter 13 as part of KI-13).</w:t>
      </w:r>
    </w:p>
    <w:p>
      <w:pPr>
        <w:pStyle w:val="Heading2"/>
        <w:spacing w:after="120" w:before="260" w:line="312"/>
      </w:pPr>
      <w:bookmarkStart w:id="100081" w:name="_Toc100081"/>
      <w:r>
        <w:rPr>
          <w:rFonts w:ascii="Times New Roman" w:eastAsia="Times New Roman"/>
          <w:b/>
          <w:bCs/>
          <w:color w:val="16324A"/>
          <w:sz w:val="28"/>
          <w:szCs w:val="28"/>
        </w:rPr>
        <w:t xml:space="preserve">12.3 Traceability Chain</w:t>
      </w:r>
      <w:bookmarkEnd w:id="100081"/>
    </w:p>
    <w:p>
      <w:pPr>
        <w:keepNext w:val="false"/>
        <w:spacing w:after="120" w:line="312"/>
        <w:jc w:val="both"/>
      </w:pPr>
      <w:r>
        <w:rPr>
          <w:rFonts w:ascii="Times New Roman" w:eastAsia="Times New Roman"/>
          <w:b w:val="false"/>
          <w:bCs w:val="false"/>
          <w:i w:val="false"/>
          <w:iCs w:val="false"/>
          <w:color w:val="000000"/>
          <w:sz w:val="24"/>
          <w:szCs w:val="24"/>
        </w:rPr>
        <w:t xml:space="preserve">A single upload can be traced end to end today through three identifiers: the S3 object key (input), the audit document in raw/logs (transformation evidence, including every download, conversion, article count and uploaded XML key), and the bgId receipt (delivery evidence). What is missing is the fourth link: the STEP background process outcome. The bgId is captured but never resolved against STEP's monitoring API, so rejection inside STEP (schema violations, failed business conditions) is invisible to the pipeline and surfaces only when someone opens the STEP Workbench. Closing this loop is recommendation R-03.</w:t>
      </w:r>
    </w:p>
    <w:p>
      <w:pPr>
        <w:pStyle w:val="Heading2"/>
        <w:spacing w:after="120" w:before="260" w:line="312"/>
      </w:pPr>
      <w:bookmarkStart w:id="100082" w:name="_Toc100082"/>
      <w:r>
        <w:rPr>
          <w:rFonts w:ascii="Times New Roman" w:eastAsia="Times New Roman"/>
          <w:b/>
          <w:bCs/>
          <w:color w:val="16324A"/>
          <w:sz w:val="28"/>
          <w:szCs w:val="28"/>
        </w:rPr>
        <w:t xml:space="preserve">12.4 Known Observability Gaps</w:t>
      </w:r>
      <w:bookmarkEnd w:id="100082"/>
    </w:p>
    <w:p>
      <w:pPr>
        <w:keepNext w:val="false"/>
        <w:spacing w:after="120" w:line="312"/>
        <w:jc w:val="both"/>
      </w:pPr>
      <w:r>
        <w:rPr>
          <w:rFonts w:ascii="Times New Roman" w:eastAsia="Times New Roman"/>
          <w:b w:val="false"/>
          <w:bCs w:val="false"/>
          <w:i w:val="false"/>
          <w:iCs w:val="false"/>
          <w:color w:val="000000"/>
          <w:sz w:val="24"/>
          <w:szCs w:val="24"/>
        </w:rPr>
        <w:t xml:space="preserve">Four gaps limit current diagnosability. First, the per-article evidence fields exist in the schema but no ETL writes them (auditor.add_validation_warnings is never called), so article-level issues must be reproduced locally rather than read from logs (KI-03). Second, there are no correlation IDs beyond the Lambda request id - tracing one business file across transform, delivery and STEP requires manual key matching. Third, the waiting_for_mandatory_files state is logged but not alerted on, so partial uploads can sit unnoticed (Section 11.3). Fourth, no metric or dashboard aggregates audit outcomes; operations is grep-based today. All four are addressed by the observability recommendations in Chapter 16.</w:t>
      </w:r>
    </w:p>
    <w:p>
      <w:pPr>
        <w:pStyle w:val="Heading1"/>
        <w:spacing w:after="160" w:before="360" w:line="312"/>
      </w:pPr>
      <w:bookmarkStart w:id="100083" w:name="_Toc100083"/>
      <w:r>
        <w:rPr>
          <w:rFonts w:ascii="Times New Roman" w:eastAsia="Times New Roman"/>
          <w:b/>
          <w:bCs/>
          <w:color w:val="16324A"/>
          <w:sz w:val="32"/>
          <w:szCs w:val="32"/>
        </w:rPr>
        <w:t xml:space="preserve">13. Known Issues and Technical Debt Register</w:t>
      </w:r>
      <w:bookmarkEnd w:id="100083"/>
    </w:p>
    <w:p>
      <w:pPr>
        <w:keepNext w:val="false"/>
        <w:spacing w:after="120" w:line="312"/>
        <w:jc w:val="both"/>
      </w:pPr>
      <w:r>
        <w:rPr>
          <w:rFonts w:ascii="Times New Roman" w:eastAsia="Times New Roman"/>
          <w:b w:val="false"/>
          <w:bCs w:val="false"/>
          <w:i w:val="false"/>
          <w:iCs w:val="false"/>
          <w:color w:val="000000"/>
          <w:sz w:val="24"/>
          <w:szCs w:val="24"/>
        </w:rPr>
        <w:t xml:space="preserve">This chapter consolidates every defect, gap and debt item found during the documentation effort, with severity, evidence and suggested direction. Severity meanings: Critical - can silently corrupt or stop production data flows; High - causes operational burden or wrong results under realistic conditions; Medium - maintainability or observability burden; Low - hygiene. The register should be treated as living: IT should own it in the team's tracker, with this table as the baseline import.</w:t>
      </w:r>
    </w:p>
    <w:p>
      <w:pPr>
        <w:keepNext/>
        <w:spacing w:after="80" w:before="160" w:line="312"/>
        <w:jc w:val="left"/>
      </w:pPr>
      <w:r>
        <w:rPr>
          <w:rFonts w:ascii="Times New Roman" w:eastAsia="Times New Roman"/>
          <w:b/>
          <w:bCs/>
          <w:color w:val="16324A"/>
          <w:sz w:val="21"/>
          <w:szCs w:val="21"/>
        </w:rPr>
        <w:t xml:space="preserve">Table 13-1 - Known issues and technical debt register</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ID</w:t>
            </w:r>
          </w:p>
        </w:tc>
        <w:tc>
          <w:tcPr>
            <w:tcW w:type="pct" w:w="9%"/>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Sev.</w:t>
            </w:r>
          </w:p>
        </w:tc>
        <w:tc>
          <w:tcPr>
            <w:tcW w:type="pct" w:w="14%"/>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Area</w:t>
            </w:r>
          </w:p>
        </w:tc>
        <w:tc>
          <w:tcPr>
            <w:tcW w:type="pct" w:w="47%"/>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Description and evidence</w:t>
            </w:r>
          </w:p>
        </w:tc>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16"/>
                <w:szCs w:val="16"/>
              </w:rPr>
              <w:t xml:space="preserve">Direction</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KI-01</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Critical</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ETL runtime</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Several ETL modules call sys.exit(1). SystemExit derives from BaseException, not Exception, so the router's try/except cannot catch it: during global fan-out one failing brand terminates the whole invocation and the remaining brands never run.</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Replace with raised exceptions; add a regression test that fan-out survives a failing brand.</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KI-02</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High</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Router</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Global file fan-out executes all 27 brands sequentially inside one invocation (router.py lines 148-192). Ingestion volume growth makes the 15-minute Lambda ceiling a realistic failure.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Fan out via per-brand Lambda invokes or SQS; keep per-brand isolation.</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KI-03</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High</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Observability</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audit_logger.add_validation_warnings and the per-article record API are never called by any ETL (verified by search). Article-level failures are invisible in production logs.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Wire warning/report calls into every ETL; backfill for the recap clone family first.</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KI-04</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High</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Config consistency</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The Aldo handler is largely commented out while its router entry remains active; the README states Aldo is inactive. Traffic to raw/metadata/aldo/ produces undefined behaviour.</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Either restore the handler or remove the router entry; align README.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KI-05</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Critical</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Security</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An uploaded Aldo .xlsm business file carries a database connection string and username in its PARAMS sheet (aldo/lambda_function.py lines 16-20). Credentials travel inside business files on S3.</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Purge the file; forbid credentials in business files; add upload scanning; rotate the exposed credential.</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KI-06</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High</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Data governance</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80 of 234 mapping-template attributes have no AT_ identifier (hidden-MDD VLOOKUP returns #N/A): Images 1-50, BY hierarchy, packaging dimensions, Valid From/To, MC structure, VN/TH translations.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Assign IDs with the STEP administrator or mark the attributes not-in-scope.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KI-07</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High</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Data governance</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Mapping-type column G contains 55 spelling variants of six intended values; letter-to-type agreement is about 85 percent. Any config-driven consumer will mis-classify rows.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Normalise the column once, add validation to the workbook.</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KI-08</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Medium</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Maintainability</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64 copies of the MDD loader and 37 of the RNA loader; the recap engine cloned across five brands (~90 percent identical). Fixes do not propagate.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Consolidate into shared modules with per-brand config (see R-01).</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KI-09</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Medium</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Runtime</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New Balance and Diadora share the /tmp/stibo_workdir root; warm-container reuse could interleave files. LAMBDA_TMP_DIR must be set before ETL imports (import-order dependency), re-asserted defensively only in ANTA.</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Give every brand a unique tmp root; pass the path as a parameter.</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KI-10</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Medium</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Deployability</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No requirements.txt or dependency pins for the transform lambda; layer contents are tribal knowledge.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Publish a pinned requirements file; add CI lint and package build.</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KI-11</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Medium</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Naming</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The de-facto filename convention differs from the unratified COE proposal (Section 4.4); classification must tolerate both. New file types require triple registration (portal, transform, delivery).</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Ratify one convention; generate the three registrations from one source of truth.</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KI-12</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Medium</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Reference data</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Confirmed mapping-sheet defect: Crocs Principal Size Code row targets AT_PrincipalStyleCode. Reebok MD-mapping silhouettes: 22 of 38 raw values unmapped. Business Rules sheet holds one rule.</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Quarterly reference-data review; add workbook linting.</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KI-13</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Low</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Operations</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Retention of audit logs, receipts and processed XML is undefined; no dashboards or alerts over audit outcomes.</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Define retention; build a small audit-dashboard (see R-06).</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KI-14</w:t>
            </w:r>
          </w:p>
        </w:tc>
        <w:tc>
          <w:tcPr>
            <w:tcW w:type="pct" w:w="9%"/>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Low</w:t>
            </w:r>
          </w:p>
        </w:tc>
        <w:tc>
          <w:tcPr>
            <w:tcW w:type="pct" w:w="14%"/>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Documentation</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README drift: claims aldo is commented (contradicted by router), lists 5 brands while 27 are registered; adidas module contains a stale debug-break comment.</w:t>
            </w:r>
          </w:p>
        </w:tc>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6"/>
                <w:szCs w:val="16"/>
              </w:rPr>
              <w:t xml:space="preserve">Regenerate docs from code; this document is the new baseline.</w:t>
            </w:r>
          </w:p>
        </w:tc>
      </w:tr>
    </w:tbl>
    <w:p>
      <w:pPr>
        <w:spacing w:after="140" w:line="240"/>
      </w:pPr>
      <w:r>
        <w:rPr>
          <w:sz w:val="2"/>
          <w:szCs w:val="2"/>
        </w:rPr>
        <w:t xml:space="preserve"> </w:t>
      </w:r>
    </w:p>
    <w:p>
      <w:pPr>
        <w:pBdr>
          <w:left w:val="single" w:color="B45309" w:sz="12" w:space="12"/>
        </w:pBdr>
        <w:spacing w:after="160" w:before="100" w:line="300"/>
        <w:ind w:left="200"/>
        <w:jc w:val="left"/>
      </w:pPr>
      <w:r>
        <w:rPr>
          <w:rFonts w:ascii="Times New Roman" w:eastAsia="Times New Roman"/>
          <w:b/>
          <w:bCs/>
          <w:i/>
          <w:iCs/>
          <w:color w:val="334155"/>
          <w:sz w:val="21"/>
          <w:szCs w:val="21"/>
        </w:rPr>
        <w:t xml:space="preserve">Reading the register: </w:t>
      </w:r>
      <w:r>
        <w:rPr>
          <w:rFonts w:ascii="Times New Roman" w:eastAsia="Times New Roman"/>
          <w:b w:val="false"/>
          <w:bCs w:val="false"/>
          <w:i/>
          <w:iCs/>
          <w:color w:val="334155"/>
          <w:sz w:val="21"/>
          <w:szCs w:val="21"/>
        </w:rPr>
        <w:t xml:space="preserve">KI-01 and KI-05 are the two items that should be actioned immediately - one protects the integrity of every global refresh, the other removes live credentials from the data platform. Both are small, isolated changes.</w:t>
      </w:r>
    </w:p>
    <w:p>
      <w:pPr>
        <w:pStyle w:val="Heading1"/>
        <w:spacing w:after="160" w:before="360" w:line="312"/>
      </w:pPr>
      <w:bookmarkStart w:id="100084" w:name="_Toc100084"/>
      <w:r>
        <w:rPr>
          <w:rFonts w:ascii="Times New Roman" w:eastAsia="Times New Roman"/>
          <w:b/>
          <w:bCs/>
          <w:color w:val="16324A"/>
          <w:sz w:val="32"/>
          <w:szCs w:val="32"/>
        </w:rPr>
        <w:t xml:space="preserve">14. Security Assessment</w:t>
      </w:r>
      <w:bookmarkEnd w:id="100084"/>
    </w:p>
    <w:p>
      <w:pPr>
        <w:pStyle w:val="Heading2"/>
        <w:spacing w:after="120" w:before="260" w:line="312"/>
      </w:pPr>
      <w:bookmarkStart w:id="100085" w:name="_Toc100085"/>
      <w:r>
        <w:rPr>
          <w:rFonts w:ascii="Times New Roman" w:eastAsia="Times New Roman"/>
          <w:b/>
          <w:bCs/>
          <w:color w:val="16324A"/>
          <w:sz w:val="28"/>
          <w:szCs w:val="28"/>
        </w:rPr>
        <w:t xml:space="preserve">14.1 Posture Today</w:t>
      </w:r>
      <w:bookmarkEnd w:id="100085"/>
    </w:p>
    <w:p>
      <w:pPr>
        <w:keepNext w:val="false"/>
        <w:spacing w:after="120" w:line="312"/>
        <w:jc w:val="both"/>
      </w:pPr>
      <w:r>
        <w:rPr>
          <w:rFonts w:ascii="Times New Roman" w:eastAsia="Times New Roman"/>
          <w:b w:val="false"/>
          <w:bCs w:val="false"/>
          <w:i w:val="false"/>
          <w:iCs w:val="false"/>
          <w:color w:val="000000"/>
          <w:sz w:val="24"/>
          <w:szCs w:val="24"/>
        </w:rPr>
        <w:t xml:space="preserve">The pipeline's security posture rests on four pillars, all conventional and correctly applied in the code reviewed: secrets live in environment variables with the client secret recommended from AWS Secrets Manager; transport is HTTPS with Bearer-token authentication against the OIDC endpoint; S3 access is scoped through Lambda execution roles (the delivery lambda documents its required s3:GetObject/s3:PutObject and secretsmanager:GetSecretValue permissions); and no hard-coded credentials were found anywhere in the 121k-line transform code base or the delivery lambda. The token cache never persists tokens to disk, and dry-run mode allows connectivity tests without data movement.</w:t>
      </w:r>
    </w:p>
    <w:p>
      <w:pPr>
        <w:pStyle w:val="Heading2"/>
        <w:spacing w:after="120" w:before="260" w:line="312"/>
      </w:pPr>
      <w:bookmarkStart w:id="100086" w:name="_Toc100086"/>
      <w:r>
        <w:rPr>
          <w:rFonts w:ascii="Times New Roman" w:eastAsia="Times New Roman"/>
          <w:b/>
          <w:bCs/>
          <w:color w:val="16324A"/>
          <w:sz w:val="28"/>
          <w:szCs w:val="28"/>
        </w:rPr>
        <w:t xml:space="preserve">14.2 Findings</w:t>
      </w:r>
      <w:bookmarkEnd w:id="100086"/>
    </w:p>
    <w:p>
      <w:pPr>
        <w:keepNext/>
        <w:spacing w:after="80" w:before="160" w:line="312"/>
        <w:jc w:val="left"/>
      </w:pPr>
      <w:r>
        <w:rPr>
          <w:rFonts w:ascii="Times New Roman" w:eastAsia="Times New Roman"/>
          <w:b/>
          <w:bCs/>
          <w:color w:val="16324A"/>
          <w:sz w:val="21"/>
          <w:szCs w:val="21"/>
        </w:rPr>
        <w:t xml:space="preserve">Table 14-1 - Security findings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ID</w:t>
            </w:r>
          </w:p>
        </w:tc>
        <w:tc>
          <w:tcPr>
            <w:tcW w:type="pct" w:w="11%"/>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Severity</w:t>
            </w:r>
          </w:p>
        </w:tc>
        <w:tc>
          <w:tcPr>
            <w:tcW w:type="pct" w:w="47%"/>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Finding</w:t>
            </w:r>
          </w:p>
        </w:tc>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Recommendation</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F-01</w:t>
            </w:r>
          </w:p>
        </w:tc>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Critical</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Database connection string and username found inside an uploaded business file (Aldo PARAMS sheet, KI-05). Credentials in business files bypass all secret management and are readable by everyone with S3 read access.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Rotate the credential immediately; purge the file; add a scanning rule on upload; instruct principals never to embed connection data.</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F-02</w:t>
            </w:r>
          </w:p>
        </w:tc>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Medium</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STEP monitoring sensors are unauthenticated by design; anyone with network access to the STEP host can read endpoint health. Informational - the pipeline does not expose them further.</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Network-restrict the monitoring surface; note for the future feedback loop to prefer the authenticated REST API.</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F-03</w:t>
            </w:r>
          </w:p>
        </w:tc>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Medium</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Transform handlers list brand prefixes with broad listing patterns; a misplaced upload anywhere under raw/metadata/{brand}/ is ingested by that brand's flow.</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Tighten prefix validation where feasible; rely on portal contract plus audit review as compensating control.</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F-04</w:t>
            </w:r>
          </w:p>
        </w:tc>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Low</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No explicit encryption or KMS statements in code; S3 encryption defaults are assumed.</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Confirm bucket default encryption (SSE-KMS) and lifecycle policies with IT.</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F-05</w:t>
            </w:r>
          </w:p>
        </w:tc>
        <w:tc>
          <w:tcPr>
            <w:tcW w:type="pct" w:w="11%"/>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Low</w:t>
            </w:r>
          </w:p>
        </w:tc>
        <w:tc>
          <w:tcPr>
            <w:tcW w:type="pct" w:w="47%"/>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Delivery lambda logs XML head/tail (first 1,000 / last 300 characters) at INFO level; product data fragments land in CloudWatch.</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Reduce to debug level or sample, in line with data-classification policy.</w:t>
            </w:r>
          </w:p>
        </w:tc>
      </w:tr>
    </w:tbl>
    <w:p>
      <w:pPr>
        <w:spacing w:after="140" w:line="240"/>
      </w:pPr>
      <w:r>
        <w:rPr>
          <w:sz w:val="2"/>
          <w:szCs w:val="2"/>
        </w:rPr>
        <w:t xml:space="preserve"> </w:t>
      </w:r>
    </w:p>
    <w:p>
      <w:pPr>
        <w:pStyle w:val="Heading2"/>
        <w:spacing w:after="120" w:before="260" w:line="312"/>
      </w:pPr>
      <w:bookmarkStart w:id="100087" w:name="_Toc100087"/>
      <w:r>
        <w:rPr>
          <w:rFonts w:ascii="Times New Roman" w:eastAsia="Times New Roman"/>
          <w:b/>
          <w:bCs/>
          <w:color w:val="16324A"/>
          <w:sz w:val="28"/>
          <w:szCs w:val="28"/>
        </w:rPr>
        <w:t xml:space="preserve">14.3 Recommendations</w:t>
      </w:r>
      <w:bookmarkEnd w:id="100087"/>
    </w:p>
    <w:p>
      <w:pPr>
        <w:keepNext w:val="false"/>
        <w:spacing w:after="120" w:line="312"/>
        <w:jc w:val="both"/>
      </w:pPr>
      <w:r>
        <w:rPr>
          <w:rFonts w:ascii="Times New Roman" w:eastAsia="Times New Roman"/>
          <w:b w:val="false"/>
          <w:bCs w:val="false"/>
          <w:i w:val="false"/>
          <w:iCs w:val="false"/>
          <w:color w:val="000000"/>
          <w:sz w:val="24"/>
          <w:szCs w:val="24"/>
        </w:rPr>
        <w:t xml:space="preserve">Beyond the per-finding actions: adopt a written secret-rotation procedure for STIBO_CLIENT_SECRET (quarterly is a reasonable default); add a per-upload access review so portal permissions match the brand ownership matrix; and when the portal gains auto-mapping features (Chapter 16), place its new API surface behind the corporate identity provider with role-based access per brand - the user groups (COE, Brand, IT, selected users) already imply an RBAC model that today exists only informally.</w:t>
      </w:r>
    </w:p>
    <w:p>
      <w:pPr>
        <w:pStyle w:val="Heading1"/>
        <w:spacing w:after="160" w:before="360" w:line="312"/>
      </w:pPr>
      <w:bookmarkStart w:id="100088" w:name="_Toc100088"/>
      <w:r>
        <w:rPr>
          <w:rFonts w:ascii="Times New Roman" w:eastAsia="Times New Roman"/>
          <w:b/>
          <w:bCs/>
          <w:color w:val="16324A"/>
          <w:sz w:val="32"/>
          <w:szCs w:val="32"/>
        </w:rPr>
        <w:t xml:space="preserve">15. Operational Runbook</w:t>
      </w:r>
      <w:bookmarkEnd w:id="100088"/>
    </w:p>
    <w:p>
      <w:pPr>
        <w:pStyle w:val="Heading2"/>
        <w:spacing w:after="120" w:before="260" w:line="312"/>
      </w:pPr>
      <w:bookmarkStart w:id="100089" w:name="_Toc100089"/>
      <w:r>
        <w:rPr>
          <w:rFonts w:ascii="Times New Roman" w:eastAsia="Times New Roman"/>
          <w:b/>
          <w:bCs/>
          <w:color w:val="16324A"/>
          <w:sz w:val="28"/>
          <w:szCs w:val="28"/>
        </w:rPr>
        <w:t xml:space="preserve">15.1 Daily Operations Checklist</w:t>
      </w:r>
      <w:bookmarkEnd w:id="100089"/>
    </w:p>
    <w:p>
      <w:pPr>
        <w:pStyle w:val="ListParagraph"/>
        <w:numPr>
          <w:ilvl w:val="0"/>
          <w:numId w:val="1"/>
        </w:numPr>
        <w:spacing w:after="60" w:line="312"/>
        <w:jc w:val="left"/>
      </w:pPr>
      <w:r>
        <w:rPr>
          <w:rFonts w:ascii="Times New Roman" w:eastAsia="Times New Roman"/>
          <w:b w:val="false"/>
          <w:bCs w:val="false"/>
          <w:i w:val="false"/>
          <w:iCs w:val="false"/>
          <w:color w:val="000000"/>
          <w:sz w:val="24"/>
          <w:szCs w:val="24"/>
        </w:rPr>
        <w:t xml:space="preserve">Check raw/logs/ for new audit documents with status error or with waiting_for_mandatory_files in the response; each waiting entry means a brand file is parked incomplete.</w:t>
      </w:r>
    </w:p>
    <w:p>
      <w:pPr>
        <w:pStyle w:val="ListParagraph"/>
        <w:numPr>
          <w:ilvl w:val="0"/>
          <w:numId w:val="1"/>
        </w:numPr>
        <w:spacing w:after="60" w:line="312"/>
        <w:jc w:val="left"/>
      </w:pPr>
      <w:r>
        <w:rPr>
          <w:rFonts w:ascii="Times New Roman" w:eastAsia="Times New Roman"/>
          <w:b w:val="false"/>
          <w:bCs w:val="false"/>
          <w:i w:val="false"/>
          <w:iCs w:val="false"/>
          <w:color w:val="000000"/>
          <w:sz w:val="24"/>
          <w:szCs w:val="24"/>
        </w:rPr>
        <w:t xml:space="preserve">Reconcile: for every XML written to processed/stepxml/ in the last 24 hours, confirm a bgId receipt exists in processed/stepxml/bgid/. A missing receipt means delivery failed - inspect CloudWatch for the delivery lambda.</w:t>
      </w:r>
    </w:p>
    <w:p>
      <w:pPr>
        <w:pStyle w:val="ListParagraph"/>
        <w:numPr>
          <w:ilvl w:val="0"/>
          <w:numId w:val="1"/>
        </w:numPr>
        <w:spacing w:after="60" w:line="312"/>
        <w:jc w:val="left"/>
      </w:pPr>
      <w:r>
        <w:rPr>
          <w:rFonts w:ascii="Times New Roman" w:eastAsia="Times New Roman"/>
          <w:b w:val="false"/>
          <w:bCs w:val="false"/>
          <w:i w:val="false"/>
          <w:iCs w:val="false"/>
          <w:color w:val="000000"/>
          <w:sz w:val="24"/>
          <w:szCs w:val="24"/>
        </w:rPr>
        <w:t xml:space="preserve">Spot-check one audit document per active brand per week against the article counts the brand team expects (the audit contains article and variant counts).</w:t>
      </w:r>
    </w:p>
    <w:p>
      <w:pPr>
        <w:pStyle w:val="ListParagraph"/>
        <w:numPr>
          <w:ilvl w:val="0"/>
          <w:numId w:val="1"/>
        </w:numPr>
        <w:spacing w:after="60" w:line="312"/>
        <w:jc w:val="left"/>
      </w:pPr>
      <w:r>
        <w:rPr>
          <w:rFonts w:ascii="Times New Roman" w:eastAsia="Times New Roman"/>
          <w:b w:val="false"/>
          <w:bCs w:val="false"/>
          <w:i w:val="false"/>
          <w:iCs w:val="false"/>
          <w:color w:val="000000"/>
          <w:sz w:val="24"/>
          <w:szCs w:val="24"/>
        </w:rPr>
        <w:t xml:space="preserve">Review STEP-side health: monitoring sensor status for the three IIEPs (traffic light) and, after large uploads, the endpoint's background-process list for completed-with-errors outcomes.</w:t>
      </w:r>
    </w:p>
    <w:p>
      <w:pPr>
        <w:pStyle w:val="ListParagraph"/>
        <w:numPr>
          <w:ilvl w:val="0"/>
          <w:numId w:val="1"/>
        </w:numPr>
        <w:spacing w:after="60" w:line="312"/>
        <w:jc w:val="left"/>
      </w:pPr>
      <w:r>
        <w:rPr>
          <w:rFonts w:ascii="Times New Roman" w:eastAsia="Times New Roman"/>
          <w:b w:val="false"/>
          <w:bCs w:val="false"/>
          <w:i w:val="false"/>
          <w:iCs w:val="false"/>
          <w:color w:val="000000"/>
          <w:sz w:val="24"/>
          <w:szCs w:val="24"/>
        </w:rPr>
        <w:t xml:space="preserve">Confirm the global reference files (MDD, attributes list) have the expected latest-version timestamps in raw/metadata/; an old dictionary silently degrades every brand's output.</w:t>
      </w:r>
    </w:p>
    <w:p>
      <w:pPr>
        <w:pStyle w:val="Heading2"/>
        <w:spacing w:after="120" w:before="260" w:line="312"/>
      </w:pPr>
      <w:bookmarkStart w:id="100090" w:name="_Toc100090"/>
      <w:r>
        <w:rPr>
          <w:rFonts w:ascii="Times New Roman" w:eastAsia="Times New Roman"/>
          <w:b/>
          <w:bCs/>
          <w:color w:val="16324A"/>
          <w:sz w:val="28"/>
          <w:szCs w:val="28"/>
        </w:rPr>
        <w:t xml:space="preserve">15.2 Troubleshooting Matrix</w:t>
      </w:r>
      <w:bookmarkEnd w:id="100090"/>
    </w:p>
    <w:p>
      <w:pPr>
        <w:keepNext/>
        <w:spacing w:after="80" w:before="160" w:line="312"/>
        <w:jc w:val="left"/>
      </w:pPr>
      <w:r>
        <w:rPr>
          <w:rFonts w:ascii="Times New Roman" w:eastAsia="Times New Roman"/>
          <w:b/>
          <w:bCs/>
          <w:color w:val="16324A"/>
          <w:sz w:val="21"/>
          <w:szCs w:val="21"/>
        </w:rPr>
        <w:t xml:space="preserve">Table 15-1 - Symptom, likely cause, resolution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Symptom</w:t>
            </w:r>
          </w:p>
        </w:tc>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Likely cause</w:t>
            </w:r>
          </w:p>
        </w:tc>
        <w:tc>
          <w:tcPr>
            <w:tcW w:type="pct" w:w="40%"/>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Resolution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 audit document for an upload</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EventBridge rule disabled, or key outside raw/metadata/</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Check EventBridge metrics; verify the S3 key prefix and the router's ignore response in CloudWatch</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Audit says waiting_for_mandatory_files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 companion file (mdd/attributes/naming) is missing or misnamed</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Identify the missing type in the audit's missing_required_types; upload it via the portal; processing resumes automatically</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Audit shows classification succeeded but no XML</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ETL failed mid-run (see etl.status/error in the audit), or sys.exit path (KI-01)</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Read the audit etl section; reproduce locally; check for the sys.exit defect in that brand</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XML exists in processed/stepxml but no bgId receipt</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 failed: routing miss (400) or Stibo 4xx/5xx after retries</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CloudWatch for the delivery lambda: look for 'No routing rule matched' or the Stibo HTTP status; fix name/endpoint or re-invoke directly with endpoint_type override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 returns 4xx on upload</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Disabled IIEP, full BGP queue, forbidden characters in file name, or expired/incorrect credentials</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Verify endpoint enabled in STEP; check queue depth; sanitise file name; rotate/verify OIDC credentials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Transform timeout (no completed audit)</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Oversized brand file, or fan-out duration growth (KI-02)</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Re-run the single brand upload; schedule global uploads off-peak; prioritise KI-02 fix</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Values missing from STEP that exist in Excel</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LOV miss with skip policy; mapping type excluded (Manual/AI); attribute without AT_ ID (KI-06)</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Check the mapping tab column G and the LOV sheet; resolve the ID or accept documented skip</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All brands re-processed unexpectedly</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 global file was uploaded to raw/metadata/ root (fan-out)</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Expected behaviour; verify fan-out results map in the router response and watch for KI-01/KI-02 symptoms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Duplicate season classifications in STEP</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blank_ids disabled on a re-delivery</w:t>
            </w:r>
          </w:p>
        </w:tc>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Re-send with blank_ids enabled (default) so STEP matches classifications by name</w:t>
            </w:r>
          </w:p>
        </w:tc>
      </w:tr>
    </w:tbl>
    <w:p>
      <w:pPr>
        <w:spacing w:after="140" w:line="240"/>
      </w:pPr>
      <w:r>
        <w:rPr>
          <w:sz w:val="2"/>
          <w:szCs w:val="2"/>
        </w:rPr>
        <w:t xml:space="preserve"> </w:t>
      </w:r>
    </w:p>
    <w:p>
      <w:pPr>
        <w:pStyle w:val="Heading2"/>
        <w:spacing w:after="120" w:before="260" w:line="312"/>
      </w:pPr>
      <w:bookmarkStart w:id="100091" w:name="_Toc100091"/>
      <w:r>
        <w:rPr>
          <w:rFonts w:ascii="Times New Roman" w:eastAsia="Times New Roman"/>
          <w:b/>
          <w:bCs/>
          <w:color w:val="16324A"/>
          <w:sz w:val="28"/>
          <w:szCs w:val="28"/>
        </w:rPr>
        <w:t xml:space="preserve">15.3 Deploying a New Lambda Version</w:t>
      </w:r>
      <w:bookmarkEnd w:id="100091"/>
    </w:p>
    <w:p>
      <w:pPr>
        <w:keepNext w:val="false"/>
        <w:spacing w:after="120" w:line="312"/>
        <w:jc w:val="both"/>
      </w:pPr>
      <w:r>
        <w:rPr>
          <w:rFonts w:ascii="Times New Roman" w:eastAsia="Times New Roman"/>
          <w:b w:val="false"/>
          <w:bCs w:val="false"/>
          <w:i w:val="false"/>
          <w:iCs w:val="false"/>
          <w:color w:val="000000"/>
          <w:sz w:val="24"/>
          <w:szCs w:val="24"/>
        </w:rPr>
        <w:t xml:space="preserve">Both lambdas deploy as zipped packages. For the transform lambda: update the brand package(s) inside the deployment zip, keep router.py imports consistent (import failures fail the whole function), update the layer if pandas/openpyxl/pyxlsb versions change (no pins exist - KI-10), set environment variables (RAW_BUCKET, PROCESSED_BUCKET) and deploy. Smoke-test with a harmless upload to one brand folder and verify the audit document. For the delivery lambda: replace lambda_function.py, keep the STIBO_* environment contract, and first deploy with STIBO_DRY_RUN=true to validate token fetch and routing without posting data; then disable dry-run and re-drive one failed XML (if any) as the live test. Always keep the previous zip for rollback.</w:t>
      </w:r>
    </w:p>
    <w:p>
      <w:pPr>
        <w:pStyle w:val="Heading2"/>
        <w:spacing w:after="120" w:before="260" w:line="312"/>
      </w:pPr>
      <w:bookmarkStart w:id="100092" w:name="_Toc100092"/>
      <w:r>
        <w:rPr>
          <w:rFonts w:ascii="Times New Roman" w:eastAsia="Times New Roman"/>
          <w:b/>
          <w:bCs/>
          <w:color w:val="16324A"/>
          <w:sz w:val="28"/>
          <w:szCs w:val="28"/>
        </w:rPr>
        <w:t xml:space="preserve">15.4 Onboarding a New Brand or File Type</w:t>
      </w:r>
      <w:bookmarkEnd w:id="100092"/>
    </w:p>
    <w:p>
      <w:pPr>
        <w:keepNext w:val="false"/>
        <w:spacing w:after="120" w:line="312"/>
        <w:jc w:val="both"/>
      </w:pPr>
      <w:r>
        <w:rPr>
          <w:rFonts w:ascii="Times New Roman" w:eastAsia="Times New Roman"/>
          <w:b w:val="false"/>
          <w:bCs w:val="false"/>
          <w:i w:val="false"/>
          <w:iCs w:val="false"/>
          <w:color w:val="000000"/>
          <w:sz w:val="24"/>
          <w:szCs w:val="24"/>
        </w:rPr>
        <w:t xml:space="preserve">Execute in this order: (1) agree the mapping with the COE team and complete the brand tab in the mapping template, including AT_ IDs via the hidden MDD tab; (2) create the brand package - clone the closest existing generation (prefer a mapping-driven brand) and implement the handler skeleton of Table 6-1; (3) register keyword dictionaries, required-type policy and ETL dispatcher inside the package; (4) add the import and BRAND_ROUTER entry in router.py; (5) if the file type is new, add the ordered routing pattern in the delivery lambda and the dropdown option in the portal; (6) create the brand's S3 folder implicitly by uploading the first file; (7) test end to end in dev with a real principal file, verifying the audit document, the XML, the receipt and the STEP BGP outcome; (8) update Appendix A of this document.</w:t>
      </w:r>
    </w:p>
    <w:p>
      <w:pPr>
        <w:pStyle w:val="Heading2"/>
        <w:spacing w:after="120" w:before="260" w:line="312"/>
      </w:pPr>
      <w:bookmarkStart w:id="100093" w:name="_Toc100093"/>
      <w:r>
        <w:rPr>
          <w:rFonts w:ascii="Times New Roman" w:eastAsia="Times New Roman"/>
          <w:b/>
          <w:bCs/>
          <w:color w:val="16324A"/>
          <w:sz w:val="28"/>
          <w:szCs w:val="28"/>
        </w:rPr>
        <w:t xml:space="preserve">15.5 Refreshing Global Reference Data</w:t>
      </w:r>
      <w:bookmarkEnd w:id="100093"/>
    </w:p>
    <w:p>
      <w:pPr>
        <w:keepNext w:val="false"/>
        <w:spacing w:after="120" w:line="312"/>
        <w:jc w:val="both"/>
      </w:pPr>
      <w:r>
        <w:rPr>
          <w:rFonts w:ascii="Times New Roman" w:eastAsia="Times New Roman"/>
          <w:b w:val="false"/>
          <w:bCs w:val="false"/>
          <w:i w:val="false"/>
          <w:iCs w:val="false"/>
          <w:color w:val="000000"/>
          <w:sz w:val="24"/>
          <w:szCs w:val="24"/>
        </w:rPr>
        <w:t xml:space="preserve">When the COE team updates the Master Data Dictionary or attributes list: upload the new version to raw/metadata/ root via the portal - this triggers the full fan-out described in Section 11.2. Schedule it off-peak; expect a full wave of XML regeneration and re-delivery for all 27 brands; verify the fan-out results map (per-brand statuses) in the router response and watch the first two or three audits for errors. Remember the two fan-out risks: sequential duration (KI-02) and any brand with the sys.exit defect aborting the remaining brands (KI-01) - if the results map is truncated, that is the signature.</w:t>
      </w:r>
    </w:p>
    <w:p>
      <w:pPr>
        <w:pStyle w:val="Heading2"/>
        <w:spacing w:after="120" w:before="260" w:line="312"/>
      </w:pPr>
      <w:bookmarkStart w:id="100094" w:name="_Toc100094"/>
      <w:r>
        <w:rPr>
          <w:rFonts w:ascii="Times New Roman" w:eastAsia="Times New Roman"/>
          <w:b/>
          <w:bCs/>
          <w:color w:val="16324A"/>
          <w:sz w:val="28"/>
          <w:szCs w:val="28"/>
        </w:rPr>
        <w:t xml:space="preserve">15.6 Ownership and Escalation</w:t>
      </w:r>
      <w:bookmarkEnd w:id="100094"/>
    </w:p>
    <w:p>
      <w:pPr>
        <w:keepNext/>
        <w:spacing w:after="80" w:before="160" w:line="312"/>
        <w:jc w:val="left"/>
      </w:pPr>
      <w:r>
        <w:rPr>
          <w:rFonts w:ascii="Times New Roman" w:eastAsia="Times New Roman"/>
          <w:b/>
          <w:bCs/>
          <w:color w:val="16324A"/>
          <w:sz w:val="21"/>
          <w:szCs w:val="21"/>
        </w:rPr>
        <w:t xml:space="preserve">Table 15-2 - Ownership matrix (to be confirmed and kept current by IT)</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4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Area</w:t>
            </w:r>
          </w:p>
        </w:tc>
        <w:tc>
          <w:tcPr>
            <w:tcW w:type="pct" w:w="2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Owner</w:t>
            </w:r>
          </w:p>
        </w:tc>
        <w:tc>
          <w:tcPr>
            <w:tcW w:type="pct" w:w="3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Escalation path</w:t>
            </w:r>
          </w:p>
        </w:tc>
      </w:tr>
      <w:tr>
        <w:trPr>
          <w:cantSplit/>
        </w:trPr>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 Portal availability and permissions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IT</w:t>
            </w:r>
          </w:p>
        </w:tc>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Mapping template and MDD content</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COE team</w:t>
            </w:r>
          </w:p>
        </w:tc>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file content and upload correctness</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Brand teams</w:t>
            </w:r>
          </w:p>
        </w:tc>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AWS pipeline (lambdas, S3, EventBridge)</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IT / integration engineering</w:t>
            </w:r>
          </w:p>
        </w:tc>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r>
        <w:trPr>
          <w:cantSplit/>
        </w:trPr>
        <w:tc>
          <w:tcPr>
            <w:tcW w:type="pct" w:w="4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Stibo STEP endpoints, BGP errors, data model</w:t>
            </w:r>
          </w:p>
        </w:tc>
        <w:tc>
          <w:tcPr>
            <w:tcW w:type="pct" w:w="2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STEP administrator</w:t>
            </w:r>
          </w:p>
        </w:tc>
        <w:tc>
          <w:tcPr>
            <w:tcW w:type="pct" w:w="3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[to be confirmed]</w:t>
            </w:r>
          </w:p>
        </w:tc>
      </w:tr>
    </w:tbl>
    <w:p>
      <w:pPr>
        <w:spacing w:after="140" w:line="240"/>
      </w:pPr>
      <w:r>
        <w:rPr>
          <w:sz w:val="2"/>
          <w:szCs w:val="2"/>
        </w:rPr>
        <w:t xml:space="preserve"> </w:t>
      </w:r>
    </w:p>
    <w:p>
      <w:pPr>
        <w:pStyle w:val="Heading1"/>
        <w:spacing w:after="160" w:before="360" w:line="312"/>
      </w:pPr>
      <w:bookmarkStart w:id="100095" w:name="_Toc100095"/>
      <w:r>
        <w:rPr>
          <w:rFonts w:ascii="Times New Roman" w:eastAsia="Times New Roman"/>
          <w:b/>
          <w:bCs/>
          <w:color w:val="16324A"/>
          <w:sz w:val="32"/>
          <w:szCs w:val="32"/>
        </w:rPr>
        <w:t xml:space="preserve">16. Improvement Recommendations and Future Direction</w:t>
      </w:r>
      <w:bookmarkEnd w:id="100095"/>
    </w:p>
    <w:p>
      <w:pPr>
        <w:pStyle w:val="Heading2"/>
        <w:spacing w:after="120" w:before="260" w:line="312"/>
      </w:pPr>
      <w:bookmarkStart w:id="100096" w:name="_Toc100096"/>
      <w:r>
        <w:rPr>
          <w:rFonts w:ascii="Times New Roman" w:eastAsia="Times New Roman"/>
          <w:b/>
          <w:bCs/>
          <w:color w:val="16324A"/>
          <w:sz w:val="28"/>
          <w:szCs w:val="28"/>
        </w:rPr>
        <w:t xml:space="preserve">16.1 Summary of Improvement Areas</w:t>
      </w:r>
      <w:bookmarkEnd w:id="100096"/>
    </w:p>
    <w:p>
      <w:pPr>
        <w:keepNext w:val="false"/>
        <w:spacing w:after="120" w:line="312"/>
        <w:jc w:val="both"/>
      </w:pPr>
      <w:r>
        <w:rPr>
          <w:rFonts w:ascii="Times New Roman" w:eastAsia="Times New Roman"/>
          <w:b w:val="false"/>
          <w:bCs w:val="false"/>
          <w:i w:val="false"/>
          <w:iCs w:val="false"/>
          <w:color w:val="000000"/>
          <w:sz w:val="24"/>
          <w:szCs w:val="24"/>
        </w:rPr>
        <w:t xml:space="preserve">The documentation surfaced one structural insight and a set of concrete defects. The structural insight: roughly seventy to eighty percent of the transform code base is duplicated boilerplate around one canonical XML writer, and the newest brands already demonstrate the alternative - configuration-driven engines that read the mapping workbook at runtime. The defects are catalogued in Chapter 13. The recommendations below are ordered so that each phase de-risks the next; the roadmap in Section 16.5 turns them into a sequence.</w:t>
      </w:r>
    </w:p>
    <w:p>
      <w:pPr>
        <w:keepNext/>
        <w:spacing w:after="80" w:before="160" w:line="312"/>
        <w:jc w:val="left"/>
      </w:pPr>
      <w:r>
        <w:rPr>
          <w:rFonts w:ascii="Times New Roman" w:eastAsia="Times New Roman"/>
          <w:b/>
          <w:bCs/>
          <w:color w:val="16324A"/>
          <w:sz w:val="21"/>
          <w:szCs w:val="21"/>
        </w:rPr>
        <w:t xml:space="preserve">Table 16-1 - Recommendation register</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ID</w:t>
            </w:r>
          </w:p>
        </w:tc>
        <w:tc>
          <w:tcPr>
            <w:tcW w:type="pct" w:w="5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Recommendation</w:t>
            </w:r>
          </w:p>
        </w:tc>
        <w:tc>
          <w:tcPr>
            <w:tcW w:type="pct" w:w="2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Addresses</w:t>
            </w:r>
          </w:p>
        </w:tc>
        <w:tc>
          <w:tcPr>
            <w:tcW w:type="pct" w:w="2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Horizon</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R-01</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Consolidate the loader layer: one shared MDDLoader, RNALoader, AttributesListLoader and mapping engine, configured per brand instead of copied per brand</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KI-08, KI-12</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Near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R-02</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Fix KI-01 (sys.exit) and KI-02 (sequential fan-out) as standalone, low-risk patches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KI-01, KI-02</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Immediate</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R-03</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Close the feedback loop: resolve bgIds against STEP monitoring APIs and surface per-row errors back to the pipeline and, later, the portal</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Chapter 10.6, 12.3</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Near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R-04</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Wire the per-article audit evidence (KI-03): every ETL records warnings and article statuses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KI-03</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Near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R-05</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Ratify the naming convention and generate portal, transform and delivery registrations from one source of truth</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KI-11</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Near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R-06</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Build a small audit dashboard over raw/logs (statuses, waiting files, delivery failures) with alerts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KI-13, 12.4</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Mid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R-07</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Clean the mapping template: resolve 80 missing AT_ IDs, normalise column G, complete Reebok/Crocs gaps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KI-06, KI-07, KI-12</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Mid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R-08</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Generalise the mapping-driven engine into a single generic ETL with a typed transform DSL for the ten rule archetypes of Table 8-3</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6.4, 16.2</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Mid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R-09</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Portal evolution: in-portal validation and auto-mapping preview before upload (see 16.3)</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16.3</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Long term</w:t>
            </w:r>
          </w:p>
        </w:tc>
      </w:tr>
      <w:tr>
        <w:trPr>
          <w:cantSplit/>
        </w:trPr>
        <w:tc>
          <w:tcPr>
            <w:tcW w:type="pct" w:w="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R-10</w:t>
            </w:r>
          </w:p>
        </w:tc>
        <w:tc>
          <w:tcPr>
            <w:tcW w:type="pct" w:w="5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Adopt STEP REST API v2 for model sync (attributes, LOVs, validators) and evaluate AI mapping capabilities</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16.4</w:t>
            </w:r>
          </w:p>
        </w:tc>
        <w:tc>
          <w:tcPr>
            <w:tcW w:type="pct" w:w="2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Long term</w:t>
            </w:r>
          </w:p>
        </w:tc>
      </w:tr>
    </w:tbl>
    <w:p>
      <w:pPr>
        <w:spacing w:after="140" w:line="240"/>
      </w:pPr>
      <w:r>
        <w:rPr>
          <w:sz w:val="2"/>
          <w:szCs w:val="2"/>
        </w:rPr>
        <w:t xml:space="preserve"> </w:t>
      </w:r>
    </w:p>
    <w:p>
      <w:pPr>
        <w:pStyle w:val="Heading2"/>
        <w:spacing w:after="120" w:before="260" w:line="312"/>
      </w:pPr>
      <w:bookmarkStart w:id="100097" w:name="_Toc100097"/>
      <w:r>
        <w:rPr>
          <w:rFonts w:ascii="Times New Roman" w:eastAsia="Times New Roman"/>
          <w:b/>
          <w:bCs/>
          <w:color w:val="16324A"/>
          <w:sz w:val="28"/>
          <w:szCs w:val="28"/>
        </w:rPr>
        <w:t xml:space="preserve">16.2 The Config-Driven Engine</w:t>
      </w:r>
      <w:bookmarkEnd w:id="100097"/>
    </w:p>
    <w:p>
      <w:pPr>
        <w:keepNext w:val="false"/>
        <w:spacing w:after="120" w:line="312"/>
        <w:jc w:val="both"/>
      </w:pPr>
      <w:r>
        <w:rPr>
          <w:rFonts w:ascii="Times New Roman" w:eastAsia="Times New Roman"/>
          <w:b w:val="false"/>
          <w:bCs w:val="false"/>
          <w:i w:val="false"/>
          <w:iCs w:val="false"/>
          <w:color w:val="000000"/>
          <w:sz w:val="24"/>
          <w:szCs w:val="24"/>
        </w:rPr>
        <w:t xml:space="preserve">The target architecture for the transform layer is a single generic engine whose behaviour is fully described by per-brand configuration compiled from the mapping template. The configuration schema needs to capture: an input profile (sheet names, header rows, column aliases, fallbacks); attribute rules (source column, archetype from Table 8-3, transform parameters, LOV reference, miss policy per the three existing behaviours); key and variant formulas (the per-brand generic-code Types A-E); classification references and defaults; and the validation policy. The two mapping-driven brands prove feasibility; the ten archetypes bound the transform DSL; the honest hard parts are the derivation formulas and the multi-file joins, which today live only in code for a few brands and should migrate into the DSL incrementally rather than big-bang.</w:t>
      </w:r>
    </w:p>
    <w:p>
      <w:pPr>
        <w:pStyle w:val="Heading2"/>
        <w:spacing w:after="120" w:before="260" w:line="312"/>
      </w:pPr>
      <w:bookmarkStart w:id="100098" w:name="_Toc100098"/>
      <w:r>
        <w:rPr>
          <w:rFonts w:ascii="Times New Roman" w:eastAsia="Times New Roman"/>
          <w:b/>
          <w:bCs/>
          <w:color w:val="16324A"/>
          <w:sz w:val="28"/>
          <w:szCs w:val="28"/>
        </w:rPr>
        <w:t xml:space="preserve">16.3 Portal Evolution - Auto-Mapping and Auto-Fill</w:t>
      </w:r>
      <w:bookmarkEnd w:id="100098"/>
    </w:p>
    <w:p>
      <w:pPr>
        <w:keepNext w:val="false"/>
        <w:spacing w:after="120" w:line="312"/>
        <w:jc w:val="both"/>
      </w:pPr>
      <w:r>
        <w:rPr>
          <w:rFonts w:ascii="Times New Roman" w:eastAsia="Times New Roman"/>
          <w:b w:val="false"/>
          <w:bCs w:val="false"/>
          <w:i w:val="false"/>
          <w:iCs w:val="false"/>
          <w:color w:val="000000"/>
          <w:sz w:val="24"/>
          <w:szCs w:val="24"/>
        </w:rPr>
        <w:t xml:space="preserve">The business goal is a portal where the user uploads, the system applies the mapping and auto-fills everything that rules and LOVs can determine, and the final XML is produced and sent to Stibo. Mapped onto the current landscape, the natural evolution keeps the proven pipeline and moves intelligence upstream: the portal (or a service behind it) performs pre-validation at the point of entry - required fields per the MDD cardinality, LOV membership, format checks - giving the user a row-and-cell error report before anything reaches S3; it applies the rule archetypes to show which cells will be auto-filled (direct, default, derived) and which need manual input or AI assistance; and it implements the 1st/2nd ingestion staging that several mapping rules already assume. The four mapping types that today are excluded from output (Manual Input in Portal, AI Images Analysis, AI Translation, and stage-conditionals) become exactly the fields the portal asks the user to complete or confirms - closing the gap the mapping workbook has anticipated since it was designed.</w:t>
      </w:r>
    </w:p>
    <w:p>
      <w:pPr>
        <w:pStyle w:val="Heading2"/>
        <w:spacing w:after="120" w:before="260" w:line="312"/>
      </w:pPr>
      <w:bookmarkStart w:id="100099" w:name="_Toc100099"/>
      <w:r>
        <w:rPr>
          <w:rFonts w:ascii="Times New Roman" w:eastAsia="Times New Roman"/>
          <w:b/>
          <w:bCs/>
          <w:color w:val="16324A"/>
          <w:sz w:val="28"/>
          <w:szCs w:val="28"/>
        </w:rPr>
        <w:t xml:space="preserve">16.4 Stibo STEP 2026 Capabilities Worth Adopting</w:t>
      </w:r>
      <w:bookmarkEnd w:id="100099"/>
    </w:p>
    <w:p>
      <w:pPr>
        <w:keepNext w:val="false"/>
        <w:spacing w:after="120" w:line="312"/>
        <w:jc w:val="both"/>
      </w:pPr>
      <w:r>
        <w:rPr>
          <w:rFonts w:ascii="Times New Roman" w:eastAsia="Times New Roman"/>
          <w:b w:val="false"/>
          <w:bCs w:val="false"/>
          <w:i w:val="false"/>
          <w:iCs w:val="false"/>
          <w:color w:val="000000"/>
          <w:sz w:val="24"/>
          <w:szCs w:val="24"/>
        </w:rPr>
        <w:t xml:space="preserve">Three current platform capabilities align directly with this roadmap. First, REST API v2 (since 2026.1) exposes the data model - attributes with validators, LOVs with validators and data-type groups, contexts, unique keys - enabling the pipeline to sync reference data from STEP instead of maintaining the MDD workbook by hand (R-10), eliminating an entire class of drift. Second, the monitoring and attachment APIs (Section 10.6) make R-03 a configuration exercise rather than a reverse-engineering project. Third, the platform's AI direction (attribute-mapping automation reported by the vendor, intelligent assistants, and the MCP server for agent access) suggests that mapping-as-data (R-08) is also the safest long-term posture: when mapping lives in structured configuration, external AI capabilities can consume it without code changes. The IIEP/STEPXML inbound contract itself is stable across 2025-2026 releases and needs no change.</w:t>
      </w:r>
    </w:p>
    <w:p>
      <w:pPr>
        <w:pStyle w:val="Heading2"/>
        <w:spacing w:after="120" w:before="260" w:line="312"/>
      </w:pPr>
      <w:bookmarkStart w:id="100100" w:name="_Toc100100"/>
      <w:r>
        <w:rPr>
          <w:rFonts w:ascii="Times New Roman" w:eastAsia="Times New Roman"/>
          <w:b/>
          <w:bCs/>
          <w:color w:val="16324A"/>
          <w:sz w:val="28"/>
          <w:szCs w:val="28"/>
        </w:rPr>
        <w:t xml:space="preserve">16.5 Phased Roadmap</w:t>
      </w:r>
      <w:bookmarkEnd w:id="100100"/>
    </w:p>
    <w:p>
      <w:pPr>
        <w:keepNext/>
        <w:spacing w:after="80" w:before="160" w:line="312"/>
        <w:jc w:val="left"/>
      </w:pPr>
      <w:r>
        <w:rPr>
          <w:rFonts w:ascii="Times New Roman" w:eastAsia="Times New Roman"/>
          <w:b/>
          <w:bCs/>
          <w:color w:val="16324A"/>
          <w:sz w:val="21"/>
          <w:szCs w:val="21"/>
        </w:rPr>
        <w:t xml:space="preserve">Table 16-2 - Suggested phase plan</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Phase</w:t>
            </w:r>
          </w:p>
        </w:tc>
        <w:tc>
          <w:tcPr>
            <w:tcW w:type="pct" w:w="48%"/>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Content</w:t>
            </w:r>
          </w:p>
        </w:tc>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20"/>
                <w:szCs w:val="20"/>
              </w:rPr>
              <w:t xml:space="preserve">Outcome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0. Foundations (2-3 weeks)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R-02 fixes; KI-04/05 clean-up; reference-data clean-up plan (R-07); naming ratification (R-05); this document reviewed and corrected by the team</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Stabilised baseline; verified documentation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1. Visibility (4-6 weeks)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R-04 audit evidence; R-03 feedback loop; R-06 dashboard</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Failures visible within minutes; STEP rejections traceable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2. Consolidation (6-10 weeks)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R-01 shared loaders; migrate the five recap clones; R-08 engine core with the ten archetypes</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Code base shrinks substantially; new brands become configuration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3. Portal intelligence (8-12 weeks)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Pre-validation service; auto-mapping preview; manual/AI input flows; RBAC</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Users see errors before upload; mapping types Manual/AI become executable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4. Platform sync (ongoing)</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R-10 model/LOV sync from STEP; evaluate AI mapping adoption; retire manual MDD maintenance where possible</w:t>
            </w:r>
          </w:p>
        </w:tc>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20"/>
                <w:szCs w:val="20"/>
              </w:rPr>
              <w:t xml:space="preserve">Reference data self-maintaining; drift class eliminated</w:t>
            </w:r>
          </w:p>
        </w:tc>
      </w:tr>
    </w:tbl>
    <w:p>
      <w:pPr>
        <w:spacing w:after="140" w:line="240"/>
      </w:pPr>
      <w:r>
        <w:rPr>
          <w:sz w:val="2"/>
          <w:szCs w:val="2"/>
        </w:rPr>
        <w:t xml:space="preserve"> </w:t>
      </w:r>
    </w:p>
    <w:p>
      <w:pPr>
        <w:keepNext w:val="false"/>
        <w:spacing w:after="120" w:line="312"/>
        <w:jc w:val="both"/>
      </w:pPr>
      <w:r>
        <w:rPr>
          <w:rFonts w:ascii="Times New Roman" w:eastAsia="Times New Roman"/>
          <w:b w:val="false"/>
          <w:bCs w:val="false"/>
          <w:i w:val="false"/>
          <w:iCs w:val="false"/>
          <w:color w:val="000000"/>
          <w:sz w:val="24"/>
          <w:szCs w:val="24"/>
        </w:rPr>
        <w:t xml:space="preserve">Sequencing principle: visibility before consolidation, consolidation before intelligence. Each phase leaves the pipeline in a deployable state, and none requires a freeze of business-as-usual uploads. The phase estimates assume the current team's availability and should be re-planned after Phase 0, when the corrected documentation and the cleaned register provide firmer sizing.</w:t>
      </w:r>
    </w:p>
    <w:p>
      <w:pPr>
        <w:pStyle w:val="Heading1"/>
        <w:spacing w:after="160" w:before="360" w:line="312"/>
      </w:pPr>
      <w:bookmarkStart w:id="100101" w:name="_Toc100101"/>
      <w:r>
        <w:rPr>
          <w:rFonts w:ascii="Times New Roman" w:eastAsia="Times New Roman"/>
          <w:b/>
          <w:bCs/>
          <w:color w:val="16324A"/>
          <w:sz w:val="32"/>
          <w:szCs w:val="32"/>
        </w:rPr>
        <w:t xml:space="preserve">Appendix A. Brand, S3 Folder and Handler Matrix</w:t>
      </w:r>
      <w:bookmarkEnd w:id="100101"/>
    </w:p>
    <w:p>
      <w:pPr>
        <w:keepNext w:val="false"/>
        <w:spacing w:after="120" w:line="312"/>
        <w:jc w:val="both"/>
      </w:pPr>
      <w:r>
        <w:rPr>
          <w:rFonts w:ascii="Times New Roman" w:eastAsia="Times New Roman"/>
          <w:b w:val="false"/>
          <w:bCs w:val="false"/>
          <w:i w:val="false"/>
          <w:iCs w:val="false"/>
          <w:color w:val="000000"/>
          <w:sz w:val="24"/>
          <w:szCs w:val="24"/>
        </w:rPr>
        <w:t xml:space="preserve">The authoritative mapping between the portal's brand folder names (principals), the Python packages and the router registry. The package column reflects Python identifier rules (no leading digits), which is why 2xu maps to twoxu and new-balance to new_balance.</w:t>
      </w:r>
    </w:p>
    <w:p>
      <w:pPr>
        <w:keepNext/>
        <w:spacing w:after="80" w:before="160" w:line="312"/>
        <w:jc w:val="left"/>
      </w:pPr>
      <w:r>
        <w:rPr>
          <w:rFonts w:ascii="Times New Roman" w:eastAsia="Times New Roman"/>
          <w:b/>
          <w:bCs/>
          <w:color w:val="16324A"/>
          <w:sz w:val="21"/>
          <w:szCs w:val="21"/>
        </w:rPr>
        <w:t xml:space="preserve">Table A-1 - Router registry (BRAND_ROUTER, 27 entries)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S3 principal (folder)</w:t>
            </w:r>
          </w:p>
        </w:tc>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Handler package</w:t>
            </w:r>
          </w:p>
        </w:tc>
        <w:tc>
          <w:tcPr>
            <w:tcW w:type="pct" w:w="3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Router comment</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backlog, tdd, dtb paths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new-balance</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new_balance.lambda_function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unified handler, 8 sub-flows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smiggle</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smiggle.lambda_function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 packing / ecommerce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aldo</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aldo.lambda_function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handler partly commented (KI-04)</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diadora</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diadora.lambda_function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pricelist only</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crocs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crocs.lambda_function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forms, shipment, barcodes</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2xu</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twoxu.lambda_function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folder named twoxu (identifier rule)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lotto</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lotto.lambda_function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 / fob / recap / pricelist</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onr</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onr.lambda_function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 Running: taf, planet sport</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nike</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nike.lambda_function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SP27 MAA linelist, 360, order confirm</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dr-martens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dr_marten.lambda_function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retail price master</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staccato</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staccato.lambda_function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birkenstock</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birkenstock.lambda_function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OFS FC Mitra, mapping engine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pazzion</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pazzion.lambda_function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 barcode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clarks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clarks.lambda_function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forms, ean source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steve-madden</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steve_madden.lambda_function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footwear / handbag PO</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asics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asics.lambda_function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footwear, app/acc, ean</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ptp</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PTP.lambda_function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folder upper case; fob order form</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implus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implus.lambda_function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multi-source linelist, ean update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astec</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astec.lambda_function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airwalk</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airwalk.lambda_function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ellesse</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ellesse.lambda_function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 reference flow</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k-swiss</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k_swiss.lambda_function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 global line order form</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reebok</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reebok.lambda_function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article masters, ean, recap</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anta</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anta.lambda_function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mapping-driven reference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new-era</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new_era.lambda_function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forms, delivery schedule</w:t>
            </w:r>
          </w:p>
        </w:tc>
      </w:tr>
      <w:tr>
        <w:trPr>
          <w:cantSplit/>
        </w:trPr>
        <w:tc>
          <w:tcPr>
            <w:tcW w:type="pct" w:w="30%"/>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anta-1</w:t>
            </w:r>
          </w:p>
        </w:tc>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anta_1.lambda_function</w:t>
            </w:r>
          </w:p>
        </w:tc>
        <w:tc>
          <w:tcPr>
            <w:tcW w:type="pct" w:w="3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second ANTA registration</w:t>
            </w:r>
          </w:p>
        </w:tc>
      </w:tr>
    </w:tbl>
    <w:p>
      <w:pPr>
        <w:spacing w:after="140" w:line="240"/>
      </w:pPr>
      <w:r>
        <w:rPr>
          <w:sz w:val="2"/>
          <w:szCs w:val="2"/>
        </w:rPr>
        <w:t xml:space="preserve"> </w:t>
      </w:r>
    </w:p>
    <w:p>
      <w:pPr>
        <w:pStyle w:val="Heading1"/>
        <w:spacing w:after="160" w:before="360" w:line="312"/>
      </w:pPr>
      <w:bookmarkStart w:id="100102" w:name="_Toc100102"/>
      <w:r>
        <w:rPr>
          <w:rFonts w:ascii="Times New Roman" w:eastAsia="Times New Roman"/>
          <w:b/>
          <w:bCs/>
          <w:color w:val="16324A"/>
          <w:sz w:val="32"/>
          <w:szCs w:val="32"/>
        </w:rPr>
        <w:t xml:space="preserve">Appendix B. File-Type Keyword Reference (Selected Brands)</w:t>
      </w:r>
      <w:bookmarkEnd w:id="100102"/>
    </w:p>
    <w:p>
      <w:pPr>
        <w:keepNext w:val="false"/>
        <w:spacing w:after="120" w:line="312"/>
        <w:jc w:val="both"/>
      </w:pPr>
      <w:r>
        <w:rPr>
          <w:rFonts w:ascii="Times New Roman" w:eastAsia="Times New Roman"/>
          <w:b w:val="false"/>
          <w:bCs w:val="false"/>
          <w:i w:val="false"/>
          <w:iCs w:val="false"/>
          <w:color w:val="000000"/>
          <w:sz w:val="24"/>
          <w:szCs w:val="24"/>
        </w:rPr>
        <w:t xml:space="preserve">Keyword classification is case-insensitive substring matching where the first match wins, so detection order is part of the contract. The table lists the keyword sets that are stable in the code; treat it as representative rather than exhaustive, and always confirm against the brand package before relying on it. New keywords are behaviour changes (README, Section 11).</w:t>
      </w:r>
    </w:p>
    <w:p>
      <w:pPr>
        <w:keepNext/>
        <w:spacing w:after="80" w:before="160" w:line="312"/>
        <w:jc w:val="left"/>
      </w:pPr>
      <w:r>
        <w:rPr>
          <w:rFonts w:ascii="Times New Roman" w:eastAsia="Times New Roman"/>
          <w:b/>
          <w:bCs/>
          <w:color w:val="16324A"/>
          <w:sz w:val="21"/>
          <w:szCs w:val="21"/>
        </w:rPr>
        <w:t xml:space="preserve">Table B-1 - Selected keyword dictionaries</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Brand</w:t>
            </w:r>
          </w:p>
        </w:tc>
        <w:tc>
          <w:tcPr>
            <w:tcW w:type="pct" w:w="78%"/>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Detected types and notable keywords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backlog; tdd; dtb; mdd; attributes; naming; plus shared/licensed keyword extras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new-balance</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Detection order: linelist_footwear, linelist_apparel, ecommerce_licensed, ecommerce_inline, ecommerce (generic), ordersheet_licensed, linelist_licensed, then shared support types (mdd, attributes, naming); separate ean_source handling</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smiggle</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with extra keywords catalogue, catalog, mapi, wholesale, handover; packing; ecommerce</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diadora</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pricelist (keywords: pricelist, price list, price_list)</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onr</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taf_ss26; linelist_planet_sport; linelist_footwear_taf; packaging_list_planet_sport</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nike</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variant chain (SP27 MAA linelist, 360 linelist, rookie), orderConfirmation, ean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ellesse / recap family</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 (matched by Recap Sample); the same engine is cloned for lotto, k_swiss, airwalk, astec</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birkenstock</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OFS_FC_Mitra_ss27 (matches ofs-fc-pt-mitra routing rule); separate ecom mappings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2xu</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linelist; product bible; order confirmation</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crocs / implus / PTP</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order forms (multiple), shipment confirmation, order confirmation, barcode/ean outputs</w:t>
            </w:r>
          </w:p>
        </w:tc>
      </w:tr>
    </w:tbl>
    <w:p>
      <w:pPr>
        <w:spacing w:after="140" w:line="240"/>
      </w:pPr>
      <w:r>
        <w:rPr>
          <w:sz w:val="2"/>
          <w:szCs w:val="2"/>
        </w:rPr>
        <w:t xml:space="preserve"> </w:t>
      </w:r>
    </w:p>
    <w:p>
      <w:pPr>
        <w:pStyle w:val="Heading1"/>
        <w:spacing w:after="160" w:before="360" w:line="312"/>
      </w:pPr>
      <w:bookmarkStart w:id="100103" w:name="_Toc100103"/>
      <w:r>
        <w:rPr>
          <w:rFonts w:ascii="Times New Roman" w:eastAsia="Times New Roman"/>
          <w:b/>
          <w:bCs/>
          <w:color w:val="16324A"/>
          <w:sz w:val="32"/>
          <w:szCs w:val="32"/>
        </w:rPr>
        <w:t xml:space="preserve">Appendix C. LOV Catalogue Summary</w:t>
      </w:r>
      <w:bookmarkEnd w:id="100103"/>
    </w:p>
    <w:p>
      <w:pPr>
        <w:keepNext w:val="false"/>
        <w:spacing w:after="120" w:line="312"/>
        <w:jc w:val="both"/>
      </w:pPr>
      <w:r>
        <w:rPr>
          <w:rFonts w:ascii="Times New Roman" w:eastAsia="Times New Roman"/>
          <w:b w:val="false"/>
          <w:bCs w:val="false"/>
          <w:i w:val="false"/>
          <w:iCs w:val="false"/>
          <w:color w:val="000000"/>
          <w:sz w:val="24"/>
          <w:szCs w:val="24"/>
        </w:rPr>
        <w:t xml:space="preserve">Complete sheet list of the Master Data Dictionary LOV section with measured row counts. Column conventions vary per sheet (Section 8.2); the loaders consume display/ID pairs from column A/B unless the sheet has its documented multi-column schema.</w:t>
      </w:r>
    </w:p>
    <w:p>
      <w:pPr>
        <w:keepNext/>
        <w:spacing w:after="80" w:before="160" w:line="312"/>
        <w:jc w:val="left"/>
      </w:pPr>
      <w:r>
        <w:rPr>
          <w:rFonts w:ascii="Times New Roman" w:eastAsia="Times New Roman"/>
          <w:b/>
          <w:bCs/>
          <w:color w:val="16324A"/>
          <w:sz w:val="21"/>
          <w:szCs w:val="21"/>
        </w:rPr>
        <w:t xml:space="preserve">Table C-1 - LOV sheets (64 total, grouped; counts measured September 2026)</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Group</w:t>
            </w:r>
          </w:p>
        </w:tc>
        <w:tc>
          <w:tcPr>
            <w:tcW w:type="pct" w:w="78%"/>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Sheets (rows)</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Organisational</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Company Code LOV (45); SBU LOV (37); Company LOV (37); Brand LOV (38); Brand Group (301); Brand Type LOV (9); Brand Status LOV (9); Brand Category LOV (50)</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Commerce / channel</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Ecomm Concept LOV (46); Ecomm Sales Channel LOV (228); Channel Category LOV (8); Channel Allocation LOV (25); Pricing Distribution Channel LO (37); Price Range LOV (37); Retail Price Currency LOV (183); SAP Product Flag LOV (6)</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Product classification</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Gender LOV (9); Age LOV (9); Material LOV (104); Material-Upper LOV (104); Standardized Color LOV (104); Color Code LOV (222); PatternPrint LOV (33); Style Type LOV (12); Style LOV (83); Silhouette LOV (79); Fastening LOV (61); Heel Type LOV (20); Heel Height LOV (9); Width LOV (9); Fit LOV (9); Ocassion LOV (9); Fabric LOV (15); Content LOV (12); Article Category LOV (104); Sports Category LOV (104); SAP Article Type LOV (104); BY Article Type (104); Nature of Article LOV (104); Franchise LOV (1,918)</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Sizes and geography</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Size Code LOV (5,062); Country Size LOV (104); Country Origin LOV (239); Country LOV (9)</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SIS cross-reference</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SIS Gender &amp; Age Mapping (113); SIS Brand Mapping (124); SIS CDS &amp; CRC Group Size (124); SIS CDS &amp; CRC Group Color Descr (124); SIS SM Class Code (390); SIS SM Color Description LOV (104)</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Assortment &amp; vendor</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Vendor LOV (32,664); MB Assortment Code LOV (804); MB Components Qty (37); UOM LOV (37)</w:t>
            </w:r>
          </w:p>
        </w:tc>
      </w:tr>
      <w:tr>
        <w:trPr>
          <w:cantSplit/>
        </w:trPr>
        <w:tc>
          <w:tcPr>
            <w:tcW w:type="pct" w:w="2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Other</w:t>
            </w:r>
          </w:p>
        </w:tc>
        <w:tc>
          <w:tcPr>
            <w:tcW w:type="pct" w:w="7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Images Source LOV (104); Gender Size Chart LOV (104); E-com Ages Category LOV (104); Season LOV (9); Interest LOV (89); Golf Club Loft/Flex/Length (24/9/9); Simple LOVs (9)</w:t>
            </w:r>
          </w:p>
        </w:tc>
      </w:tr>
    </w:tbl>
    <w:p>
      <w:pPr>
        <w:spacing w:after="140" w:line="240"/>
      </w:pPr>
      <w:r>
        <w:rPr>
          <w:sz w:val="2"/>
          <w:szCs w:val="2"/>
        </w:rPr>
        <w:t xml:space="preserve"> </w:t>
      </w:r>
    </w:p>
    <w:p>
      <w:pPr>
        <w:pStyle w:val="Heading1"/>
        <w:spacing w:after="160" w:before="360" w:line="312"/>
      </w:pPr>
      <w:bookmarkStart w:id="100104" w:name="_Toc100104"/>
      <w:r>
        <w:rPr>
          <w:rFonts w:ascii="Times New Roman" w:eastAsia="Times New Roman"/>
          <w:b/>
          <w:bCs/>
          <w:color w:val="16324A"/>
          <w:sz w:val="32"/>
          <w:szCs w:val="32"/>
        </w:rPr>
        <w:t xml:space="preserve">Appendix D. Environment Variable Reference</w:t>
      </w:r>
      <w:bookmarkEnd w:id="100104"/>
    </w:p>
    <w:p>
      <w:pPr>
        <w:keepNext w:val="false"/>
        <w:spacing w:after="120" w:line="312"/>
        <w:jc w:val="both"/>
      </w:pPr>
      <w:r>
        <w:rPr>
          <w:rFonts w:ascii="Times New Roman" w:eastAsia="Times New Roman"/>
          <w:b w:val="false"/>
          <w:bCs w:val="false"/>
          <w:i w:val="false"/>
          <w:iCs w:val="false"/>
          <w:color w:val="000000"/>
          <w:sz w:val="24"/>
          <w:szCs w:val="24"/>
        </w:rPr>
        <w:t xml:space="preserve">Complete configuration contract of both lambdas. Required variables fail fast when missing; the delivery lambda raises an EnvironmentError naming the variable, the transform lambda relies on the AWS execution environment plus explicit configuration.</w:t>
      </w:r>
    </w:p>
    <w:p>
      <w:pPr>
        <w:keepNext/>
        <w:spacing w:after="80" w:before="160" w:line="312"/>
        <w:jc w:val="left"/>
      </w:pPr>
      <w:r>
        <w:rPr>
          <w:rFonts w:ascii="Times New Roman" w:eastAsia="Times New Roman"/>
          <w:b/>
          <w:bCs/>
          <w:color w:val="16324A"/>
          <w:sz w:val="21"/>
          <w:szCs w:val="21"/>
        </w:rPr>
        <w:t xml:space="preserve">Table D-1 - Environment variables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Variable</w:t>
            </w:r>
          </w:p>
        </w:tc>
        <w:tc>
          <w:tcPr>
            <w:tcW w:type="pct" w:w="1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Lambda</w:t>
            </w:r>
          </w:p>
        </w:tc>
        <w:tc>
          <w:tcPr>
            <w:tcW w:type="pct" w:w="12%"/>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Required</w:t>
            </w:r>
          </w:p>
        </w:tc>
        <w:tc>
          <w:tcPr>
            <w:tcW w:type="pct" w:w="38%"/>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Purpose / default</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RAW_BUCKET</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transform</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Source metadata bucket; also the audit-log sink</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PROCESSED_BUCKET</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transform</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Destination bucket for generated STEPXML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COMP_CODE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transform</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Company-code fallback in some brand flows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LAMBDA_TMP_DIR</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transform (set at runtime)</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Per-brand temp workspace root; must be set before ETL imports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AWS_LAMBDA_FUNCTION_NAME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both (AWS-provided)</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Auto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Read by AuditLogger.flush for audit metadata</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STIBO_TOKEN_URL</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OIDC token endpoint URL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STIBO_CLIENT_ID</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OIDC client ID</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STIBO_CLIENT_SECRET</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OIDC client secret - source from AWS Secrets Manager</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STIBO_GRANT_TYPE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Default client_credentials</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STIBO_INBOUND_URL_ARTICLE_PLANNING</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IIEP_ArticlePlanning upload-direct URL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STIBO_INBOUND_URL_EAN_UPDATE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IIEP_EANUpdate upload-direct URL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STIBO_INBOUND_URL_ARTICLE_MAINTENANCE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Yes</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IIEP_ArticleMaintenance upload-direct URL</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STIBO_CONTEXT</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Context query parameter; default Context1</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STIBO_WORKSPACE</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Workspace query parameter; default Main</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STIBO_MAX_RETRIES</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Upload retry attempts; default 3</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STIBO_RETRY_BACKOFF</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Backoff base seconds (exponential); default 2</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STIBO_TOKEN_LEEWAY</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Seconds before expiry to refresh the token; default 30</w:t>
            </w:r>
          </w:p>
        </w:tc>
      </w:tr>
      <w:tr>
        <w:trPr>
          <w:cantSplit/>
        </w:trPr>
        <w:tc>
          <w:tcPr>
            <w:tcW w:type="pct" w:w="3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STIBO_DRY_RUN</w:t>
            </w:r>
          </w:p>
        </w:tc>
        <w:tc>
          <w:tcPr>
            <w:tcW w:type="pct" w:w="1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w:t>
            </w:r>
          </w:p>
        </w:tc>
        <w:tc>
          <w:tcPr>
            <w:tcW w:type="pct" w:w="12%"/>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No</w:t>
            </w:r>
          </w:p>
        </w:tc>
        <w:tc>
          <w:tcPr>
            <w:tcW w:type="pct" w:w="3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1/true/yes: validate token and routing, skip the POST</w:t>
            </w:r>
          </w:p>
        </w:tc>
      </w:tr>
    </w:tbl>
    <w:p>
      <w:pPr>
        <w:spacing w:after="140" w:line="240"/>
      </w:pPr>
      <w:r>
        <w:rPr>
          <w:sz w:val="2"/>
          <w:szCs w:val="2"/>
        </w:rPr>
        <w:t xml:space="preserve"> </w:t>
      </w:r>
    </w:p>
    <w:p>
      <w:pPr>
        <w:pStyle w:val="Heading1"/>
        <w:spacing w:after="160" w:before="360" w:line="312"/>
      </w:pPr>
      <w:bookmarkStart w:id="100105" w:name="_Toc100105"/>
      <w:r>
        <w:rPr>
          <w:rFonts w:ascii="Times New Roman" w:eastAsia="Times New Roman"/>
          <w:b/>
          <w:bCs/>
          <w:color w:val="16324A"/>
          <w:sz w:val="32"/>
          <w:szCs w:val="32"/>
        </w:rPr>
        <w:t xml:space="preserve">Appendix E. Glossary</w:t>
      </w:r>
      <w:bookmarkEnd w:id="100105"/>
    </w:p>
    <w:p>
      <w:pPr>
        <w:keepNext w:val="false"/>
        <w:spacing w:after="120" w:line="312"/>
        <w:jc w:val="both"/>
      </w:pPr>
      <w:r>
        <w:rPr>
          <w:rFonts w:ascii="Times New Roman" w:eastAsia="Times New Roman"/>
          <w:b w:val="false"/>
          <w:bCs w:val="false"/>
          <w:i w:val="false"/>
          <w:iCs w:val="false"/>
          <w:color w:val="000000"/>
          <w:sz w:val="24"/>
          <w:szCs w:val="24"/>
        </w:rPr>
        <w:t xml:space="preserve">Terms as used in this document and in the team's working material. Where a term has a brand-specific meaning in Stibo STEP, the Stibo meaning is given.</w:t>
      </w:r>
    </w:p>
    <w:p>
      <w:pPr>
        <w:keepNext/>
        <w:spacing w:after="80" w:before="160" w:line="312"/>
        <w:jc w:val="left"/>
      </w:pPr>
      <w:r>
        <w:rPr>
          <w:rFonts w:ascii="Times New Roman" w:eastAsia="Times New Roman"/>
          <w:b/>
          <w:bCs/>
          <w:color w:val="16324A"/>
          <w:sz w:val="21"/>
          <w:szCs w:val="21"/>
        </w:rPr>
        <w:t xml:space="preserve">Table E-1 - Glossary</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Term</w:t>
            </w:r>
          </w:p>
        </w:tc>
        <w:tc>
          <w:tcPr>
            <w:tcW w:type="pct" w:w="74%"/>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Definition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AT_ ID</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 attribute identifier prefix (e.g. AT_Color) used in STEPXML Value elements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bgId</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Background-process identifier returned by the IIEP upload; stored in receipt JSON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BGP</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Background Process - STEP's asynchronous unit of work that imports an uploaded file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BLANK_IDS</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Delivery option that empties CLH_ classification IDs so STEP matches by name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Brand code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Short code for a brand (e.g. ELL for Ellesse) used in codes and classifications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BY</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Mapped retail brand family dimension (BY codes: MAA_CH/FF/SD/SP/PY/GO, FTL_SP/FF)</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CLH_</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Classification ID prefix in generated STEPXML (brand batches and season nodes)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Center of Excellence - team curating mapping, MDD and naming conventions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Company code (compcode)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SAP legal-entity code; 0888 = PT. MAP Aktif Adiperkasa Tbk</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DC_Barcode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STEP data-container type carrying barcode attributes on variants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Direct from Principal</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Mapping type: value copied straight from a source column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DTB</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 detail file family (routed to Article Maintenance)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EAN</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European Article Number; barcode delivered via EAN Update flows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ETL</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Extract-Transform-Load; here the brand-specific Excel-to-STEPXML modules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Fan-out</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Router behaviour re-running all brands when a global file changes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Generic article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Style/colour level product (PRD_GenericArticle) holding variants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Inbound Integration End Point - STEP's configured inbound file receiver</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Inline / Licensed</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Business model of the brand assortment (own line vs licensed distribution)</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KeyValue / KEY_InboundArticle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STEP unique-key mechanism carrying the inbound article identity</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Lambda</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AWS Lambda function; two exist: validate-transform and send-to-step</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LOV</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List of Values - validated value list in STEP (e.g. Brand, Season, Color Code)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MAA</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The organisation's sports business unit family (e.g. MAA Sport, SBU code SP)</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 Portal</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Internal web application for controlled uploads with standardised naming</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MD mapping</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Value-translation table: raw source value to Stibo display value to LOV ID</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MDD</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Master Data Dictionary - attribute catalogue plus LOV workbook</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Mono / Multi</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Single-brand versus multi-brand batch indicator in file names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OOR</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Open Order Report (Aldo) - routed to EAN Update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PRD_GenericArticle / PRD_SingleArticle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STEP product types used for style/colour level and single-level articles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Principal</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Brand supplier; in code, the S3 folder name under raw/metadata/</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Recap Sample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Business file type summarising style/colour per season (Article Planning)</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RNA</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Reference lookup sheet: country/company/SBU/brand master data</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SBU</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Strategic Business Unit (e.g. MAA Sport = SP)</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Season code</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Two-to-four letter season marker (SP, FW, SS27, SP2027...)</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SIS</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Legacy system cross-reference tables in the MDD (gender/age/brand/class codes)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STEPXML</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Stibo STEP's native XML import/export format, conforming to PIM.XSD</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TAF</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ON Running test-and-feedback file family (routed to EAN Update)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TDD</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Adidas top-down detail file family (routed to Article Maintenance)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upload-direct</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 REST Direct Receiver operation: POST file bytes with fileName/context/workspace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Variant</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Size-level product (PRD_VariantArticle) nested under its generic article</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Workspace / Context</w:t>
            </w:r>
          </w:p>
        </w:tc>
        <w:tc>
          <w:tcPr>
            <w:tcW w:type="pct" w:w="74%"/>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STEP import targeting parameters (Main / Context1); required, no effect on this receiver</w:t>
            </w:r>
          </w:p>
        </w:tc>
      </w:tr>
    </w:tbl>
    <w:p>
      <w:pPr>
        <w:spacing w:after="140" w:line="240"/>
      </w:pPr>
      <w:r>
        <w:rPr>
          <w:sz w:val="2"/>
          <w:szCs w:val="2"/>
        </w:rPr>
        <w:t xml:space="preserve"> </w:t>
      </w:r>
    </w:p>
    <w:p>
      <w:pPr>
        <w:pStyle w:val="Heading1"/>
        <w:spacing w:after="160" w:before="360" w:line="312"/>
      </w:pPr>
      <w:bookmarkStart w:id="100106" w:name="_Toc100106"/>
      <w:r>
        <w:rPr>
          <w:rFonts w:ascii="Times New Roman" w:eastAsia="Times New Roman"/>
          <w:b/>
          <w:bCs/>
          <w:color w:val="16324A"/>
          <w:sz w:val="32"/>
          <w:szCs w:val="32"/>
        </w:rPr>
        <w:t xml:space="preserve">Appendix F. Source Artifacts Analysed</w:t>
      </w:r>
      <w:bookmarkEnd w:id="100106"/>
    </w:p>
    <w:p>
      <w:pPr>
        <w:keepNext w:val="false"/>
        <w:spacing w:after="120" w:line="312"/>
        <w:jc w:val="both"/>
      </w:pPr>
      <w:r>
        <w:rPr>
          <w:rFonts w:ascii="Times New Roman" w:eastAsia="Times New Roman"/>
          <w:b w:val="false"/>
          <w:bCs w:val="false"/>
          <w:i w:val="false"/>
          <w:iCs w:val="false"/>
          <w:color w:val="000000"/>
          <w:sz w:val="24"/>
          <w:szCs w:val="24"/>
        </w:rPr>
        <w:t xml:space="preserve">All findings in this document derive from the artefacts below, analysed between 6 and 7 September 2026. Extraction scripts and intermediate analysis outputs are preserved alongside the artefacts so every number in this document can be reproduced.</w:t>
      </w:r>
    </w:p>
    <w:p>
      <w:pPr>
        <w:keepNext/>
        <w:spacing w:after="80" w:before="160" w:line="312"/>
        <w:jc w:val="left"/>
      </w:pPr>
      <w:r>
        <w:rPr>
          <w:rFonts w:ascii="Times New Roman" w:eastAsia="Times New Roman"/>
          <w:b/>
          <w:bCs/>
          <w:color w:val="16324A"/>
          <w:sz w:val="21"/>
          <w:szCs w:val="21"/>
        </w:rPr>
        <w:t xml:space="preserve">Table F-1 - Analysed artefacts</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Artefact</w:t>
            </w:r>
          </w:p>
        </w:tc>
        <w:tc>
          <w:tcPr>
            <w:tcW w:type="pct" w:w="26%"/>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Size / scope</w:t>
            </w:r>
          </w:p>
        </w:tc>
        <w:tc>
          <w:tcPr>
            <w:tcW w:type="pct" w:w="48%"/>
            <w:shd w:fill="1B6B7A" w:val="clear"/>
            <w:tcMar>
              <w:top w:type="dxa" w:w="60"/>
              <w:left w:type="dxa" w:w="120"/>
              <w:bottom w:type="dxa" w:w="60"/>
              <w:right w:type="dxa" w:w="120"/>
            </w:tcMar>
          </w:tcPr>
          <w:p>
            <w:pPr>
              <w:spacing w:line="276"/>
              <w:jc w:val="left"/>
            </w:pPr>
            <w:r>
              <w:rPr>
                <w:rFonts w:ascii="Times New Roman" w:eastAsia="Times New Roman"/>
                <w:b/>
                <w:bCs/>
                <w:color w:val="FFFFFF"/>
                <w:sz w:val="18"/>
                <w:szCs w:val="18"/>
              </w:rPr>
              <w:t xml:space="preserve">What was extracted</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map-stibo-inbound-validate-transform-dev.zip</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121,836 lines of Python, 27 brand packages + router + audit + metadata helpers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Routing logic, handler skeletons, ETL generations, loader duplication counts, validation behaviour, performance patterns, defect evidence (sys.exit, tmp collisions, dead audit calls)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map-stibo-inbound-send-to-step-dev.zip</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599 lines, single module (v2.3)</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OIDC flow, upload-direct call, routing table, retry policy, receipts, blank_ids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NEW - Brand mapping files Template.xlsx</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58 sheets; 29 brand tabs x 234 rows; 15 MD-mapping tabs; hidden MDD (167 attrs); RNA tab (2,364 rows)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Column semantics, mapping-type taxonomy and variants, rule archetypes with verbatim text, applicability letters, value-pair counts, data gaps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Master Data Dictionary (MAA).xlsx</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87 sheets; Core Attributes 401 rows x 40 cols; 64 LOV sheets (~43,352 entries)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Attribute metadata schema, cardinality and type distributions, LOV inventory with counts, validation base types, business rules sheet</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Brand Input files &amp; Naming convention.xlsx</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2 sheets (COE Question; Stibo 89x59)</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Naming proposal vs practice, brand/file-type matrix, open COE questions</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0888-SP-ELLESSE-Recap Sample MAA Sport Licensed-Multi-SP2027-ID-1.xlsx</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39.8 MB; 9 sheets (ELL, Mapping, MAPPING GEN ART, hidden data sheets)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Real input layout: header conventions, 2nd-ingestion columns, granularity (row per style+colour), naming cross-check</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Vendor documentation (doc.stibosystems.com, release notes 2025.x-2026.x)</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~30 targeted retrievals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IIEP REST Direct semantics, REST API v2 model endpoints (2026.1), monitoring APIs, BGP attachments, event OIEPs, SaaS/AI roadmap items cited in Chapters 10 and 16</w:t>
            </w:r>
          </w:p>
        </w:tc>
      </w:tr>
      <w:tr>
        <w:trPr>
          <w:cantSplit/>
        </w:trPr>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Team explanations (interview-style)</w:t>
            </w:r>
          </w:p>
        </w:tc>
        <w:tc>
          <w:tcPr>
            <w:tcW w:type="pct" w:w="26%"/>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MAP Portal description; user groups; Stibo access via environment variables</w:t>
            </w:r>
          </w:p>
        </w:tc>
        <w:tc>
          <w:tcPr>
            <w:tcW w:type="pct" w:w="48%"/>
            <w:tcMar>
              <w:top w:type="dxa" w:w="60"/>
              <w:left w:type="dxa" w:w="120"/>
              <w:bottom w:type="dxa" w:w="60"/>
              <w:right w:type="dxa" w:w="120"/>
            </w:tcMar>
          </w:tcPr>
          <w:p>
            <w:pPr>
              <w:spacing w:line="276"/>
              <w:jc w:val="left"/>
            </w:pPr>
            <w:r>
              <w:rPr>
                <w:rFonts w:ascii="Times New Roman" w:eastAsia="Times New Roman"/>
                <w:b w:val="false"/>
                <w:bCs w:val="false"/>
                <w:color w:val="000000"/>
                <w:sz w:val="18"/>
                <w:szCs w:val="18"/>
              </w:rPr>
              <w:t xml:space="preserve">Portal dropdown contract, upload workflow, role model - marked as assumptions where uncorroborated</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center"/>
    </w:pPr>
    <w:r>
      <w:rPr>
        <w:rFonts w:ascii="Times New Roman" w:eastAsia="Times New Roman"/>
        <w:color w:val="888888"/>
        <w:sz w:val="18"/>
        <w:szCs w:val="18"/>
      </w:rPr>
      <w:t xml:space="preserve">MAP-Stibo Master Data Integration Platform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16324A"/>
      <w:sz w:val="32"/>
      <w:szCs w:val="32"/>
    </w:rPr>
  </w:style>
  <w:style w:type="paragraph" w:styleId="Heading2">
    <w:name w:val="Heading 2"/>
    <w:basedOn w:val="Normal"/>
    <w:next w:val="Normal"/>
    <w:qFormat/>
    <w:pPr>
      <w:spacing w:after="120" w:before="260" w:line="312"/>
      <w:outlineLvl w:val="1"/>
    </w:pPr>
    <w:rPr>
      <w:rFonts w:ascii="Times New Roman" w:eastAsia="Times New Roman"/>
      <w:b/>
      <w:bCs/>
      <w:color w:val="16324A"/>
      <w:sz w:val="28"/>
      <w:szCs w:val="28"/>
    </w:rPr>
  </w:style>
  <w:style w:type="paragraph" w:styleId="Heading3">
    <w:name w:val="Heading 3"/>
    <w:basedOn w:val="Normal"/>
    <w:next w:val="Normal"/>
    <w:qFormat/>
    <w:pPr>
      <w:spacing w:after="100" w:before="200" w:line="312"/>
      <w:outlineLvl w:val="2"/>
    </w:pPr>
    <w:rPr>
      <w:rFonts w:ascii="Times New Roman" w:eastAsia="Times New Roman"/>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17da982b9f47819cd116e6b980c71db494b2ef8e.png"/><Relationship Id="rId11" Type="http://schemas.openxmlformats.org/officeDocument/2006/relationships/image" Target="media/fab16cf995d27bfe83af8ead5d639cb9f2f8eb1c.png"/><Relationship Id="rId12" Type="http://schemas.openxmlformats.org/officeDocument/2006/relationships/image" Target="media/46b73606cec0b6e64a091e6156ff6d3be01f7ffb.png"/><Relationship Id="rId13" Type="http://schemas.openxmlformats.org/officeDocument/2006/relationships/image" Target="media/9ff11d6d6618f2c1a98cde2712d0e6708fa3161d.png"/><Relationship Id="rId14" Type="http://schemas.openxmlformats.org/officeDocument/2006/relationships/image" Target="media/3e42441dcc336ed93d51f1f3c35c9a5444cb4f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MAP-Stibo Master Data Integration Platform - System Documentation</dc:title>
  <dc:creator>Integration Engineering</dc:creator>
  <dc:description>Current-state technical documentation of the MAP Portal, AWS integration pipeline and Stibo STEP inbound integration</dc:description>
  <cp:lastModifiedBy>Un-named</cp:lastModifiedBy>
  <cp:revision>1</cp:revision>
  <dcterms:created xsi:type="dcterms:W3CDTF">2026-09-07T23:50:15.264Z</dcterms:created>
  <dcterms:modified xsi:type="dcterms:W3CDTF">2026-09-07T23:50:15.264Z</dcterms:modified>
</cp:coreProperties>
</file>

<file path=docProps/custom.xml><?xml version="1.0" encoding="utf-8"?>
<Properties xmlns="http://schemas.openxmlformats.org/officeDocument/2006/custom-properties" xmlns:vt="http://schemas.openxmlformats.org/officeDocument/2006/docPropsVTypes"/>
</file>