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NetGuard AI: Lightweight Machine Learning-Based Network Anomaly Detection and Risk Monitoring Dashboard</w:t>
      </w:r>
    </w:p>
    <w:p>
      <w:pPr>
        <w:jc w:val="center"/>
      </w:pPr>
      <w:r>
        <w:rPr>
          <w:rFonts w:ascii="Times New Roman" w:hAnsi="Times New Roman"/>
          <w:sz w:val="20"/>
        </w:rPr>
        <w:t>Achmad Maulana</w:t>
        <w:br/>
        <w:t>241730016</w:t>
        <w:br/>
        <w:t>Program Studi Informatika, Fakultas Sains dan Teknologi, Universitas Islam Negeri Sultan Maulana Hasanuddin Banten</w:t>
        <w:br/>
        <w:t>Banten, Indonesia</w:t>
        <w:br/>
        <w:t>2026</w:t>
      </w:r>
    </w:p>
    <w:p>
      <w:pPr>
        <w:jc w:val="both"/>
      </w:pPr>
      <w:r>
        <w:rPr>
          <w:b/>
        </w:rPr>
        <w:t>Abstract—</w:t>
      </w:r>
      <w:r>
        <w:t>Network administrators in educational environments often have limited infrastructure for detecting abnormal traffic patterns. This study proposes NetGuard AI, a low-budget machine learning system for detecting network anomalies and presenting risk information through a lightweight dashboard. A representative subset of the CICIDS2017 DDoS traffic file was used with 20,000 records sampled from real BENIGN and DDoS classes. After preprocessing and duplicate removal, 19,935 records were used for binary classification. Three baseline models were evaluated: Logistic Regression, Decision Tree, and Random Forest. The best model was Decision Tree, achieving accuracy 0.9992, precision 0.9995, recall 0.9990, and F1-score 0.9992. The system also exports metrics, prediction results, confusion matrix visualization, and a research dashboard that converts anomaly ratio into Low, Medium, or High risk categories. The contribution of this work is the integration of reproducible anomaly detection, model comparison, automated risk classification, and beginner-friendly deployment artifacts for educational network monitoring.</w:t>
      </w:r>
    </w:p>
    <w:p>
      <w:pPr>
        <w:jc w:val="both"/>
      </w:pPr>
      <w:r>
        <w:rPr>
          <w:b/>
        </w:rPr>
        <w:t>Keywords—</w:t>
      </w:r>
      <w:r>
        <w:t>network anomaly detection, CICIDS2017, machine learning, intrusion detection, Flask dashboard</w:t>
      </w:r>
    </w:p>
    <w:p>
      <w:pPr>
        <w:sectPr>
          <w:pgSz w:w="12240" w:h="15840"/>
          <w:pgMar w:top="1008" w:right="979" w:bottom="936" w:left="979" w:header="720" w:footer="720" w:gutter="0"/>
          <w:cols w:space="720"/>
          <w:docGrid w:linePitch="360"/>
        </w:sectPr>
      </w:pPr>
    </w:p>
    <w:p>
      <w:pPr>
        <w:jc w:val="left"/>
      </w:pPr>
      <w:r>
        <w:rPr>
          <w:rFonts w:ascii="Times New Roman" w:hAnsi="Times New Roman"/>
          <w:b/>
          <w:color w:val="000000"/>
          <w:sz w:val="20"/>
        </w:rPr>
        <w:t>I. INTRODUCTION</w:t>
      </w:r>
    </w:p>
    <w:p>
      <w:pPr>
        <w:spacing w:after="60"/>
        <w:ind w:firstLine="259"/>
        <w:jc w:val="both"/>
      </w:pPr>
      <w:r>
        <w:rPr>
          <w:rFonts w:ascii="Times New Roman" w:hAnsi="Times New Roman"/>
          <w:color w:val="000000"/>
          <w:sz w:val="18"/>
        </w:rPr>
        <w:t>The growth of digital services in schools, universities, and small organizations increases the need for practical network monitoring. However, many educational institutions do not have expensive security information and event management systems. Students with networking backgrounds also need a project that connects server infrastructure, traffic analysis, and artificial intelligence in a reproducible way.</w:t>
      </w:r>
    </w:p>
    <w:p>
      <w:pPr>
        <w:spacing w:after="60"/>
        <w:ind w:firstLine="259"/>
        <w:jc w:val="both"/>
      </w:pPr>
      <w:r>
        <w:rPr>
          <w:rFonts w:ascii="Times New Roman" w:hAnsi="Times New Roman"/>
          <w:color w:val="000000"/>
          <w:sz w:val="18"/>
        </w:rPr>
        <w:t>NetGuard AI addresses this need by combining public network traffic data, a simple preprocessing pipeline, supervised machine learning models, and a dashboard that converts prediction results into operational risk recommendations. The project is designed to run on a normal Windows laptop without paid APIs, GPU infrastructure, or commercial monitoring software.</w:t>
      </w:r>
    </w:p>
    <w:p>
      <w:pPr>
        <w:jc w:val="left"/>
      </w:pPr>
      <w:r>
        <w:rPr>
          <w:rFonts w:ascii="Times New Roman" w:hAnsi="Times New Roman"/>
          <w:b/>
          <w:color w:val="000000"/>
          <w:sz w:val="20"/>
        </w:rPr>
        <w:t>II. RELATED WORKS</w:t>
      </w:r>
    </w:p>
    <w:p>
      <w:pPr>
        <w:spacing w:after="60"/>
        <w:ind w:firstLine="259"/>
        <w:jc w:val="both"/>
      </w:pPr>
      <w:r>
        <w:rPr>
          <w:rFonts w:ascii="Times New Roman" w:hAnsi="Times New Roman"/>
          <w:color w:val="000000"/>
          <w:sz w:val="18"/>
        </w:rPr>
        <w:t>Recent studies on intrusion detection using CICIDS2017 report strong performance from both traditional machine learning and deep learning approaches. Benchmarking studies show that tree-based models often perform strongly on CICIDS2017 features, while dataset-quality studies warn that improper use of CICIDS2017 can produce overly optimistic conclusions. Other works explore hybrid deep learning, imbalance handling, adaptive learning, and feature importance analysis.</w:t>
      </w:r>
    </w:p>
    <w:p>
      <w:pPr>
        <w:spacing w:after="60"/>
        <w:ind w:firstLine="259"/>
        <w:jc w:val="both"/>
      </w:pPr>
      <w:r>
        <w:rPr>
          <w:rFonts w:ascii="Times New Roman" w:hAnsi="Times New Roman"/>
          <w:color w:val="000000"/>
          <w:sz w:val="18"/>
        </w:rPr>
        <w:t>The gap selected in this work is practical integration. Many studies emphasize model performance, but fewer provide a lightweight educational dashboard that presents model outputs, risk score, recommended action, and reproducible artifacts in a form suitable for beginner network administrators.</w:t>
      </w:r>
    </w:p>
    <w:p>
      <w:pPr>
        <w:jc w:val="left"/>
      </w:pPr>
      <w:r>
        <w:rPr>
          <w:rFonts w:ascii="Times New Roman" w:hAnsi="Times New Roman"/>
          <w:b/>
          <w:color w:val="000000"/>
          <w:sz w:val="20"/>
        </w:rPr>
        <w:t>III. PROPOSED METHOD</w:t>
      </w:r>
    </w:p>
    <w:p>
      <w:pPr>
        <w:spacing w:after="60"/>
        <w:ind w:firstLine="259"/>
        <w:jc w:val="both"/>
      </w:pPr>
      <w:r>
        <w:rPr>
          <w:rFonts w:ascii="Times New Roman" w:hAnsi="Times New Roman"/>
          <w:color w:val="000000"/>
          <w:sz w:val="18"/>
        </w:rPr>
        <w:t>The proposed method consists of five stages: dataset acquisition, preprocessing, model training, evaluation, and dashboard/report integration. The preprocessing stage normalizes column names, converts BENIGN to class 0 and DDoS to class 1, replaces infinity values, converts features to numeric values, fills missing values using median values, and removes duplicate rows.</w:t>
      </w:r>
    </w:p>
    <w:p>
      <w:pPr>
        <w:spacing w:after="60"/>
        <w:ind w:firstLine="259"/>
        <w:jc w:val="both"/>
      </w:pPr>
      <w:r>
        <w:rPr>
          <w:rFonts w:ascii="Times New Roman" w:hAnsi="Times New Roman"/>
          <w:color w:val="000000"/>
          <w:sz w:val="18"/>
        </w:rPr>
        <w:t>The training stage compares Logistic Regression, Decision Tree, and Random Forest. Model selection uses F1-score as the primary criterion, recall as the secondary criterion, and accuracy as the tertiary criterion. The dashboard stage reads exported JSON and CSV artifacts and displays total records, normal traffic, anomaly traffic, model accuracy, risk score, risk level, prediction result, and recommended action.</w:t>
      </w:r>
    </w:p>
    <w:p>
      <w:pPr>
        <w:jc w:val="center"/>
      </w:pPr>
      <w:r>
        <w:drawing>
          <wp:inline xmlns:a="http://schemas.openxmlformats.org/drawingml/2006/main" xmlns:pic="http://schemas.openxmlformats.org/drawingml/2006/picture">
            <wp:extent cx="2880360" cy="1152144"/>
            <wp:docPr id="1" name="Picture 1"/>
            <wp:cNvGraphicFramePr>
              <a:graphicFrameLocks noChangeAspect="1"/>
            </wp:cNvGraphicFramePr>
            <a:graphic>
              <a:graphicData uri="http://schemas.openxmlformats.org/drawingml/2006/picture">
                <pic:pic>
                  <pic:nvPicPr>
                    <pic:cNvPr id="0" name="research_pipeline_diagram.png"/>
                    <pic:cNvPicPr/>
                  </pic:nvPicPr>
                  <pic:blipFill>
                    <a:blip r:embed="rId9"/>
                    <a:stretch>
                      <a:fillRect/>
                    </a:stretch>
                  </pic:blipFill>
                  <pic:spPr>
                    <a:xfrm>
                      <a:off x="0" y="0"/>
                      <a:ext cx="2880360" cy="1152144"/>
                    </a:xfrm>
                    <a:prstGeom prst="rect"/>
                  </pic:spPr>
                </pic:pic>
              </a:graphicData>
            </a:graphic>
          </wp:inline>
        </w:drawing>
      </w:r>
    </w:p>
    <w:p>
      <w:pPr>
        <w:jc w:val="center"/>
      </w:pPr>
      <w:r>
        <w:rPr>
          <w:rFonts w:ascii="Times New Roman" w:hAnsi="Times New Roman"/>
          <w:i/>
          <w:sz w:val="16"/>
        </w:rPr>
        <w:t>Fig. 1. Research and implementation pipeline of NetGuard AI.</w:t>
      </w:r>
    </w:p>
    <w:p>
      <w:pPr>
        <w:jc w:val="left"/>
      </w:pPr>
      <w:r>
        <w:rPr>
          <w:rFonts w:ascii="Times New Roman" w:hAnsi="Times New Roman"/>
          <w:b/>
          <w:color w:val="000000"/>
          <w:sz w:val="20"/>
        </w:rPr>
        <w:t>IV. EXPERIMENTAL SETUP</w:t>
      </w:r>
    </w:p>
    <w:p>
      <w:pPr>
        <w:jc w:val="center"/>
      </w:pPr>
      <w:r>
        <w:rPr>
          <w:rFonts w:ascii="Times New Roman" w:hAnsi="Times New Roman"/>
          <w:i/>
          <w:sz w:val="16"/>
        </w:rPr>
        <w:t>TABLE I. EXPERIMENTAL SETUP</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jc w:val="center"/>
            </w:pPr>
            <w:r/>
            <w:r>
              <w:rPr>
                <w:rFonts w:ascii="Times New Roman" w:hAnsi="Times New Roman"/>
                <w:b/>
                <w:color w:val="000000"/>
                <w:sz w:val="14"/>
              </w:rPr>
              <w:t>Parameter</w:t>
            </w:r>
          </w:p>
        </w:tc>
        <w:tc>
          <w:tcPr>
            <w:tcW w:type="dxa" w:w="5141"/>
            <w:vAlign w:val="center"/>
            <w:shd w:fill="D9EAF7"/>
          </w:tcPr>
          <w:p>
            <w:pPr>
              <w:jc w:val="center"/>
            </w:pPr>
            <w:r/>
            <w:r>
              <w:rPr>
                <w:rFonts w:ascii="Times New Roman" w:hAnsi="Times New Roman"/>
                <w:b/>
                <w:color w:val="000000"/>
                <w:sz w:val="14"/>
              </w:rPr>
              <w:t>Value</w:t>
            </w:r>
          </w:p>
        </w:tc>
      </w:tr>
      <w:tr>
        <w:tc>
          <w:tcPr>
            <w:tcW w:type="dxa" w:w="5141"/>
            <w:vAlign w:val="center"/>
          </w:tcPr>
          <w:p>
            <w:pPr>
              <w:jc w:val="center"/>
            </w:pPr>
            <w:r/>
            <w:r>
              <w:rPr>
                <w:rFonts w:ascii="Times New Roman" w:hAnsi="Times New Roman"/>
                <w:b w:val="0"/>
                <w:color w:val="000000"/>
                <w:sz w:val="14"/>
              </w:rPr>
              <w:t>Dataset</w:t>
            </w:r>
          </w:p>
        </w:tc>
        <w:tc>
          <w:tcPr>
            <w:tcW w:type="dxa" w:w="5141"/>
            <w:vAlign w:val="center"/>
          </w:tcPr>
          <w:p>
            <w:pPr>
              <w:jc w:val="center"/>
            </w:pPr>
            <w:r/>
            <w:r>
              <w:rPr>
                <w:rFonts w:ascii="Times New Roman" w:hAnsi="Times New Roman"/>
                <w:b w:val="0"/>
                <w:color w:val="000000"/>
                <w:sz w:val="14"/>
              </w:rPr>
              <w:t>CICIDS2017 Friday Afternoon DDoS</w:t>
            </w:r>
          </w:p>
        </w:tc>
      </w:tr>
      <w:tr>
        <w:tc>
          <w:tcPr>
            <w:tcW w:type="dxa" w:w="5141"/>
            <w:vAlign w:val="center"/>
          </w:tcPr>
          <w:p>
            <w:pPr>
              <w:jc w:val="center"/>
            </w:pPr>
            <w:r/>
            <w:r>
              <w:rPr>
                <w:rFonts w:ascii="Times New Roman" w:hAnsi="Times New Roman"/>
                <w:b w:val="0"/>
                <w:color w:val="000000"/>
                <w:sz w:val="14"/>
              </w:rPr>
              <w:t>Raw records</w:t>
            </w:r>
          </w:p>
        </w:tc>
        <w:tc>
          <w:tcPr>
            <w:tcW w:type="dxa" w:w="5141"/>
            <w:vAlign w:val="center"/>
          </w:tcPr>
          <w:p>
            <w:pPr>
              <w:jc w:val="center"/>
            </w:pPr>
            <w:r/>
            <w:r>
              <w:rPr>
                <w:rFonts w:ascii="Times New Roman" w:hAnsi="Times New Roman"/>
                <w:b w:val="0"/>
                <w:color w:val="000000"/>
                <w:sz w:val="14"/>
              </w:rPr>
              <w:t>225,745</w:t>
            </w:r>
          </w:p>
        </w:tc>
      </w:tr>
      <w:tr>
        <w:tc>
          <w:tcPr>
            <w:tcW w:type="dxa" w:w="5141"/>
            <w:vAlign w:val="center"/>
          </w:tcPr>
          <w:p>
            <w:pPr>
              <w:jc w:val="center"/>
            </w:pPr>
            <w:r/>
            <w:r>
              <w:rPr>
                <w:rFonts w:ascii="Times New Roman" w:hAnsi="Times New Roman"/>
                <w:b w:val="0"/>
                <w:color w:val="000000"/>
                <w:sz w:val="14"/>
              </w:rPr>
              <w:t>Subset method</w:t>
            </w:r>
          </w:p>
        </w:tc>
        <w:tc>
          <w:tcPr>
            <w:tcW w:type="dxa" w:w="5141"/>
            <w:vAlign w:val="center"/>
          </w:tcPr>
          <w:p>
            <w:pPr>
              <w:jc w:val="center"/>
            </w:pPr>
            <w:r/>
            <w:r>
              <w:rPr>
                <w:rFonts w:ascii="Times New Roman" w:hAnsi="Times New Roman"/>
                <w:b w:val="0"/>
                <w:color w:val="000000"/>
                <w:sz w:val="14"/>
              </w:rPr>
              <w:t>Stratified random sampling, random_state=42</w:t>
            </w:r>
          </w:p>
        </w:tc>
      </w:tr>
      <w:tr>
        <w:tc>
          <w:tcPr>
            <w:tcW w:type="dxa" w:w="5141"/>
            <w:vAlign w:val="center"/>
          </w:tcPr>
          <w:p>
            <w:pPr>
              <w:jc w:val="center"/>
            </w:pPr>
            <w:r/>
            <w:r>
              <w:rPr>
                <w:rFonts w:ascii="Times New Roman" w:hAnsi="Times New Roman"/>
                <w:b w:val="0"/>
                <w:color w:val="000000"/>
                <w:sz w:val="14"/>
              </w:rPr>
              <w:t>Subset size</w:t>
            </w:r>
          </w:p>
        </w:tc>
        <w:tc>
          <w:tcPr>
            <w:tcW w:type="dxa" w:w="5141"/>
            <w:vAlign w:val="center"/>
          </w:tcPr>
          <w:p>
            <w:pPr>
              <w:jc w:val="center"/>
            </w:pPr>
            <w:r/>
            <w:r>
              <w:rPr>
                <w:rFonts w:ascii="Times New Roman" w:hAnsi="Times New Roman"/>
                <w:b w:val="0"/>
                <w:color w:val="000000"/>
                <w:sz w:val="14"/>
              </w:rPr>
              <w:t>20,000 records</w:t>
            </w:r>
          </w:p>
        </w:tc>
      </w:tr>
      <w:tr>
        <w:tc>
          <w:tcPr>
            <w:tcW w:type="dxa" w:w="5141"/>
            <w:vAlign w:val="center"/>
          </w:tcPr>
          <w:p>
            <w:pPr>
              <w:jc w:val="center"/>
            </w:pPr>
            <w:r/>
            <w:r>
              <w:rPr>
                <w:rFonts w:ascii="Times New Roman" w:hAnsi="Times New Roman"/>
                <w:b w:val="0"/>
                <w:color w:val="000000"/>
                <w:sz w:val="14"/>
              </w:rPr>
              <w:t>Processed records</w:t>
            </w:r>
          </w:p>
        </w:tc>
        <w:tc>
          <w:tcPr>
            <w:tcW w:type="dxa" w:w="5141"/>
            <w:vAlign w:val="center"/>
          </w:tcPr>
          <w:p>
            <w:pPr>
              <w:jc w:val="center"/>
            </w:pPr>
            <w:r/>
            <w:r>
              <w:rPr>
                <w:rFonts w:ascii="Times New Roman" w:hAnsi="Times New Roman"/>
                <w:b w:val="0"/>
                <w:color w:val="000000"/>
                <w:sz w:val="14"/>
              </w:rPr>
              <w:t>19,935</w:t>
            </w:r>
          </w:p>
        </w:tc>
      </w:tr>
      <w:tr>
        <w:tc>
          <w:tcPr>
            <w:tcW w:type="dxa" w:w="5141"/>
            <w:vAlign w:val="center"/>
          </w:tcPr>
          <w:p>
            <w:pPr>
              <w:jc w:val="center"/>
            </w:pPr>
            <w:r/>
            <w:r>
              <w:rPr>
                <w:rFonts w:ascii="Times New Roman" w:hAnsi="Times New Roman"/>
                <w:b w:val="0"/>
                <w:color w:val="000000"/>
                <w:sz w:val="14"/>
              </w:rPr>
              <w:t>Normal records</w:t>
            </w:r>
          </w:p>
        </w:tc>
        <w:tc>
          <w:tcPr>
            <w:tcW w:type="dxa" w:w="5141"/>
            <w:vAlign w:val="center"/>
          </w:tcPr>
          <w:p>
            <w:pPr>
              <w:jc w:val="center"/>
            </w:pPr>
            <w:r/>
            <w:r>
              <w:rPr>
                <w:rFonts w:ascii="Times New Roman" w:hAnsi="Times New Roman"/>
                <w:b w:val="0"/>
                <w:color w:val="000000"/>
                <w:sz w:val="14"/>
              </w:rPr>
              <w:t>9,935</w:t>
            </w:r>
          </w:p>
        </w:tc>
      </w:tr>
      <w:tr>
        <w:tc>
          <w:tcPr>
            <w:tcW w:type="dxa" w:w="5141"/>
            <w:vAlign w:val="center"/>
          </w:tcPr>
          <w:p>
            <w:pPr>
              <w:jc w:val="center"/>
            </w:pPr>
            <w:r/>
            <w:r>
              <w:rPr>
                <w:rFonts w:ascii="Times New Roman" w:hAnsi="Times New Roman"/>
                <w:b w:val="0"/>
                <w:color w:val="000000"/>
                <w:sz w:val="14"/>
              </w:rPr>
              <w:t>Anomaly records</w:t>
            </w:r>
          </w:p>
        </w:tc>
        <w:tc>
          <w:tcPr>
            <w:tcW w:type="dxa" w:w="5141"/>
            <w:vAlign w:val="center"/>
          </w:tcPr>
          <w:p>
            <w:pPr>
              <w:jc w:val="center"/>
            </w:pPr>
            <w:r/>
            <w:r>
              <w:rPr>
                <w:rFonts w:ascii="Times New Roman" w:hAnsi="Times New Roman"/>
                <w:b w:val="0"/>
                <w:color w:val="000000"/>
                <w:sz w:val="14"/>
              </w:rPr>
              <w:t>10,000</w:t>
            </w:r>
          </w:p>
        </w:tc>
      </w:tr>
      <w:tr>
        <w:tc>
          <w:tcPr>
            <w:tcW w:type="dxa" w:w="5141"/>
            <w:vAlign w:val="center"/>
          </w:tcPr>
          <w:p>
            <w:pPr>
              <w:jc w:val="center"/>
            </w:pPr>
            <w:r/>
            <w:r>
              <w:rPr>
                <w:rFonts w:ascii="Times New Roman" w:hAnsi="Times New Roman"/>
                <w:b w:val="0"/>
                <w:color w:val="000000"/>
                <w:sz w:val="14"/>
              </w:rPr>
              <w:t>Train/test split</w:t>
            </w:r>
          </w:p>
        </w:tc>
        <w:tc>
          <w:tcPr>
            <w:tcW w:type="dxa" w:w="5141"/>
            <w:vAlign w:val="center"/>
          </w:tcPr>
          <w:p>
            <w:pPr>
              <w:jc w:val="center"/>
            </w:pPr>
            <w:r/>
            <w:r>
              <w:rPr>
                <w:rFonts w:ascii="Times New Roman" w:hAnsi="Times New Roman"/>
                <w:b w:val="0"/>
                <w:color w:val="000000"/>
                <w:sz w:val="14"/>
              </w:rPr>
              <w:t>80:20, random_state=42</w:t>
            </w:r>
          </w:p>
        </w:tc>
      </w:tr>
      <w:tr>
        <w:tc>
          <w:tcPr>
            <w:tcW w:type="dxa" w:w="5141"/>
            <w:vAlign w:val="center"/>
          </w:tcPr>
          <w:p>
            <w:pPr>
              <w:jc w:val="center"/>
            </w:pPr>
            <w:r/>
            <w:r>
              <w:rPr>
                <w:rFonts w:ascii="Times New Roman" w:hAnsi="Times New Roman"/>
                <w:b w:val="0"/>
                <w:color w:val="000000"/>
                <w:sz w:val="14"/>
              </w:rPr>
              <w:t>Models</w:t>
            </w:r>
          </w:p>
        </w:tc>
        <w:tc>
          <w:tcPr>
            <w:tcW w:type="dxa" w:w="5141"/>
            <w:vAlign w:val="center"/>
          </w:tcPr>
          <w:p>
            <w:pPr>
              <w:jc w:val="center"/>
            </w:pPr>
            <w:r/>
            <w:r>
              <w:rPr>
                <w:rFonts w:ascii="Times New Roman" w:hAnsi="Times New Roman"/>
                <w:b w:val="0"/>
                <w:color w:val="000000"/>
                <w:sz w:val="14"/>
              </w:rPr>
              <w:t>Logistic Regression, Decision Tree, Random Forest</w:t>
            </w:r>
          </w:p>
        </w:tc>
      </w:tr>
    </w:tbl>
    <w:p>
      <w:pPr>
        <w:jc w:val="center"/>
      </w:pPr>
      <w:r>
        <w:drawing>
          <wp:inline xmlns:a="http://schemas.openxmlformats.org/drawingml/2006/main" xmlns:pic="http://schemas.openxmlformats.org/drawingml/2006/picture">
            <wp:extent cx="2880360" cy="1800225"/>
            <wp:docPr id="2" name="Picture 2"/>
            <wp:cNvGraphicFramePr>
              <a:graphicFrameLocks noChangeAspect="1"/>
            </wp:cNvGraphicFramePr>
            <a:graphic>
              <a:graphicData uri="http://schemas.openxmlformats.org/drawingml/2006/picture">
                <pic:pic>
                  <pic:nvPicPr>
                    <pic:cNvPr id="0" name="dataset_distribution_chart.png"/>
                    <pic:cNvPicPr/>
                  </pic:nvPicPr>
                  <pic:blipFill>
                    <a:blip r:embed="rId10"/>
                    <a:stretch>
                      <a:fillRect/>
                    </a:stretch>
                  </pic:blipFill>
                  <pic:spPr>
                    <a:xfrm>
                      <a:off x="0" y="0"/>
                      <a:ext cx="2880360" cy="1800225"/>
                    </a:xfrm>
                    <a:prstGeom prst="rect"/>
                  </pic:spPr>
                </pic:pic>
              </a:graphicData>
            </a:graphic>
          </wp:inline>
        </w:drawing>
      </w:r>
    </w:p>
    <w:p>
      <w:pPr>
        <w:jc w:val="center"/>
      </w:pPr>
      <w:r>
        <w:rPr>
          <w:rFonts w:ascii="Times New Roman" w:hAnsi="Times New Roman"/>
          <w:i/>
          <w:sz w:val="16"/>
        </w:rPr>
        <w:t>Fig. 2. Distribution of normal and anomaly records after preprocessing.</w:t>
      </w:r>
    </w:p>
    <w:p>
      <w:pPr>
        <w:jc w:val="left"/>
      </w:pPr>
      <w:r>
        <w:rPr>
          <w:rFonts w:ascii="Times New Roman" w:hAnsi="Times New Roman"/>
          <w:b/>
          <w:color w:val="000000"/>
          <w:sz w:val="20"/>
        </w:rPr>
        <w:t>V. RESULTS AND DISCUSSION</w:t>
      </w:r>
    </w:p>
    <w:p>
      <w:pPr>
        <w:jc w:val="center"/>
      </w:pPr>
      <w:r>
        <w:rPr>
          <w:rFonts w:ascii="Times New Roman" w:hAnsi="Times New Roman"/>
          <w:i/>
          <w:sz w:val="16"/>
        </w:rPr>
        <w:t>TABLE II. MODEL COMPARISON RESULTS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D9EAF7"/>
          </w:tcPr>
          <w:p>
            <w:pPr>
              <w:jc w:val="center"/>
            </w:pPr>
            <w:r/>
            <w:r>
              <w:rPr>
                <w:rFonts w:ascii="Times New Roman" w:hAnsi="Times New Roman"/>
                <w:b/>
                <w:color w:val="000000"/>
                <w:sz w:val="14"/>
              </w:rPr>
              <w:t>Model</w:t>
            </w:r>
          </w:p>
        </w:tc>
        <w:tc>
          <w:tcPr>
            <w:tcW w:type="dxa" w:w="2056"/>
            <w:vAlign w:val="center"/>
            <w:shd w:fill="D9EAF7"/>
          </w:tcPr>
          <w:p>
            <w:pPr>
              <w:jc w:val="center"/>
            </w:pPr>
            <w:r/>
            <w:r>
              <w:rPr>
                <w:rFonts w:ascii="Times New Roman" w:hAnsi="Times New Roman"/>
                <w:b/>
                <w:color w:val="000000"/>
                <w:sz w:val="14"/>
              </w:rPr>
              <w:t>Accuracy</w:t>
            </w:r>
          </w:p>
        </w:tc>
        <w:tc>
          <w:tcPr>
            <w:tcW w:type="dxa" w:w="2056"/>
            <w:vAlign w:val="center"/>
            <w:shd w:fill="D9EAF7"/>
          </w:tcPr>
          <w:p>
            <w:pPr>
              <w:jc w:val="center"/>
            </w:pPr>
            <w:r/>
            <w:r>
              <w:rPr>
                <w:rFonts w:ascii="Times New Roman" w:hAnsi="Times New Roman"/>
                <w:b/>
                <w:color w:val="000000"/>
                <w:sz w:val="14"/>
              </w:rPr>
              <w:t>Precision</w:t>
            </w:r>
          </w:p>
        </w:tc>
        <w:tc>
          <w:tcPr>
            <w:tcW w:type="dxa" w:w="2056"/>
            <w:vAlign w:val="center"/>
            <w:shd w:fill="D9EAF7"/>
          </w:tcPr>
          <w:p>
            <w:pPr>
              <w:jc w:val="center"/>
            </w:pPr>
            <w:r/>
            <w:r>
              <w:rPr>
                <w:rFonts w:ascii="Times New Roman" w:hAnsi="Times New Roman"/>
                <w:b/>
                <w:color w:val="000000"/>
                <w:sz w:val="14"/>
              </w:rPr>
              <w:t>Recall</w:t>
            </w:r>
          </w:p>
        </w:tc>
        <w:tc>
          <w:tcPr>
            <w:tcW w:type="dxa" w:w="2056"/>
            <w:vAlign w:val="center"/>
            <w:shd w:fill="D9EAF7"/>
          </w:tcPr>
          <w:p>
            <w:pPr>
              <w:jc w:val="center"/>
            </w:pPr>
            <w:r/>
            <w:r>
              <w:rPr>
                <w:rFonts w:ascii="Times New Roman" w:hAnsi="Times New Roman"/>
                <w:b/>
                <w:color w:val="000000"/>
                <w:sz w:val="14"/>
              </w:rPr>
              <w:t>F1-score</w:t>
            </w:r>
          </w:p>
        </w:tc>
      </w:tr>
      <w:tr>
        <w:tc>
          <w:tcPr>
            <w:tcW w:type="dxa" w:w="2056"/>
            <w:vAlign w:val="center"/>
          </w:tcPr>
          <w:p>
            <w:pPr>
              <w:jc w:val="center"/>
            </w:pPr>
            <w:r/>
            <w:r>
              <w:rPr>
                <w:rFonts w:ascii="Times New Roman" w:hAnsi="Times New Roman"/>
                <w:b w:val="0"/>
                <w:color w:val="000000"/>
                <w:sz w:val="14"/>
              </w:rPr>
              <w:t>Logistic Regression</w:t>
            </w:r>
          </w:p>
        </w:tc>
        <w:tc>
          <w:tcPr>
            <w:tcW w:type="dxa" w:w="2056"/>
            <w:vAlign w:val="center"/>
          </w:tcPr>
          <w:p>
            <w:pPr>
              <w:jc w:val="center"/>
            </w:pPr>
            <w:r/>
            <w:r>
              <w:rPr>
                <w:rFonts w:ascii="Times New Roman" w:hAnsi="Times New Roman"/>
                <w:b w:val="0"/>
                <w:color w:val="000000"/>
                <w:sz w:val="14"/>
              </w:rPr>
              <w:t>0.9920</w:t>
            </w:r>
          </w:p>
        </w:tc>
        <w:tc>
          <w:tcPr>
            <w:tcW w:type="dxa" w:w="2056"/>
            <w:vAlign w:val="center"/>
          </w:tcPr>
          <w:p>
            <w:pPr>
              <w:jc w:val="center"/>
            </w:pPr>
            <w:r/>
            <w:r>
              <w:rPr>
                <w:rFonts w:ascii="Times New Roman" w:hAnsi="Times New Roman"/>
                <w:b w:val="0"/>
                <w:color w:val="000000"/>
                <w:sz w:val="14"/>
              </w:rPr>
              <w:t>0.9857</w:t>
            </w:r>
          </w:p>
        </w:tc>
        <w:tc>
          <w:tcPr>
            <w:tcW w:type="dxa" w:w="2056"/>
            <w:vAlign w:val="center"/>
          </w:tcPr>
          <w:p>
            <w:pPr>
              <w:jc w:val="center"/>
            </w:pPr>
            <w:r/>
            <w:r>
              <w:rPr>
                <w:rFonts w:ascii="Times New Roman" w:hAnsi="Times New Roman"/>
                <w:b w:val="0"/>
                <w:color w:val="000000"/>
                <w:sz w:val="14"/>
              </w:rPr>
              <w:t>0.9985</w:t>
            </w:r>
          </w:p>
        </w:tc>
        <w:tc>
          <w:tcPr>
            <w:tcW w:type="dxa" w:w="2056"/>
            <w:vAlign w:val="center"/>
          </w:tcPr>
          <w:p>
            <w:pPr>
              <w:jc w:val="center"/>
            </w:pPr>
            <w:r/>
            <w:r>
              <w:rPr>
                <w:rFonts w:ascii="Times New Roman" w:hAnsi="Times New Roman"/>
                <w:b w:val="0"/>
                <w:color w:val="000000"/>
                <w:sz w:val="14"/>
              </w:rPr>
              <w:t>0.9921</w:t>
            </w:r>
          </w:p>
        </w:tc>
      </w:tr>
      <w:tr>
        <w:tc>
          <w:tcPr>
            <w:tcW w:type="dxa" w:w="2056"/>
            <w:vAlign w:val="center"/>
          </w:tcPr>
          <w:p>
            <w:pPr>
              <w:jc w:val="center"/>
            </w:pPr>
            <w:r/>
            <w:r>
              <w:rPr>
                <w:rFonts w:ascii="Times New Roman" w:hAnsi="Times New Roman"/>
                <w:b w:val="0"/>
                <w:color w:val="000000"/>
                <w:sz w:val="14"/>
              </w:rPr>
              <w:t>Decision Tree</w:t>
            </w:r>
          </w:p>
        </w:tc>
        <w:tc>
          <w:tcPr>
            <w:tcW w:type="dxa" w:w="2056"/>
            <w:vAlign w:val="center"/>
          </w:tcPr>
          <w:p>
            <w:pPr>
              <w:jc w:val="center"/>
            </w:pPr>
            <w:r/>
            <w:r>
              <w:rPr>
                <w:rFonts w:ascii="Times New Roman" w:hAnsi="Times New Roman"/>
                <w:b w:val="0"/>
                <w:color w:val="000000"/>
                <w:sz w:val="14"/>
              </w:rPr>
              <w:t>0.9992</w:t>
            </w:r>
          </w:p>
        </w:tc>
        <w:tc>
          <w:tcPr>
            <w:tcW w:type="dxa" w:w="2056"/>
            <w:vAlign w:val="center"/>
          </w:tcPr>
          <w:p>
            <w:pPr>
              <w:jc w:val="center"/>
            </w:pPr>
            <w:r/>
            <w:r>
              <w:rPr>
                <w:rFonts w:ascii="Times New Roman" w:hAnsi="Times New Roman"/>
                <w:b w:val="0"/>
                <w:color w:val="000000"/>
                <w:sz w:val="14"/>
              </w:rPr>
              <w:t>0.9995</w:t>
            </w:r>
          </w:p>
        </w:tc>
        <w:tc>
          <w:tcPr>
            <w:tcW w:type="dxa" w:w="2056"/>
            <w:vAlign w:val="center"/>
          </w:tcPr>
          <w:p>
            <w:pPr>
              <w:jc w:val="center"/>
            </w:pPr>
            <w:r/>
            <w:r>
              <w:rPr>
                <w:rFonts w:ascii="Times New Roman" w:hAnsi="Times New Roman"/>
                <w:b w:val="0"/>
                <w:color w:val="000000"/>
                <w:sz w:val="14"/>
              </w:rPr>
              <w:t>0.9990</w:t>
            </w:r>
          </w:p>
        </w:tc>
        <w:tc>
          <w:tcPr>
            <w:tcW w:type="dxa" w:w="2056"/>
            <w:vAlign w:val="center"/>
          </w:tcPr>
          <w:p>
            <w:pPr>
              <w:jc w:val="center"/>
            </w:pPr>
            <w:r/>
            <w:r>
              <w:rPr>
                <w:rFonts w:ascii="Times New Roman" w:hAnsi="Times New Roman"/>
                <w:b w:val="0"/>
                <w:color w:val="000000"/>
                <w:sz w:val="14"/>
              </w:rPr>
              <w:t>0.9992</w:t>
            </w:r>
          </w:p>
        </w:tc>
      </w:tr>
      <w:tr>
        <w:tc>
          <w:tcPr>
            <w:tcW w:type="dxa" w:w="2056"/>
            <w:vAlign w:val="center"/>
          </w:tcPr>
          <w:p>
            <w:pPr>
              <w:jc w:val="center"/>
            </w:pPr>
            <w:r/>
            <w:r>
              <w:rPr>
                <w:rFonts w:ascii="Times New Roman" w:hAnsi="Times New Roman"/>
                <w:b w:val="0"/>
                <w:color w:val="000000"/>
                <w:sz w:val="14"/>
              </w:rPr>
              <w:t>Random Forest</w:t>
            </w:r>
          </w:p>
        </w:tc>
        <w:tc>
          <w:tcPr>
            <w:tcW w:type="dxa" w:w="2056"/>
            <w:vAlign w:val="center"/>
          </w:tcPr>
          <w:p>
            <w:pPr>
              <w:jc w:val="center"/>
            </w:pPr>
            <w:r/>
            <w:r>
              <w:rPr>
                <w:rFonts w:ascii="Times New Roman" w:hAnsi="Times New Roman"/>
                <w:b w:val="0"/>
                <w:color w:val="000000"/>
                <w:sz w:val="14"/>
              </w:rPr>
              <w:t>0.9992</w:t>
            </w:r>
          </w:p>
        </w:tc>
        <w:tc>
          <w:tcPr>
            <w:tcW w:type="dxa" w:w="2056"/>
            <w:vAlign w:val="center"/>
          </w:tcPr>
          <w:p>
            <w:pPr>
              <w:jc w:val="center"/>
            </w:pPr>
            <w:r/>
            <w:r>
              <w:rPr>
                <w:rFonts w:ascii="Times New Roman" w:hAnsi="Times New Roman"/>
                <w:b w:val="0"/>
                <w:color w:val="000000"/>
                <w:sz w:val="14"/>
              </w:rPr>
              <w:t>1.0000</w:t>
            </w:r>
          </w:p>
        </w:tc>
        <w:tc>
          <w:tcPr>
            <w:tcW w:type="dxa" w:w="2056"/>
            <w:vAlign w:val="center"/>
          </w:tcPr>
          <w:p>
            <w:pPr>
              <w:jc w:val="center"/>
            </w:pPr>
            <w:r/>
            <w:r>
              <w:rPr>
                <w:rFonts w:ascii="Times New Roman" w:hAnsi="Times New Roman"/>
                <w:b w:val="0"/>
                <w:color w:val="000000"/>
                <w:sz w:val="14"/>
              </w:rPr>
              <w:t>0.9985</w:t>
            </w:r>
          </w:p>
        </w:tc>
        <w:tc>
          <w:tcPr>
            <w:tcW w:type="dxa" w:w="2056"/>
            <w:vAlign w:val="center"/>
          </w:tcPr>
          <w:p>
            <w:pPr>
              <w:jc w:val="center"/>
            </w:pPr>
            <w:r/>
            <w:r>
              <w:rPr>
                <w:rFonts w:ascii="Times New Roman" w:hAnsi="Times New Roman"/>
                <w:b w:val="0"/>
                <w:color w:val="000000"/>
                <w:sz w:val="14"/>
              </w:rPr>
              <w:t>0.9992</w:t>
            </w:r>
          </w:p>
        </w:tc>
      </w:tr>
    </w:tbl>
    <w:p>
      <w:pPr>
        <w:spacing w:after="60"/>
        <w:ind w:firstLine="259"/>
        <w:jc w:val="both"/>
      </w:pPr>
      <w:r>
        <w:rPr>
          <w:rFonts w:ascii="Times New Roman" w:hAnsi="Times New Roman"/>
          <w:color w:val="000000"/>
          <w:sz w:val="18"/>
        </w:rPr>
        <w:t>The experimental results show that Decision Tree achieved the highest F1-score according to the selection rule. The confusion matrix of the best model indicates that only a small number of test samples were misclassified. This result is consistent with the known strength of tree-based methods on structured flow features.</w:t>
      </w:r>
    </w:p>
    <w:p>
      <w:pPr>
        <w:spacing w:after="60"/>
        <w:ind w:firstLine="259"/>
        <w:jc w:val="both"/>
      </w:pPr>
      <w:r>
        <w:rPr>
          <w:rFonts w:ascii="Times New Roman" w:hAnsi="Times New Roman"/>
          <w:color w:val="000000"/>
          <w:sz w:val="18"/>
        </w:rPr>
        <w:t>Although the metrics are high, the result should be interpreted carefully because this experiment uses one CICIDS2017 attack day and a binary BENIGN-vs-DDoS setup. For a stronger thesis or publication target, further validation should include multiple attack types, cross-validation, hyperparameter tuning, and cross-dataset testing using UNSW-NB15 or CICIDS2018.</w:t>
      </w:r>
    </w:p>
    <w:p>
      <w:pPr>
        <w:jc w:val="center"/>
      </w:pPr>
      <w:r>
        <w:drawing>
          <wp:inline xmlns:a="http://schemas.openxmlformats.org/drawingml/2006/main" xmlns:pic="http://schemas.openxmlformats.org/drawingml/2006/picture">
            <wp:extent cx="2880360" cy="1584198"/>
            <wp:docPr id="3" name="Picture 3"/>
            <wp:cNvGraphicFramePr>
              <a:graphicFrameLocks noChangeAspect="1"/>
            </wp:cNvGraphicFramePr>
            <a:graphic>
              <a:graphicData uri="http://schemas.openxmlformats.org/drawingml/2006/picture">
                <pic:pic>
                  <pic:nvPicPr>
                    <pic:cNvPr id="0" name="model_comparison_chart.png"/>
                    <pic:cNvPicPr/>
                  </pic:nvPicPr>
                  <pic:blipFill>
                    <a:blip r:embed="rId11"/>
                    <a:stretch>
                      <a:fillRect/>
                    </a:stretch>
                  </pic:blipFill>
                  <pic:spPr>
                    <a:xfrm>
                      <a:off x="0" y="0"/>
                      <a:ext cx="2880360" cy="1584198"/>
                    </a:xfrm>
                    <a:prstGeom prst="rect"/>
                  </pic:spPr>
                </pic:pic>
              </a:graphicData>
            </a:graphic>
          </wp:inline>
        </w:drawing>
      </w:r>
    </w:p>
    <w:p>
      <w:pPr>
        <w:jc w:val="center"/>
      </w:pPr>
      <w:r>
        <w:rPr>
          <w:rFonts w:ascii="Times New Roman" w:hAnsi="Times New Roman"/>
          <w:i/>
          <w:sz w:val="16"/>
        </w:rPr>
        <w:t>Fig. 3. Comparison of accuracy, precision, recall, and F1-score.</w:t>
      </w:r>
    </w:p>
    <w:p>
      <w:pPr>
        <w:jc w:val="center"/>
      </w:pPr>
      <w:r>
        <w:drawing>
          <wp:inline xmlns:a="http://schemas.openxmlformats.org/drawingml/2006/main" xmlns:pic="http://schemas.openxmlformats.org/drawingml/2006/picture">
            <wp:extent cx="2880360" cy="2304288"/>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2880360" cy="2304288"/>
                    </a:xfrm>
                    <a:prstGeom prst="rect"/>
                  </pic:spPr>
                </pic:pic>
              </a:graphicData>
            </a:graphic>
          </wp:inline>
        </w:drawing>
      </w:r>
    </w:p>
    <w:p>
      <w:pPr>
        <w:jc w:val="center"/>
      </w:pPr>
      <w:r>
        <w:rPr>
          <w:rFonts w:ascii="Times New Roman" w:hAnsi="Times New Roman"/>
          <w:i/>
          <w:sz w:val="16"/>
        </w:rPr>
        <w:t>Fig. 4. Confusion matrix of the selected best model.</w:t>
      </w:r>
    </w:p>
    <w:p>
      <w:pPr>
        <w:jc w:val="left"/>
      </w:pPr>
      <w:r>
        <w:rPr>
          <w:rFonts w:ascii="Times New Roman" w:hAnsi="Times New Roman"/>
          <w:b/>
          <w:color w:val="000000"/>
          <w:sz w:val="20"/>
        </w:rPr>
        <w:t>VI. DASHBOARD AND RISK CLASSIFICATION</w:t>
      </w:r>
    </w:p>
    <w:p>
      <w:pPr>
        <w:spacing w:after="60"/>
        <w:ind w:firstLine="259"/>
        <w:jc w:val="both"/>
      </w:pPr>
      <w:r>
        <w:rPr>
          <w:rFonts w:ascii="Times New Roman" w:hAnsi="Times New Roman"/>
          <w:color w:val="000000"/>
          <w:sz w:val="18"/>
        </w:rPr>
        <w:t>The prediction module classified 20,000 records and produced an anomaly ratio of 49.99%. Based on the predefined rule, the risk level is High. The recommended action is to prioritize incident investigation, isolate suspicious hosts, and verify critical services.</w:t>
      </w:r>
    </w:p>
    <w:p>
      <w:pPr>
        <w:jc w:val="center"/>
      </w:pPr>
      <w:r>
        <w:drawing>
          <wp:inline xmlns:a="http://schemas.openxmlformats.org/drawingml/2006/main" xmlns:pic="http://schemas.openxmlformats.org/drawingml/2006/picture">
            <wp:extent cx="2880360" cy="2976518"/>
            <wp:docPr id="5" name="Picture 5"/>
            <wp:cNvGraphicFramePr>
              <a:graphicFrameLocks noChangeAspect="1"/>
            </wp:cNvGraphicFramePr>
            <a:graphic>
              <a:graphicData uri="http://schemas.openxmlformats.org/drawingml/2006/picture">
                <pic:pic>
                  <pic:nvPicPr>
                    <pic:cNvPr id="0" name="risk_score_gauge.png"/>
                    <pic:cNvPicPr/>
                  </pic:nvPicPr>
                  <pic:blipFill>
                    <a:blip r:embed="rId13"/>
                    <a:stretch>
                      <a:fillRect/>
                    </a:stretch>
                  </pic:blipFill>
                  <pic:spPr>
                    <a:xfrm>
                      <a:off x="0" y="0"/>
                      <a:ext cx="2880360" cy="2976518"/>
                    </a:xfrm>
                    <a:prstGeom prst="rect"/>
                  </pic:spPr>
                </pic:pic>
              </a:graphicData>
            </a:graphic>
          </wp:inline>
        </w:drawing>
      </w:r>
    </w:p>
    <w:p>
      <w:pPr>
        <w:jc w:val="center"/>
      </w:pPr>
      <w:r>
        <w:rPr>
          <w:rFonts w:ascii="Times New Roman" w:hAnsi="Times New Roman"/>
          <w:i/>
          <w:sz w:val="16"/>
        </w:rPr>
        <w:t>Fig. 5. Risk score visualization based on anomaly ratio.</w:t>
      </w:r>
    </w:p>
    <w:p>
      <w:pPr>
        <w:jc w:val="center"/>
      </w:pPr>
      <w:r>
        <w:drawing>
          <wp:inline xmlns:a="http://schemas.openxmlformats.org/drawingml/2006/main" xmlns:pic="http://schemas.openxmlformats.org/drawingml/2006/picture">
            <wp:extent cx="2880360" cy="1248156"/>
            <wp:docPr id="6" name="Picture 6"/>
            <wp:cNvGraphicFramePr>
              <a:graphicFrameLocks noChangeAspect="1"/>
            </wp:cNvGraphicFramePr>
            <a:graphic>
              <a:graphicData uri="http://schemas.openxmlformats.org/drawingml/2006/picture">
                <pic:pic>
                  <pic:nvPicPr>
                    <pic:cNvPr id="0" name="deployment_architecture_diagram.png"/>
                    <pic:cNvPicPr/>
                  </pic:nvPicPr>
                  <pic:blipFill>
                    <a:blip r:embed="rId14"/>
                    <a:stretch>
                      <a:fillRect/>
                    </a:stretch>
                  </pic:blipFill>
                  <pic:spPr>
                    <a:xfrm>
                      <a:off x="0" y="0"/>
                      <a:ext cx="2880360" cy="1248156"/>
                    </a:xfrm>
                    <a:prstGeom prst="rect"/>
                  </pic:spPr>
                </pic:pic>
              </a:graphicData>
            </a:graphic>
          </wp:inline>
        </w:drawing>
      </w:r>
    </w:p>
    <w:p>
      <w:pPr>
        <w:jc w:val="center"/>
      </w:pPr>
      <w:r>
        <w:rPr>
          <w:rFonts w:ascii="Times New Roman" w:hAnsi="Times New Roman"/>
          <w:i/>
          <w:sz w:val="16"/>
        </w:rPr>
        <w:t>Fig. 6. Deployment architecture and future development direction.</w:t>
      </w:r>
    </w:p>
    <w:p>
      <w:pPr>
        <w:jc w:val="left"/>
      </w:pPr>
      <w:r>
        <w:rPr>
          <w:rFonts w:ascii="Times New Roman" w:hAnsi="Times New Roman"/>
          <w:b/>
          <w:color w:val="000000"/>
          <w:sz w:val="20"/>
        </w:rPr>
        <w:t>VII. CONCLUSION</w:t>
      </w:r>
    </w:p>
    <w:p>
      <w:pPr>
        <w:spacing w:after="60"/>
        <w:ind w:firstLine="259"/>
        <w:jc w:val="both"/>
      </w:pPr>
      <w:r>
        <w:rPr>
          <w:rFonts w:ascii="Times New Roman" w:hAnsi="Times New Roman"/>
          <w:color w:val="000000"/>
          <w:sz w:val="18"/>
        </w:rPr>
        <w:t>This study demonstrates that NetGuard AI can detect network anomalies from a real CICIDS2017 subset, compare multiple machine learning models, save the best model, and present results through reproducible research artifacts. The system is suitable for a low-budget educational AI project because it runs on a normal laptop and does not require paid APIs or expensive hardware.</w:t>
      </w:r>
    </w:p>
    <w:p>
      <w:pPr>
        <w:spacing w:after="60"/>
        <w:ind w:firstLine="259"/>
        <w:jc w:val="both"/>
      </w:pPr>
      <w:r>
        <w:rPr>
          <w:rFonts w:ascii="Times New Roman" w:hAnsi="Times New Roman"/>
          <w:color w:val="000000"/>
          <w:sz w:val="18"/>
        </w:rPr>
        <w:t>Future work should include more attack categories, cross-validation, hyperparameter optimization, feature importance analysis, database-backed monitoring, and public deployment through VPS, Vercel, Render, or Railway.</w:t>
      </w:r>
    </w:p>
    <w:p>
      <w:pPr>
        <w:jc w:val="left"/>
      </w:pPr>
      <w:r>
        <w:rPr>
          <w:rFonts w:ascii="Times New Roman" w:hAnsi="Times New Roman"/>
          <w:b/>
          <w:color w:val="000000"/>
          <w:sz w:val="20"/>
        </w:rPr>
        <w:t>REFERENCES</w:t>
      </w:r>
    </w:p>
    <w:p>
      <w:pPr>
        <w:ind w:left="216" w:hanging="216"/>
      </w:pPr>
      <w:r>
        <w:rPr>
          <w:rFonts w:ascii="Times New Roman" w:hAnsi="Times New Roman"/>
          <w:sz w:val="16"/>
        </w:rPr>
        <w:t>[1] Canadian Institute for Cybersecurity, University of New Brunswick, "Intrusion Detection Evaluation Dataset (CICIDS2017)," 2017.</w:t>
      </w:r>
    </w:p>
    <w:p>
      <w:pPr>
        <w:ind w:left="216" w:hanging="216"/>
      </w:pPr>
      <w:r>
        <w:rPr>
          <w:rFonts w:ascii="Times New Roman" w:hAnsi="Times New Roman"/>
          <w:sz w:val="16"/>
        </w:rPr>
        <w:t>[2] Z. Maseer et al., "Benchmarking of Machine Learning for Anomaly-Based Intrusion Detection Systems in the CICIDS2017 Dataset," IEEE Access, 2021.</w:t>
      </w:r>
    </w:p>
    <w:p>
      <w:pPr>
        <w:ind w:left="216" w:hanging="216"/>
      </w:pPr>
      <w:r>
        <w:rPr>
          <w:rFonts w:ascii="Times New Roman" w:hAnsi="Times New Roman"/>
          <w:sz w:val="16"/>
        </w:rPr>
        <w:t>[3] M. Engelen et al., "Troubleshooting an intrusion detection dataset: the CICIDS2017 case study," 2021.</w:t>
      </w:r>
    </w:p>
    <w:p>
      <w:pPr>
        <w:ind w:left="216" w:hanging="216"/>
      </w:pPr>
      <w:r>
        <w:rPr>
          <w:rFonts w:ascii="Times New Roman" w:hAnsi="Times New Roman"/>
          <w:sz w:val="16"/>
        </w:rPr>
        <w:t>[4] S. Dube, "Faulty use of the CIC-IDS-2017 dataset in information security research," 2024.</w:t>
      </w:r>
    </w:p>
    <w:p>
      <w:pPr>
        <w:ind w:left="216" w:hanging="216"/>
      </w:pPr>
      <w:r>
        <w:rPr>
          <w:rFonts w:ascii="Times New Roman" w:hAnsi="Times New Roman"/>
          <w:sz w:val="16"/>
        </w:rPr>
        <w:t>[5] A. Sajid et al., "Enhancing intrusion detection: a hybrid machine and deep learning approach," Journal of Cloud Computing, 2024.</w:t>
      </w:r>
    </w:p>
    <w:p>
      <w:pPr>
        <w:ind w:left="216" w:hanging="216"/>
      </w:pPr>
      <w:r>
        <w:rPr>
          <w:rFonts w:ascii="Times New Roman" w:hAnsi="Times New Roman"/>
          <w:sz w:val="16"/>
        </w:rPr>
        <w:t>[6] M. A. Talukder et al., "Machine learning-based network intrusion detection for big and imbalanced data," Journal of Big Data, 2024.</w:t>
      </w:r>
    </w:p>
    <w:p>
      <w:pPr>
        <w:ind w:left="216" w:hanging="216"/>
      </w:pPr>
      <w:r>
        <w:rPr>
          <w:rFonts w:ascii="Times New Roman" w:hAnsi="Times New Roman"/>
          <w:sz w:val="16"/>
        </w:rPr>
        <w:t>[7] A. Abdelaziz et al., "Enhancing network threat detection with Random Forest-based NIDS and permutation feature importance," 2024.</w:t>
      </w:r>
    </w:p>
    <w:p>
      <w:pPr>
        <w:ind w:left="216" w:hanging="216"/>
      </w:pPr>
      <w:r>
        <w:rPr>
          <w:rFonts w:ascii="Times New Roman" w:hAnsi="Times New Roman"/>
          <w:sz w:val="16"/>
        </w:rPr>
        <w:t>[8] V. Pai et al., "Adaptive network anomaly detection using machine learning," EURASIP Journal on Information Security, 2025.</w:t>
      </w:r>
    </w:p>
    <w:p>
      <w:pPr>
        <w:ind w:left="216" w:hanging="216"/>
      </w:pPr>
      <w:r>
        <w:rPr>
          <w:rFonts w:ascii="Times New Roman" w:hAnsi="Times New Roman"/>
          <w:sz w:val="16"/>
        </w:rPr>
        <w:t>[9] S. Ahmed et al., "A smart deep learning-based intrusion detection system for IoT networks," Scientific Reports, 2025.</w:t>
      </w:r>
    </w:p>
    <w:p>
      <w:pPr>
        <w:ind w:left="216" w:hanging="216"/>
      </w:pPr>
      <w:r>
        <w:rPr>
          <w:rFonts w:ascii="Times New Roman" w:hAnsi="Times New Roman"/>
          <w:sz w:val="16"/>
        </w:rPr>
        <w:t>[10] H. Deng et al., "Network intrusion detection based on deep belief network and broad learning system," Electronics, 2024.</w:t>
      </w:r>
    </w:p>
    <w:sectPr w:rsidR="00FC693F" w:rsidRPr="0006063C" w:rsidSect="00034616">
      <w:type w:val="continuous"/>
      <w:pgSz w:w="12240" w:h="15840"/>
      <w:pgMar w:top="1008" w:right="979" w:bottom="936" w:left="97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NetGuard AI: Lightweight Machine Learning-Based Network Anomaly Detection and Risk Monitoring Dashboard</dc:title>
  <dc:subject/>
  <dc:creator>Achmad Maulana</dc:creator>
  <cp:keywords/>
  <dc:description/>
  <cp:lastModifiedBy>Achmad Maulana</cp:lastModifiedBy>
  <cp:revision>1</cp:revision>
  <dcterms:created xsi:type="dcterms:W3CDTF">2013-12-23T23:15:00Z</dcterms:created>
  <dcterms:modified xsi:type="dcterms:W3CDTF">2013-12-23T23:15:00Z</dcterms:modified>
  <cp:category/>
</cp:coreProperties>
</file>