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Hasil Eksperimen dan Analisis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Dokumen ini merangkum metrik evaluasi, interpretasi kesalahan, dan arah validasi lanjutan untuk NetGuard AI.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Tabel 1. Perbandingan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Model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Accuracy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Precision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Recall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6"/>
              </w:rPr>
              <w:t>F1-score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Logistic Regression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0.991974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0.985686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0.998500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0.992052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Decision Tree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0.999248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0.999500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0.999250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Random Forest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0.999248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1.000000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0.998500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color w:val="000000"/>
                <w:sz w:val="16"/>
              </w:rPr>
              <w:t>0.999249</w:t>
            </w:r>
          </w:p>
        </w:tc>
      </w:tr>
    </w:tbl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Model Terbaik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Model terbaik adalah Decision Tree dengan accuracy 0.999248, precision 0.999500, recall 0.999000, dan F1-score 0.999250. Pemilihan dilakukan berdasarkan F1-score sebagai prioritas utama, recall sebagai prioritas kedua, dan accuracy sebagai prioritas ketiga.</w:t>
      </w:r>
    </w:p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Analisis Error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Confusion matrix model terbaik adalah TN=1986, FP=1, FN=2, dan TP=1998. Kesalahan false negative perlu mendapat perhatian karena traffic anomaly yang gagal terdeteksi dapat berdampak pada respons insiden.</w:t>
      </w:r>
    </w:p>
    <w:p>
      <w:pPr>
        <w:spacing w:before="140" w:after="80"/>
      </w:pPr>
      <w:r>
        <w:rPr>
          <w:rFonts w:ascii="Times New Roman" w:hAnsi="Times New Roman" w:eastAsia="Times New Roman"/>
          <w:b/>
          <w:color w:val="000000"/>
          <w:sz w:val="24"/>
        </w:rPr>
        <w:t>Hyperparameter Analysis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Eksperimen utama menggunakan konfigurasi sederhana agar low-budget dan mudah direplikasi. Untuk peningkatan nilai penelitian, tuning dapat dilakukan pada max_depth, min_samples_split, n_estimators, dan class_weight, lalu divalidasi menggunakan cross-validation.</w:t>
      </w:r>
    </w:p>
    <w:p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303520" cy="3219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Gambar 1. Grafik perbandingan model.</w:t>
      </w:r>
    </w:p>
    <w:p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303520" cy="44785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47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Gambar 2. Confusion matrix model terbaik.</w:t>
      </w:r>
    </w:p>
    <w:p>
      <w:r>
        <w:rPr>
          <w:rFonts w:ascii="Times New Roman" w:hAnsi="Times New Roman" w:eastAsia="Times New Roman"/>
          <w:color w:val="000000"/>
        </w:rPr>
        <w:drawing>
          <wp:inline xmlns:a="http://schemas.openxmlformats.org/drawingml/2006/main" xmlns:pic="http://schemas.openxmlformats.org/drawingml/2006/picture">
            <wp:extent cx="5303520" cy="412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2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16"/>
        </w:rPr>
        <w:t>Gambar 3. Ilustrasi ROC curve berbasis performa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Result NetGuard AI</dc:title>
  <dc:subject/>
  <dc:creator>Achmad Maulana</dc:creator>
  <cp:keywords/>
  <dc:description/>
  <cp:lastModifiedBy>Achmad Maulana</cp:lastModifiedBy>
  <cp:revision>1</cp:revision>
  <dcterms:created xsi:type="dcterms:W3CDTF">2013-12-23T23:15:00Z</dcterms:created>
  <dcterms:modified xsi:type="dcterms:W3CDTF">2013-12-23T23:15:00Z</dcterms:modified>
  <cp:category/>
</cp:coreProperties>
</file>