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40"/>
              <w:left w:type="dxa" w:w="400"/>
              <w:bottom w:type="dxa" w:w="440"/>
              <w:right w:type="dxa" w:w="400"/>
            </w:tcMar>
          </w:tcPr>
          <w:p>
            <w:pPr>
              <w:jc w:val="center"/>
            </w:pPr>
            <w:r>
              <w:rPr>
                <w:rFonts w:ascii="Arial" w:cs="Arial" w:eastAsia="Arial" w:hAnsi="Arial"/>
                <w:b/>
                <w:bCs/>
                <w:color w:val="A8C8E8"/>
                <w:sz w:val="28"/>
                <w:szCs w:val="28"/>
              </w:rPr>
              <w:t xml:space="preserve">☕  JAVA MICROSERVICES</w:t>
            </w:r>
          </w:p>
          <w:p>
            <w:pPr>
              <w:spacing w:after="160" w:before="160"/>
              <w:jc w:val="center"/>
            </w:pPr>
            <w:r>
              <w:rPr>
                <w:rFonts w:ascii="Arial" w:cs="Arial" w:eastAsia="Arial" w:hAnsi="Arial"/>
                <w:b/>
                <w:bCs/>
                <w:color w:val="FFFFFF"/>
                <w:sz w:val="56"/>
                <w:szCs w:val="56"/>
              </w:rPr>
              <w:t xml:space="preserve">AI Code Review Agent</w:t>
            </w:r>
          </w:p>
          <w:p>
            <w:pPr>
              <w:jc w:val="center"/>
            </w:pPr>
            <w:r>
              <w:rPr>
                <w:rFonts w:ascii="Arial" w:cs="Arial" w:eastAsia="Arial" w:hAnsi="Arial"/>
                <w:color w:val="A8C8E8"/>
                <w:sz w:val="28"/>
                <w:szCs w:val="28"/>
              </w:rPr>
              <w:t xml:space="preserve">Spec-Driven Development Specification</w:t>
            </w:r>
          </w:p>
        </w:tc>
      </w:tr>
    </w:tbl>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1E7" w:sz="4"/>
              <w:left w:val="single" w:color="DDE1E7" w:sz="4"/>
              <w:bottom w:val="single" w:color="DDE1E7" w:sz="4"/>
              <w:right w:val="single" w:color="DDE1E7" w:sz="4"/>
            </w:tcBorders>
            <w:shd w:fill="F4F6F9" w:val="clear"/>
            <w:tcMar>
              <w:top w:type="dxa" w:w="100"/>
              <w:left w:type="dxa" w:w="160"/>
              <w:bottom w:type="dxa" w:w="100"/>
              <w:right w:type="dxa" w:w="120"/>
            </w:tcMar>
          </w:tcPr>
          <w:p>
            <w:r>
              <w:rPr>
                <w:rFonts w:ascii="Arial" w:cs="Arial" w:eastAsia="Arial" w:hAnsi="Arial"/>
                <w:b/>
                <w:bCs/>
                <w:color w:val="1C1C1C"/>
                <w:sz w:val="20"/>
                <w:szCs w:val="20"/>
              </w:rPr>
              <w:t xml:space="preserve">Document Type</w:t>
            </w:r>
          </w:p>
        </w:tc>
        <w:tc>
          <w:tcPr>
            <w:tcW w:type="dxa" w:w="6560"/>
            <w:tcBorders>
              <w:top w:val="single" w:color="DDE1E7" w:sz="4"/>
              <w:left w:val="single" w:color="DDE1E7" w:sz="4"/>
              <w:bottom w:val="single" w:color="DDE1E7" w:sz="4"/>
              <w:right w:val="single" w:color="DDE1E7" w:sz="4"/>
            </w:tcBorders>
            <w:tcMar>
              <w:top w:type="dxa" w:w="100"/>
              <w:left w:type="dxa" w:w="160"/>
              <w:bottom w:type="dxa" w:w="100"/>
              <w:right w:type="dxa" w:w="160"/>
            </w:tcMar>
          </w:tcPr>
          <w:p>
            <w:r>
              <w:rPr>
                <w:rFonts w:ascii="Arial" w:cs="Arial" w:eastAsia="Arial" w:hAnsi="Arial"/>
                <w:sz w:val="20"/>
                <w:szCs w:val="20"/>
              </w:rPr>
              <w:t xml:space="preserve">Spec-Driven Development (SDD) Blueprint</w:t>
            </w:r>
          </w:p>
        </w:tc>
      </w:tr>
      <w:tr>
        <w:tc>
          <w:tcPr>
            <w:tcW w:type="dxa" w:w="2800"/>
            <w:tcBorders>
              <w:top w:val="single" w:color="DDE1E7" w:sz="4"/>
              <w:left w:val="single" w:color="DDE1E7" w:sz="4"/>
              <w:bottom w:val="single" w:color="DDE1E7" w:sz="4"/>
              <w:right w:val="single" w:color="DDE1E7" w:sz="4"/>
            </w:tcBorders>
            <w:shd w:fill="F4F6F9" w:val="clear"/>
            <w:tcMar>
              <w:top w:type="dxa" w:w="100"/>
              <w:left w:type="dxa" w:w="160"/>
              <w:bottom w:type="dxa" w:w="100"/>
              <w:right w:type="dxa" w:w="120"/>
            </w:tcMar>
          </w:tcPr>
          <w:p>
            <w:r>
              <w:rPr>
                <w:rFonts w:ascii="Arial" w:cs="Arial" w:eastAsia="Arial" w:hAnsi="Arial"/>
                <w:b/>
                <w:bCs/>
                <w:color w:val="1C1C1C"/>
                <w:sz w:val="20"/>
                <w:szCs w:val="20"/>
              </w:rPr>
              <w:t xml:space="preserve">Version</w:t>
            </w:r>
          </w:p>
        </w:tc>
        <w:tc>
          <w:tcPr>
            <w:tcW w:type="dxa" w:w="6560"/>
            <w:tcBorders>
              <w:top w:val="single" w:color="DDE1E7" w:sz="4"/>
              <w:left w:val="single" w:color="DDE1E7" w:sz="4"/>
              <w:bottom w:val="single" w:color="DDE1E7" w:sz="4"/>
              <w:right w:val="single" w:color="DDE1E7" w:sz="4"/>
            </w:tcBorders>
            <w:tcMar>
              <w:top w:type="dxa" w:w="100"/>
              <w:left w:type="dxa" w:w="160"/>
              <w:bottom w:type="dxa" w:w="100"/>
              <w:right w:type="dxa" w:w="160"/>
            </w:tcMar>
          </w:tcPr>
          <w:p>
            <w:r>
              <w:rPr>
                <w:rFonts w:ascii="Arial" w:cs="Arial" w:eastAsia="Arial" w:hAnsi="Arial"/>
                <w:sz w:val="20"/>
                <w:szCs w:val="20"/>
              </w:rPr>
              <w:t xml:space="preserve">1.2  —  Version Refresh + Test Suite Encoding (Shaw/Fowler SDD, April 2026)</w:t>
            </w:r>
          </w:p>
        </w:tc>
      </w:tr>
      <w:tr>
        <w:tc>
          <w:tcPr>
            <w:tcW w:type="dxa" w:w="2800"/>
            <w:tcBorders>
              <w:top w:val="single" w:color="DDE1E7" w:sz="4"/>
              <w:left w:val="single" w:color="DDE1E7" w:sz="4"/>
              <w:bottom w:val="single" w:color="DDE1E7" w:sz="4"/>
              <w:right w:val="single" w:color="DDE1E7" w:sz="4"/>
            </w:tcBorders>
            <w:shd w:fill="F4F6F9" w:val="clear"/>
            <w:tcMar>
              <w:top w:type="dxa" w:w="100"/>
              <w:left w:type="dxa" w:w="160"/>
              <w:bottom w:type="dxa" w:w="100"/>
              <w:right w:type="dxa" w:w="120"/>
            </w:tcMar>
          </w:tcPr>
          <w:p>
            <w:r>
              <w:rPr>
                <w:rFonts w:ascii="Arial" w:cs="Arial" w:eastAsia="Arial" w:hAnsi="Arial"/>
                <w:b/>
                <w:bCs/>
                <w:color w:val="1C1C1C"/>
                <w:sz w:val="20"/>
                <w:szCs w:val="20"/>
              </w:rPr>
              <w:t xml:space="preserve">Status</w:t>
            </w:r>
          </w:p>
        </w:tc>
        <w:tc>
          <w:tcPr>
            <w:tcW w:type="dxa" w:w="6560"/>
            <w:tcBorders>
              <w:top w:val="single" w:color="DDE1E7" w:sz="4"/>
              <w:left w:val="single" w:color="DDE1E7" w:sz="4"/>
              <w:bottom w:val="single" w:color="DDE1E7" w:sz="4"/>
              <w:right w:val="single" w:color="DDE1E7" w:sz="4"/>
            </w:tcBorders>
            <w:tcMar>
              <w:top w:type="dxa" w:w="100"/>
              <w:left w:type="dxa" w:w="160"/>
              <w:bottom w:type="dxa" w:w="100"/>
              <w:right w:type="dxa" w:w="160"/>
            </w:tcMar>
          </w:tcPr>
          <w:p>
            <w:r>
              <w:rPr>
                <w:rFonts w:ascii="Arial" w:cs="Arial" w:eastAsia="Arial" w:hAnsi="Arial"/>
                <w:sz w:val="20"/>
                <w:szCs w:val="20"/>
              </w:rPr>
              <w:t xml:space="preserve">APPROVED FOR DEVELOPMENT</w:t>
            </w:r>
          </w:p>
        </w:tc>
      </w:tr>
      <w:tr>
        <w:tc>
          <w:tcPr>
            <w:tcW w:type="dxa" w:w="2800"/>
            <w:tcBorders>
              <w:top w:val="single" w:color="DDE1E7" w:sz="4"/>
              <w:left w:val="single" w:color="DDE1E7" w:sz="4"/>
              <w:bottom w:val="single" w:color="DDE1E7" w:sz="4"/>
              <w:right w:val="single" w:color="DDE1E7" w:sz="4"/>
            </w:tcBorders>
            <w:shd w:fill="F4F6F9" w:val="clear"/>
            <w:tcMar>
              <w:top w:type="dxa" w:w="100"/>
              <w:left w:type="dxa" w:w="160"/>
              <w:bottom w:type="dxa" w:w="100"/>
              <w:right w:type="dxa" w:w="120"/>
            </w:tcMar>
          </w:tcPr>
          <w:p>
            <w:r>
              <w:rPr>
                <w:rFonts w:ascii="Arial" w:cs="Arial" w:eastAsia="Arial" w:hAnsi="Arial"/>
                <w:b/>
                <w:bCs/>
                <w:color w:val="1C1C1C"/>
                <w:sz w:val="20"/>
                <w:szCs w:val="20"/>
              </w:rPr>
              <w:t xml:space="preserve">Target Agent</w:t>
            </w:r>
          </w:p>
        </w:tc>
        <w:tc>
          <w:tcPr>
            <w:tcW w:type="dxa" w:w="6560"/>
            <w:tcBorders>
              <w:top w:val="single" w:color="DDE1E7" w:sz="4"/>
              <w:left w:val="single" w:color="DDE1E7" w:sz="4"/>
              <w:bottom w:val="single" w:color="DDE1E7" w:sz="4"/>
              <w:right w:val="single" w:color="DDE1E7" w:sz="4"/>
            </w:tcBorders>
            <w:tcMar>
              <w:top w:type="dxa" w:w="100"/>
              <w:left w:type="dxa" w:w="160"/>
              <w:bottom w:type="dxa" w:w="100"/>
              <w:right w:type="dxa" w:w="160"/>
            </w:tcMar>
          </w:tcPr>
          <w:p>
            <w:r>
              <w:rPr>
                <w:rFonts w:ascii="Arial" w:cs="Arial" w:eastAsia="Arial" w:hAnsi="Arial"/>
                <w:sz w:val="20"/>
                <w:szCs w:val="20"/>
              </w:rPr>
              <w:t xml:space="preserve">Java Microservices Code Review Agent (JMCRA)</w:t>
            </w:r>
          </w:p>
        </w:tc>
      </w:tr>
      <w:tr>
        <w:tc>
          <w:tcPr>
            <w:tcW w:type="dxa" w:w="2800"/>
            <w:tcBorders>
              <w:top w:val="single" w:color="DDE1E7" w:sz="4"/>
              <w:left w:val="single" w:color="DDE1E7" w:sz="4"/>
              <w:bottom w:val="single" w:color="DDE1E7" w:sz="4"/>
              <w:right w:val="single" w:color="DDE1E7" w:sz="4"/>
            </w:tcBorders>
            <w:shd w:fill="F4F6F9" w:val="clear"/>
            <w:tcMar>
              <w:top w:type="dxa" w:w="100"/>
              <w:left w:type="dxa" w:w="160"/>
              <w:bottom w:type="dxa" w:w="100"/>
              <w:right w:type="dxa" w:w="120"/>
            </w:tcMar>
          </w:tcPr>
          <w:p>
            <w:r>
              <w:rPr>
                <w:rFonts w:ascii="Arial" w:cs="Arial" w:eastAsia="Arial" w:hAnsi="Arial"/>
                <w:b/>
                <w:bCs/>
                <w:color w:val="1C1C1C"/>
                <w:sz w:val="20"/>
                <w:szCs w:val="20"/>
              </w:rPr>
              <w:t xml:space="preserve">Spec Author</w:t>
            </w:r>
          </w:p>
        </w:tc>
        <w:tc>
          <w:tcPr>
            <w:tcW w:type="dxa" w:w="6560"/>
            <w:tcBorders>
              <w:top w:val="single" w:color="DDE1E7" w:sz="4"/>
              <w:left w:val="single" w:color="DDE1E7" w:sz="4"/>
              <w:bottom w:val="single" w:color="DDE1E7" w:sz="4"/>
              <w:right w:val="single" w:color="DDE1E7" w:sz="4"/>
            </w:tcBorders>
            <w:tcMar>
              <w:top w:type="dxa" w:w="100"/>
              <w:left w:type="dxa" w:w="160"/>
              <w:bottom w:type="dxa" w:w="100"/>
              <w:right w:type="dxa" w:w="160"/>
            </w:tcMar>
          </w:tcPr>
          <w:p>
            <w:r>
              <w:rPr>
                <w:rFonts w:ascii="Arial" w:cs="Arial" w:eastAsia="Arial" w:hAnsi="Arial"/>
                <w:sz w:val="20"/>
                <w:szCs w:val="20"/>
              </w:rPr>
              <w:t xml:space="preserve">Engineering Platform Team</w:t>
            </w:r>
          </w:p>
        </w:tc>
      </w:tr>
      <w:tr>
        <w:tc>
          <w:tcPr>
            <w:tcW w:type="dxa" w:w="2800"/>
            <w:tcBorders>
              <w:top w:val="single" w:color="DDE1E7" w:sz="4"/>
              <w:left w:val="single" w:color="DDE1E7" w:sz="4"/>
              <w:bottom w:val="single" w:color="DDE1E7" w:sz="4"/>
              <w:right w:val="single" w:color="DDE1E7" w:sz="4"/>
            </w:tcBorders>
            <w:shd w:fill="F4F6F9" w:val="clear"/>
            <w:tcMar>
              <w:top w:type="dxa" w:w="100"/>
              <w:left w:type="dxa" w:w="160"/>
              <w:bottom w:type="dxa" w:w="100"/>
              <w:right w:type="dxa" w:w="120"/>
            </w:tcMar>
          </w:tcPr>
          <w:p>
            <w:r>
              <w:rPr>
                <w:rFonts w:ascii="Arial" w:cs="Arial" w:eastAsia="Arial" w:hAnsi="Arial"/>
                <w:b/>
                <w:bCs/>
                <w:color w:val="1C1C1C"/>
                <w:sz w:val="20"/>
                <w:szCs w:val="20"/>
              </w:rPr>
              <w:t xml:space="preserve">Last Updated</w:t>
            </w:r>
          </w:p>
        </w:tc>
        <w:tc>
          <w:tcPr>
            <w:tcW w:type="dxa" w:w="6560"/>
            <w:tcBorders>
              <w:top w:val="single" w:color="DDE1E7" w:sz="4"/>
              <w:left w:val="single" w:color="DDE1E7" w:sz="4"/>
              <w:bottom w:val="single" w:color="DDE1E7" w:sz="4"/>
              <w:right w:val="single" w:color="DDE1E7" w:sz="4"/>
            </w:tcBorders>
            <w:tcMar>
              <w:top w:type="dxa" w:w="100"/>
              <w:left w:type="dxa" w:w="160"/>
              <w:bottom w:type="dxa" w:w="100"/>
              <w:right w:type="dxa" w:w="160"/>
            </w:tcMar>
          </w:tcPr>
          <w:p>
            <w:r>
              <w:rPr>
                <w:rFonts w:ascii="Arial" w:cs="Arial" w:eastAsia="Arial" w:hAnsi="Arial"/>
                <w:sz w:val="20"/>
                <w:szCs w:val="20"/>
              </w:rPr>
              <w:t xml:space="preserve">April 2026</w:t>
            </w:r>
          </w:p>
        </w:tc>
      </w:tr>
      <w:tr>
        <w:tc>
          <w:tcPr>
            <w:tcW w:type="dxa" w:w="2800"/>
            <w:tcBorders>
              <w:top w:val="single" w:color="DDE1E7" w:sz="4"/>
              <w:left w:val="single" w:color="DDE1E7" w:sz="4"/>
              <w:bottom w:val="single" w:color="DDE1E7" w:sz="4"/>
              <w:right w:val="single" w:color="DDE1E7" w:sz="4"/>
            </w:tcBorders>
            <w:shd w:fill="F4F6F9" w:val="clear"/>
            <w:tcMar>
              <w:top w:type="dxa" w:w="100"/>
              <w:left w:type="dxa" w:w="160"/>
              <w:bottom w:type="dxa" w:w="100"/>
              <w:right w:type="dxa" w:w="120"/>
            </w:tcMar>
          </w:tcPr>
          <w:p>
            <w:r>
              <w:rPr>
                <w:rFonts w:ascii="Arial" w:cs="Arial" w:eastAsia="Arial" w:hAnsi="Arial"/>
                <w:b/>
                <w:bCs/>
                <w:color w:val="1C1C1C"/>
                <w:sz w:val="20"/>
                <w:szCs w:val="20"/>
              </w:rPr>
              <w:t xml:space="preserve">Classification</w:t>
            </w:r>
          </w:p>
        </w:tc>
        <w:tc>
          <w:tcPr>
            <w:tcW w:type="dxa" w:w="6560"/>
            <w:tcBorders>
              <w:top w:val="single" w:color="DDE1E7" w:sz="4"/>
              <w:left w:val="single" w:color="DDE1E7" w:sz="4"/>
              <w:bottom w:val="single" w:color="DDE1E7" w:sz="4"/>
              <w:right w:val="single" w:color="DDE1E7" w:sz="4"/>
            </w:tcBorders>
            <w:tcMar>
              <w:top w:type="dxa" w:w="100"/>
              <w:left w:type="dxa" w:w="160"/>
              <w:bottom w:type="dxa" w:w="100"/>
              <w:right w:type="dxa" w:w="160"/>
            </w:tcMar>
          </w:tcPr>
          <w:p>
            <w:r>
              <w:rPr>
                <w:rFonts w:ascii="Arial" w:cs="Arial" w:eastAsia="Arial" w:hAnsi="Arial"/>
                <w:sz w:val="20"/>
                <w:szCs w:val="20"/>
              </w:rPr>
              <w:t xml:space="preserve">Internal — Engineering Use Only</w:t>
            </w:r>
          </w:p>
        </w:tc>
      </w:tr>
    </w:tbl>
    <w:p>
      <w:pPr>
        <w:spacing w:after="0" w:before="600"/>
      </w:pPr>
    </w:p>
    <w:p>
      <w:pPr>
        <w:jc w:val="center"/>
      </w:pPr>
      <w:r>
        <w:rPr>
          <w:rFonts w:ascii="Arial" w:cs="Arial" w:eastAsia="Arial" w:hAnsi="Arial"/>
          <w:i/>
          <w:iCs/>
          <w:color w:val="8A96A3"/>
          <w:sz w:val="20"/>
          <w:szCs w:val="20"/>
        </w:rPr>
        <w:t xml:space="preserve">This document defines architecture, review domain taxonomy, agent design patterns, test specification, and delivery plan for the Java Microservices AI Code Review Agent.</w:t>
      </w:r>
    </w:p>
    <w:p>
      <w:pPr>
        <w:sectPr>
          <w:pgSz w:w="12240" w:h="15840" w:orient="portrait"/>
          <w:pgMar w:top="1440" w:right="1440" w:bottom="1440" w:left="1440" w:header="708" w:footer="708" w:gutter="0"/>
          <w:pgNumType/>
          <w:docGrid w:linePitch="360"/>
        </w:sectPr>
      </w:pPr>
    </w:p>
    <w:p>
      <w:pPr>
        <w:pStyle w:val="Heading1"/>
        <w:shd w:fill="1E3A5F" w:val="clear"/>
        <w:spacing w:after="240" w:before="480"/>
      </w:pPr>
      <w:r>
        <w:rPr>
          <w:rFonts w:ascii="Arial" w:cs="Arial" w:eastAsia="Arial" w:hAnsi="Arial"/>
          <w:b/>
          <w:bCs/>
          <w:color w:val="FFFFFF"/>
          <w:sz w:val="36"/>
          <w:szCs w:val="36"/>
        </w:rPr>
        <w:t xml:space="preserve">1.  Executive Summary</w:t>
      </w:r>
    </w:p>
    <w:p>
      <w:pPr>
        <w:spacing w:after="80" w:before="80"/>
      </w:pPr>
      <w:r>
        <w:rPr>
          <w:rFonts w:ascii="Arial" w:cs="Arial" w:eastAsia="Arial" w:hAnsi="Arial"/>
          <w:color w:val="1C1C1C"/>
          <w:sz w:val="22"/>
          <w:szCs w:val="22"/>
        </w:rPr>
        <w:t xml:space="preserve">The Java Microservices AI Code Review Agent (JMCRA) is an autonomous AI agent purpose-built to perform deep, opinionated static and semantic analysis of Java microservice codebases. It operates on individual pull requests, scheduled scans, or CI/CD pipeline hooks, and emits structured, actionable findings across twelve review domains.</w:t>
      </w:r>
    </w:p>
    <w:p>
      <w:pPr>
        <w:spacing w:after="80" w:before="80"/>
      </w:pPr>
      <w:r>
        <w:rPr>
          <w:rFonts w:ascii="Arial" w:cs="Arial" w:eastAsia="Arial" w:hAnsi="Arial"/>
          <w:color w:val="1C1C1C"/>
          <w:sz w:val="22"/>
          <w:szCs w:val="22"/>
        </w:rPr>
        <w:t xml:space="preserve">Unlike general-purpose linters, JMCRA reasons about microservice-specific concerns such as inter-service contract safety, distributed tracing hygiene, resilience pattern compliance, and event-driven consistency—domains that conventional static analysis tools cannot address.</w:t>
      </w:r>
    </w:p>
    <w:p>
      <w:pPr>
        <w:spacing w:after="0" w:before="120"/>
      </w:pPr>
    </w:p>
    <w:p>
      <w:pPr>
        <w:pStyle w:val="Heading2"/>
        <w:pBdr>
          <w:bottom w:val="single" w:color="2E6DA4" w:sz="6"/>
        </w:pBdr>
        <w:spacing w:after="180" w:before="360"/>
      </w:pPr>
      <w:r>
        <w:rPr>
          <w:rFonts w:ascii="Arial" w:cs="Arial" w:eastAsia="Arial" w:hAnsi="Arial"/>
          <w:b/>
          <w:bCs/>
          <w:color w:val="1E3A5F"/>
          <w:sz w:val="28"/>
          <w:szCs w:val="28"/>
        </w:rPr>
        <w:t xml:space="preserve">1.1  Why Spec-Driven Development?</w:t>
      </w:r>
    </w:p>
    <w:p>
      <w:pPr>
        <w:spacing w:after="80" w:before="80"/>
      </w:pPr>
      <w:r>
        <w:rPr>
          <w:rFonts w:ascii="Arial" w:cs="Arial" w:eastAsia="Arial" w:hAnsi="Arial"/>
          <w:color w:val="1C1C1C"/>
          <w:sz w:val="22"/>
          <w:szCs w:val="22"/>
        </w:rPr>
        <w:t xml:space="preserve">Spec-Driven Development (SDD) requires every capability to be specified before a single line of implementation code is written. This document is the canonical specification. Development teams, QA engineers, and AI model operators MUST NOT build features that deviate from this spec without a formal change request.</w:t>
      </w:r>
    </w:p>
    <w:p>
      <w:pPr>
        <w:spacing w:after="80" w:before="80"/>
      </w:pPr>
      <w:r>
        <w:rPr>
          <w:rFonts w:ascii="Arial" w:cs="Arial" w:eastAsia="Arial" w:hAnsi="Arial"/>
          <w:color w:val="1C1C1C"/>
          <w:sz w:val="22"/>
          <w:szCs w:val="22"/>
        </w:rPr>
        <w:t xml:space="preserve">Benefits realised by this approach in the JMCRA context:</w:t>
      </w:r>
    </w:p>
    <w:p>
      <w:pPr>
        <w:pStyle w:val="ListParagraph"/>
        <w:numPr>
          <w:ilvl w:val="0"/>
          <w:numId w:val="2"/>
        </w:numPr>
        <w:spacing w:after="60" w:before="60"/>
      </w:pPr>
      <w:r>
        <w:rPr>
          <w:rFonts w:ascii="Arial" w:cs="Arial" w:eastAsia="Arial" w:hAnsi="Arial"/>
          <w:color w:val="1C1C1C"/>
          <w:sz w:val="22"/>
          <w:szCs w:val="22"/>
        </w:rPr>
        <w:t xml:space="preserve">Deterministic agent behaviour: every review finding maps to a spec rule ID.</w:t>
      </w:r>
    </w:p>
    <w:p>
      <w:pPr>
        <w:pStyle w:val="ListParagraph"/>
        <w:numPr>
          <w:ilvl w:val="0"/>
          <w:numId w:val="2"/>
        </w:numPr>
        <w:spacing w:after="60" w:before="60"/>
      </w:pPr>
      <w:r>
        <w:rPr>
          <w:rFonts w:ascii="Arial" w:cs="Arial" w:eastAsia="Arial" w:hAnsi="Arial"/>
          <w:color w:val="1C1C1C"/>
          <w:sz w:val="22"/>
          <w:szCs w:val="22"/>
        </w:rPr>
        <w:t xml:space="preserve">Testability: each rule has an acceptance test defined before implementation begins.</w:t>
      </w:r>
    </w:p>
    <w:p>
      <w:pPr>
        <w:pStyle w:val="ListParagraph"/>
        <w:numPr>
          <w:ilvl w:val="0"/>
          <w:numId w:val="2"/>
        </w:numPr>
        <w:spacing w:after="60" w:before="60"/>
      </w:pPr>
      <w:r>
        <w:rPr>
          <w:rFonts w:ascii="Arial" w:cs="Arial" w:eastAsia="Arial" w:hAnsi="Arial"/>
          <w:color w:val="1C1C1C"/>
          <w:sz w:val="22"/>
          <w:szCs w:val="22"/>
        </w:rPr>
        <w:t xml:space="preserve">Auditability: every finding produced in production can be traced back to a rule version.</w:t>
      </w:r>
    </w:p>
    <w:p>
      <w:pPr>
        <w:pStyle w:val="ListParagraph"/>
        <w:numPr>
          <w:ilvl w:val="0"/>
          <w:numId w:val="2"/>
        </w:numPr>
        <w:spacing w:after="60" w:before="60"/>
      </w:pPr>
      <w:r>
        <w:rPr>
          <w:rFonts w:ascii="Arial" w:cs="Arial" w:eastAsia="Arial" w:hAnsi="Arial"/>
          <w:color w:val="1C1C1C"/>
          <w:sz w:val="22"/>
          <w:szCs w:val="22"/>
        </w:rPr>
        <w:t xml:space="preserve">Contractual clarity: downstream teams know the exact shape of agent output before integration.</w:t>
      </w:r>
    </w:p>
    <w:p>
      <w:r>
        <w:br w:type="page"/>
      </w:r>
    </w:p>
    <w:p>
      <w:pPr>
        <w:pStyle w:val="Heading1"/>
        <w:shd w:fill="1E3A5F" w:val="clear"/>
        <w:spacing w:after="240" w:before="480"/>
      </w:pPr>
      <w:r>
        <w:rPr>
          <w:rFonts w:ascii="Arial" w:cs="Arial" w:eastAsia="Arial" w:hAnsi="Arial"/>
          <w:b/>
          <w:bCs/>
          <w:color w:val="FFFFFF"/>
          <w:sz w:val="36"/>
          <w:szCs w:val="36"/>
        </w:rPr>
        <w:t xml:space="preserve">2.  Scope &amp; Boundaries</w:t>
      </w:r>
    </w:p>
    <w:p>
      <w:pPr>
        <w:pStyle w:val="Heading2"/>
        <w:pBdr>
          <w:bottom w:val="single" w:color="2E6DA4" w:sz="6"/>
        </w:pBdr>
        <w:spacing w:after="180" w:before="360"/>
      </w:pPr>
      <w:r>
        <w:rPr>
          <w:rFonts w:ascii="Arial" w:cs="Arial" w:eastAsia="Arial" w:hAnsi="Arial"/>
          <w:b/>
          <w:bCs/>
          <w:color w:val="1E3A5F"/>
          <w:sz w:val="28"/>
          <w:szCs w:val="28"/>
        </w:rPr>
        <w:t xml:space="preserve">2.1  In Scope</w:t>
      </w:r>
    </w:p>
    <w:p>
      <w:pPr>
        <w:pStyle w:val="ListParagraph"/>
        <w:numPr>
          <w:ilvl w:val="0"/>
          <w:numId w:val="2"/>
        </w:numPr>
        <w:spacing w:after="60" w:before="60"/>
      </w:pPr>
      <w:r>
        <w:rPr>
          <w:rFonts w:ascii="Arial" w:cs="Arial" w:eastAsia="Arial" w:hAnsi="Arial"/>
          <w:color w:val="1C1C1C"/>
          <w:sz w:val="22"/>
          <w:szCs w:val="22"/>
        </w:rPr>
        <w:t xml:space="preserve">Java 17 – 26 source code (Maven and Gradle projects; Java 25 LTS primary target)</w:t>
      </w:r>
    </w:p>
    <w:p>
      <w:pPr>
        <w:pStyle w:val="ListParagraph"/>
        <w:numPr>
          <w:ilvl w:val="0"/>
          <w:numId w:val="2"/>
        </w:numPr>
        <w:spacing w:after="60" w:before="60"/>
      </w:pPr>
      <w:r>
        <w:rPr>
          <w:rFonts w:ascii="Arial" w:cs="Arial" w:eastAsia="Arial" w:hAnsi="Arial"/>
          <w:color w:val="1C1C1C"/>
          <w:sz w:val="22"/>
          <w:szCs w:val="22"/>
        </w:rPr>
        <w:t xml:space="preserve">Spring Boot 4.x (Spring Framework 7) microservices and Spring Cloud 2025.1.x (Oakwood)</w:t>
      </w:r>
    </w:p>
    <w:p>
      <w:pPr>
        <w:pStyle w:val="ListParagraph"/>
        <w:numPr>
          <w:ilvl w:val="0"/>
          <w:numId w:val="2"/>
        </w:numPr>
        <w:spacing w:after="60" w:before="60"/>
      </w:pPr>
      <w:r>
        <w:rPr>
          <w:rFonts w:ascii="Arial" w:cs="Arial" w:eastAsia="Arial" w:hAnsi="Arial"/>
          <w:color w:val="1C1C1C"/>
          <w:sz w:val="22"/>
          <w:szCs w:val="22"/>
        </w:rPr>
        <w:t xml:space="preserve">Reactive stacks: Project Reactor, RxJava 3, Vert.x</w:t>
      </w:r>
    </w:p>
    <w:p>
      <w:pPr>
        <w:pStyle w:val="ListParagraph"/>
        <w:numPr>
          <w:ilvl w:val="0"/>
          <w:numId w:val="2"/>
        </w:numPr>
        <w:spacing w:after="60" w:before="60"/>
      </w:pPr>
      <w:r>
        <w:rPr>
          <w:rFonts w:ascii="Arial" w:cs="Arial" w:eastAsia="Arial" w:hAnsi="Arial"/>
          <w:color w:val="1C1C1C"/>
          <w:sz w:val="22"/>
          <w:szCs w:val="22"/>
        </w:rPr>
        <w:t xml:space="preserve">Messaging: Apache Kafka, RabbitMQ, AWS SQS consumers/producers</w:t>
      </w:r>
    </w:p>
    <w:p>
      <w:pPr>
        <w:pStyle w:val="ListParagraph"/>
        <w:numPr>
          <w:ilvl w:val="0"/>
          <w:numId w:val="2"/>
        </w:numPr>
        <w:spacing w:after="60" w:before="60"/>
      </w:pPr>
      <w:r>
        <w:rPr>
          <w:rFonts w:ascii="Arial" w:cs="Arial" w:eastAsia="Arial" w:hAnsi="Arial"/>
          <w:color w:val="1C1C1C"/>
          <w:sz w:val="22"/>
          <w:szCs w:val="22"/>
        </w:rPr>
        <w:t xml:space="preserve">REST APIs, gRPC stubs, and OpenAPI / Protobuf contract files</w:t>
      </w:r>
    </w:p>
    <w:p>
      <w:pPr>
        <w:pStyle w:val="ListParagraph"/>
        <w:numPr>
          <w:ilvl w:val="0"/>
          <w:numId w:val="2"/>
        </w:numPr>
        <w:spacing w:after="60" w:before="60"/>
      </w:pPr>
      <w:r>
        <w:rPr>
          <w:rFonts w:ascii="Arial" w:cs="Arial" w:eastAsia="Arial" w:hAnsi="Arial"/>
          <w:color w:val="1C1C1C"/>
          <w:sz w:val="22"/>
          <w:szCs w:val="22"/>
        </w:rPr>
        <w:t xml:space="preserve">Database access: JPA/Hibernate, R2DBC, MyBatis, JOOQ</w:t>
      </w:r>
    </w:p>
    <w:p>
      <w:pPr>
        <w:pStyle w:val="ListParagraph"/>
        <w:numPr>
          <w:ilvl w:val="0"/>
          <w:numId w:val="2"/>
        </w:numPr>
        <w:spacing w:after="60" w:before="60"/>
      </w:pPr>
      <w:r>
        <w:rPr>
          <w:rFonts w:ascii="Arial" w:cs="Arial" w:eastAsia="Arial" w:hAnsi="Arial"/>
          <w:color w:val="1C1C1C"/>
          <w:sz w:val="22"/>
          <w:szCs w:val="22"/>
        </w:rPr>
        <w:t xml:space="preserve">Infrastructure-as-code annotations: Kubernetes manifests referenced in source (e.g., liveness probe paths)</w:t>
      </w:r>
    </w:p>
    <w:p>
      <w:pPr>
        <w:pStyle w:val="ListParagraph"/>
        <w:numPr>
          <w:ilvl w:val="0"/>
          <w:numId w:val="2"/>
        </w:numPr>
        <w:spacing w:after="60" w:before="60"/>
      </w:pPr>
      <w:r>
        <w:rPr>
          <w:rFonts w:ascii="Arial" w:cs="Arial" w:eastAsia="Arial" w:hAnsi="Arial"/>
          <w:color w:val="1C1C1C"/>
          <w:sz w:val="22"/>
          <w:szCs w:val="22"/>
        </w:rPr>
        <w:t xml:space="preserve">CI/CD hooks: GitHub Actions, GitLab CI, Jenkins pipeline files for build-time gate integration</w:t>
      </w:r>
    </w:p>
    <w:p>
      <w:pPr>
        <w:spacing w:after="0" w:before="80"/>
      </w:pPr>
    </w:p>
    <w:p>
      <w:pPr>
        <w:pStyle w:val="Heading2"/>
        <w:pBdr>
          <w:bottom w:val="single" w:color="2E6DA4" w:sz="6"/>
        </w:pBdr>
        <w:spacing w:after="180" w:before="360"/>
      </w:pPr>
      <w:r>
        <w:rPr>
          <w:rFonts w:ascii="Arial" w:cs="Arial" w:eastAsia="Arial" w:hAnsi="Arial"/>
          <w:b/>
          <w:bCs/>
          <w:color w:val="1E3A5F"/>
          <w:sz w:val="28"/>
          <w:szCs w:val="28"/>
        </w:rPr>
        <w:t xml:space="preserve">2.2  Out of Scope</w:t>
      </w:r>
    </w:p>
    <w:p>
      <w:pPr>
        <w:pStyle w:val="ListParagraph"/>
        <w:numPr>
          <w:ilvl w:val="0"/>
          <w:numId w:val="3"/>
        </w:numPr>
        <w:spacing w:after="60" w:before="60"/>
      </w:pPr>
      <w:r>
        <w:rPr>
          <w:rFonts w:ascii="Arial" w:cs="Arial" w:eastAsia="Arial" w:hAnsi="Arial"/>
          <w:color w:val="1C1C1C"/>
          <w:sz w:val="22"/>
          <w:szCs w:val="22"/>
        </w:rPr>
        <w:t xml:space="preserve">Kotlin, Scala, or Groovy source (planned for JMCRA v2)</w:t>
      </w:r>
    </w:p>
    <w:p>
      <w:pPr>
        <w:pStyle w:val="ListParagraph"/>
        <w:numPr>
          <w:ilvl w:val="0"/>
          <w:numId w:val="3"/>
        </w:numPr>
        <w:spacing w:after="60" w:before="60"/>
      </w:pPr>
      <w:r>
        <w:rPr>
          <w:rFonts w:ascii="Arial" w:cs="Arial" w:eastAsia="Arial" w:hAnsi="Arial"/>
          <w:color w:val="1C1C1C"/>
          <w:sz w:val="22"/>
          <w:szCs w:val="22"/>
        </w:rPr>
        <w:t xml:space="preserve">Front-end JavaScript/TypeScript modules</w:t>
      </w:r>
    </w:p>
    <w:p>
      <w:pPr>
        <w:pStyle w:val="ListParagraph"/>
        <w:numPr>
          <w:ilvl w:val="0"/>
          <w:numId w:val="3"/>
        </w:numPr>
        <w:spacing w:after="60" w:before="60"/>
      </w:pPr>
      <w:r>
        <w:rPr>
          <w:rFonts w:ascii="Arial" w:cs="Arial" w:eastAsia="Arial" w:hAnsi="Arial"/>
          <w:color w:val="1C1C1C"/>
          <w:sz w:val="22"/>
          <w:szCs w:val="22"/>
        </w:rPr>
        <w:t xml:space="preserve">Infrastructure-only repositories with no Java source</w:t>
      </w:r>
    </w:p>
    <w:p>
      <w:pPr>
        <w:pStyle w:val="ListParagraph"/>
        <w:numPr>
          <w:ilvl w:val="0"/>
          <w:numId w:val="3"/>
        </w:numPr>
        <w:spacing w:after="60" w:before="60"/>
      </w:pPr>
      <w:r>
        <w:rPr>
          <w:rFonts w:ascii="Arial" w:cs="Arial" w:eastAsia="Arial" w:hAnsi="Arial"/>
          <w:color w:val="1C1C1C"/>
          <w:sz w:val="22"/>
          <w:szCs w:val="22"/>
        </w:rPr>
        <w:t xml:space="preserve">Auto-fix / auto-PR generation (observations only in v1)</w:t>
      </w:r>
    </w:p>
    <w:p>
      <w:pPr>
        <w:pStyle w:val="ListParagraph"/>
        <w:numPr>
          <w:ilvl w:val="0"/>
          <w:numId w:val="3"/>
        </w:numPr>
        <w:spacing w:after="60" w:before="60"/>
      </w:pPr>
      <w:r>
        <w:rPr>
          <w:rFonts w:ascii="Arial" w:cs="Arial" w:eastAsia="Arial" w:hAnsi="Arial"/>
          <w:color w:val="1C1C1C"/>
          <w:sz w:val="22"/>
          <w:szCs w:val="22"/>
        </w:rPr>
        <w:t xml:space="preserve">Runtime performance profiling (separate JVM profiler agent)</w:t>
      </w:r>
    </w:p>
    <w:p>
      <w:pPr>
        <w:spacing w:after="0" w:before="80"/>
      </w:pPr>
    </w:p>
    <w:p>
      <w:pPr>
        <w:pStyle w:val="Heading2"/>
        <w:pBdr>
          <w:bottom w:val="single" w:color="2E6DA4" w:sz="6"/>
        </w:pBdr>
        <w:spacing w:after="180" w:before="360"/>
      </w:pPr>
      <w:r>
        <w:rPr>
          <w:rFonts w:ascii="Arial" w:cs="Arial" w:eastAsia="Arial" w:hAnsi="Arial"/>
          <w:b/>
          <w:bCs/>
          <w:color w:val="1E3A5F"/>
          <w:sz w:val="28"/>
          <w:szCs w:val="28"/>
        </w:rPr>
        <w:t xml:space="preserve">2.3  Integration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System</w:t>
            </w:r>
          </w:p>
        </w:tc>
        <w:tc>
          <w:tcPr>
            <w:tcW w:type="dxa" w:w="328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Integration Type</w:t>
            </w:r>
          </w:p>
        </w:tc>
        <w:tc>
          <w:tcPr>
            <w:tcW w:type="dxa" w:w="328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Protocol / Format</w:t>
            </w:r>
          </w:p>
        </w:tc>
      </w:tr>
      <w:tr>
        <w:tc>
          <w:tcPr>
            <w:tcW w:type="dxa" w:w="28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C1C1C"/>
                <w:sz w:val="20"/>
                <w:szCs w:val="20"/>
              </w:rPr>
              <w:t xml:space="preserve">GitHub / GitLab</w:t>
            </w:r>
          </w:p>
        </w:tc>
        <w:tc>
          <w:tcPr>
            <w:tcW w:type="dxa" w:w="328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20"/>
                <w:szCs w:val="20"/>
              </w:rPr>
              <w:t xml:space="preserve">Webhook trigger on PR open/update</w:t>
            </w:r>
          </w:p>
        </w:tc>
        <w:tc>
          <w:tcPr>
            <w:tcW w:type="dxa" w:w="328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20"/>
                <w:szCs w:val="20"/>
              </w:rPr>
              <w:t xml:space="preserve">HTTPS webhook → JSON</w:t>
            </w:r>
          </w:p>
        </w:tc>
      </w:tr>
      <w:tr>
        <w:tc>
          <w:tcPr>
            <w:tcW w:type="dxa" w:w="28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20"/>
                <w:szCs w:val="20"/>
              </w:rPr>
              <w:t xml:space="preserve">CI/CD Pipeline</w:t>
            </w:r>
          </w:p>
        </w:tc>
        <w:tc>
          <w:tcPr>
            <w:tcW w:type="dxa" w:w="328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20"/>
                <w:szCs w:val="20"/>
              </w:rPr>
              <w:t xml:space="preserve">Build-gate quality check</w:t>
            </w:r>
          </w:p>
        </w:tc>
        <w:tc>
          <w:tcPr>
            <w:tcW w:type="dxa" w:w="328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20"/>
                <w:szCs w:val="20"/>
              </w:rPr>
              <w:t xml:space="preserve">Exit code + JUnit XML report</w:t>
            </w:r>
          </w:p>
        </w:tc>
      </w:tr>
      <w:tr>
        <w:tc>
          <w:tcPr>
            <w:tcW w:type="dxa" w:w="28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C1C1C"/>
                <w:sz w:val="20"/>
                <w:szCs w:val="20"/>
              </w:rPr>
              <w:t xml:space="preserve">JIRA / Linear</w:t>
            </w:r>
          </w:p>
        </w:tc>
        <w:tc>
          <w:tcPr>
            <w:tcW w:type="dxa" w:w="328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20"/>
                <w:szCs w:val="20"/>
              </w:rPr>
              <w:t xml:space="preserve">Ticket creation for P0 findings</w:t>
            </w:r>
          </w:p>
        </w:tc>
        <w:tc>
          <w:tcPr>
            <w:tcW w:type="dxa" w:w="328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20"/>
                <w:szCs w:val="20"/>
              </w:rPr>
              <w:t xml:space="preserve">REST API</w:t>
            </w:r>
          </w:p>
        </w:tc>
      </w:tr>
      <w:tr>
        <w:tc>
          <w:tcPr>
            <w:tcW w:type="dxa" w:w="28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20"/>
                <w:szCs w:val="20"/>
              </w:rPr>
              <w:t xml:space="preserve">Slack / Teams</w:t>
            </w:r>
          </w:p>
        </w:tc>
        <w:tc>
          <w:tcPr>
            <w:tcW w:type="dxa" w:w="328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20"/>
                <w:szCs w:val="20"/>
              </w:rPr>
              <w:t xml:space="preserve">Developer notification</w:t>
            </w:r>
          </w:p>
        </w:tc>
        <w:tc>
          <w:tcPr>
            <w:tcW w:type="dxa" w:w="328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20"/>
                <w:szCs w:val="20"/>
              </w:rPr>
              <w:t xml:space="preserve">Webhook JSON payload</w:t>
            </w:r>
          </w:p>
        </w:tc>
      </w:tr>
      <w:tr>
        <w:tc>
          <w:tcPr>
            <w:tcW w:type="dxa" w:w="28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C1C1C"/>
                <w:sz w:val="20"/>
                <w:szCs w:val="20"/>
              </w:rPr>
              <w:t xml:space="preserve">SonarQube</w:t>
            </w:r>
          </w:p>
        </w:tc>
        <w:tc>
          <w:tcPr>
            <w:tcW w:type="dxa" w:w="328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20"/>
                <w:szCs w:val="20"/>
              </w:rPr>
              <w:t xml:space="preserve">Finding deduplication feed</w:t>
            </w:r>
          </w:p>
        </w:tc>
        <w:tc>
          <w:tcPr>
            <w:tcW w:type="dxa" w:w="328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20"/>
                <w:szCs w:val="20"/>
              </w:rPr>
              <w:t xml:space="preserve">REST API (import)</w:t>
            </w:r>
          </w:p>
        </w:tc>
      </w:tr>
      <w:tr>
        <w:tc>
          <w:tcPr>
            <w:tcW w:type="dxa" w:w="28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20"/>
                <w:szCs w:val="20"/>
              </w:rPr>
              <w:t xml:space="preserve">Artifact Registry</w:t>
            </w:r>
          </w:p>
        </w:tc>
        <w:tc>
          <w:tcPr>
            <w:tcW w:type="dxa" w:w="328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20"/>
                <w:szCs w:val="20"/>
              </w:rPr>
              <w:t xml:space="preserve">Dependency version lookup</w:t>
            </w:r>
          </w:p>
        </w:tc>
        <w:tc>
          <w:tcPr>
            <w:tcW w:type="dxa" w:w="328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20"/>
                <w:szCs w:val="20"/>
              </w:rPr>
              <w:t xml:space="preserve">REST API (Maven Central / JFrog)</w:t>
            </w:r>
          </w:p>
        </w:tc>
      </w:tr>
    </w:tbl>
    <w:p>
      <w:r>
        <w:br w:type="page"/>
      </w:r>
    </w:p>
    <w:p>
      <w:pPr>
        <w:pStyle w:val="Heading1"/>
        <w:shd w:fill="1E3A5F" w:val="clear"/>
        <w:spacing w:after="240" w:before="480"/>
      </w:pPr>
      <w:r>
        <w:rPr>
          <w:rFonts w:ascii="Arial" w:cs="Arial" w:eastAsia="Arial" w:hAnsi="Arial"/>
          <w:b/>
          <w:bCs/>
          <w:color w:val="FFFFFF"/>
          <w:sz w:val="36"/>
          <w:szCs w:val="36"/>
        </w:rPr>
        <w:t xml:space="preserve">2A.  Technology Version Matrix</w:t>
      </w:r>
    </w:p>
    <w:p>
      <w:pPr>
        <w:spacing w:after="80" w:before="80"/>
      </w:pPr>
      <w:r>
        <w:rPr>
          <w:rFonts w:ascii="Arial" w:cs="Arial" w:eastAsia="Arial" w:hAnsi="Arial"/>
          <w:color w:val="1C1C1C"/>
          <w:sz w:val="22"/>
          <w:szCs w:val="22"/>
        </w:rPr>
        <w:t xml:space="preserve">JMCRA targets the following verified-compatible library and framework versions as of April 2026. The agent MUST produce correct findings for code written against any version in the Supported range. Detection rules that depend on version-specific APIs (e.g. Spring Boot 4 modular auto-configuration, Kafka 4 KRaft-mode consumer config) are version-gated and annotated with @SinceVersion in the Rule Catalog.</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Component</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Minimum</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Recommended / Latest</w:t>
            </w:r>
          </w:p>
        </w:tc>
        <w:tc>
          <w:tcPr>
            <w:tcW w:type="dxa" w:w="27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Key Changes Affecting Rules</w:t>
            </w:r>
          </w:p>
        </w:tc>
      </w:tr>
      <w:tr>
        <w:tc>
          <w:tcPr>
            <w:tcW w:type="dxa" w:w="24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b/>
                <w:bCs/>
                <w:color w:val="1C1C1C"/>
                <w:sz w:val="19"/>
                <w:szCs w:val="19"/>
              </w:rPr>
              <w:t xml:space="preserve">Java (JDK)</w:t>
            </w:r>
          </w:p>
        </w:tc>
        <w:tc>
          <w:tcPr>
            <w:tcW w:type="dxa" w:w="18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pPr>
              <w:jc w:val="center"/>
            </w:pPr>
            <w:r>
              <w:rPr>
                <w:rFonts w:ascii="Courier New" w:cs="Courier New" w:eastAsia="Courier New" w:hAnsi="Courier New"/>
                <w:color w:val="8A96A3"/>
                <w:sz w:val="18"/>
                <w:szCs w:val="18"/>
              </w:rPr>
              <w:t xml:space="preserve">17</w:t>
            </w:r>
          </w:p>
        </w:tc>
        <w:tc>
          <w:tcPr>
            <w:tcW w:type="dxa" w:w="2400"/>
            <w:tcBorders>
              <w:top w:val="single" w:color="DDE1E7" w:sz="4"/>
              <w:left w:val="single" w:color="DDE1E7" w:sz="4"/>
              <w:bottom w:val="single" w:color="DDE1E7" w:sz="4"/>
              <w:right w:val="single" w:color="DDE1E7" w:sz="4"/>
            </w:tcBorders>
            <w:shd w:fill="D5F5E3" w:val="clear"/>
            <w:tcMar>
              <w:top w:type="dxa" w:w="80"/>
              <w:left w:type="dxa" w:w="140"/>
              <w:bottom w:type="dxa" w:w="80"/>
              <w:right w:type="dxa" w:w="140"/>
            </w:tcMar>
          </w:tcPr>
          <w:p>
            <w:pPr>
              <w:jc w:val="center"/>
            </w:pPr>
            <w:r>
              <w:rPr>
                <w:rFonts w:ascii="Arial" w:cs="Arial" w:eastAsia="Arial" w:hAnsi="Arial"/>
                <w:b/>
                <w:bCs/>
                <w:color w:val="1A7A4A"/>
                <w:sz w:val="18"/>
                <w:szCs w:val="18"/>
              </w:rPr>
              <w:t xml:space="preserve">25 LTS  (Sep 2025) / 26 (Mar 2026)</w:t>
            </w:r>
          </w:p>
        </w:tc>
        <w:tc>
          <w:tcPr>
            <w:tcW w:type="dxa" w:w="27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color w:val="8A96A3"/>
                <w:sz w:val="17"/>
                <w:szCs w:val="17"/>
              </w:rPr>
              <w:t xml:space="preserve">Java 25: scoped values (JEP 506), primitive patterns (JEP 507), compact source files (JEP 512), compact object headers (JEP 519). Java 26: structured concurrency preview, HTTP/3, Vector API incubator.</w:t>
            </w:r>
          </w:p>
        </w:tc>
      </w:tr>
      <w:tr>
        <w:tc>
          <w:tcPr>
            <w:tcW w:type="dxa" w:w="24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b/>
                <w:bCs/>
                <w:color w:val="1C1C1C"/>
                <w:sz w:val="19"/>
                <w:szCs w:val="19"/>
              </w:rPr>
              <w:t xml:space="preserve">Spring Boot</w:t>
            </w:r>
          </w:p>
        </w:tc>
        <w:tc>
          <w:tcPr>
            <w:tcW w:type="dxa" w:w="18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pPr>
              <w:jc w:val="center"/>
            </w:pPr>
            <w:r>
              <w:rPr>
                <w:rFonts w:ascii="Courier New" w:cs="Courier New" w:eastAsia="Courier New" w:hAnsi="Courier New"/>
                <w:color w:val="8A96A3"/>
                <w:sz w:val="18"/>
                <w:szCs w:val="18"/>
              </w:rPr>
              <w:t xml:space="preserve">3.5.x</w:t>
            </w:r>
          </w:p>
        </w:tc>
        <w:tc>
          <w:tcPr>
            <w:tcW w:type="dxa" w:w="2400"/>
            <w:tcBorders>
              <w:top w:val="single" w:color="DDE1E7" w:sz="4"/>
              <w:left w:val="single" w:color="DDE1E7" w:sz="4"/>
              <w:bottom w:val="single" w:color="DDE1E7" w:sz="4"/>
              <w:right w:val="single" w:color="DDE1E7" w:sz="4"/>
            </w:tcBorders>
            <w:shd w:fill="EAFAF1" w:val="clear"/>
            <w:tcMar>
              <w:top w:type="dxa" w:w="80"/>
              <w:left w:type="dxa" w:w="140"/>
              <w:bottom w:type="dxa" w:w="80"/>
              <w:right w:type="dxa" w:w="140"/>
            </w:tcMar>
          </w:tcPr>
          <w:p>
            <w:pPr>
              <w:jc w:val="center"/>
            </w:pPr>
            <w:r>
              <w:rPr>
                <w:rFonts w:ascii="Arial" w:cs="Arial" w:eastAsia="Arial" w:hAnsi="Arial"/>
                <w:b/>
                <w:bCs/>
                <w:color w:val="1A7A4A"/>
                <w:sz w:val="18"/>
                <w:szCs w:val="18"/>
              </w:rPr>
              <w:t xml:space="preserve">4.0.5  (Mar 2026)</w:t>
            </w:r>
          </w:p>
        </w:tc>
        <w:tc>
          <w:tcPr>
            <w:tcW w:type="dxa" w:w="27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color w:val="8A96A3"/>
                <w:sz w:val="17"/>
                <w:szCs w:val="17"/>
              </w:rPr>
              <w:t xml:space="preserve">Boot 4 requires Spring Framework 7. Full codebase modularisation. JSpecify null-safety. API versioning built-in. RestTemplate auto-config opt-in. Java 25 first-class support.</w:t>
            </w:r>
          </w:p>
        </w:tc>
      </w:tr>
      <w:tr>
        <w:tc>
          <w:tcPr>
            <w:tcW w:type="dxa" w:w="24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b/>
                <w:bCs/>
                <w:color w:val="1C1C1C"/>
                <w:sz w:val="19"/>
                <w:szCs w:val="19"/>
              </w:rPr>
              <w:t xml:space="preserve">Spring Framework</w:t>
            </w:r>
          </w:p>
        </w:tc>
        <w:tc>
          <w:tcPr>
            <w:tcW w:type="dxa" w:w="18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pPr>
              <w:jc w:val="center"/>
            </w:pPr>
            <w:r>
              <w:rPr>
                <w:rFonts w:ascii="Courier New" w:cs="Courier New" w:eastAsia="Courier New" w:hAnsi="Courier New"/>
                <w:color w:val="8A96A3"/>
                <w:sz w:val="18"/>
                <w:szCs w:val="18"/>
              </w:rPr>
              <w:t xml:space="preserve">6.2.x</w:t>
            </w:r>
          </w:p>
        </w:tc>
        <w:tc>
          <w:tcPr>
            <w:tcW w:type="dxa" w:w="2400"/>
            <w:tcBorders>
              <w:top w:val="single" w:color="DDE1E7" w:sz="4"/>
              <w:left w:val="single" w:color="DDE1E7" w:sz="4"/>
              <w:bottom w:val="single" w:color="DDE1E7" w:sz="4"/>
              <w:right w:val="single" w:color="DDE1E7" w:sz="4"/>
            </w:tcBorders>
            <w:shd w:fill="D5F5E3" w:val="clear"/>
            <w:tcMar>
              <w:top w:type="dxa" w:w="80"/>
              <w:left w:type="dxa" w:w="140"/>
              <w:bottom w:type="dxa" w:w="80"/>
              <w:right w:type="dxa" w:w="140"/>
            </w:tcMar>
          </w:tcPr>
          <w:p>
            <w:pPr>
              <w:jc w:val="center"/>
            </w:pPr>
            <w:r>
              <w:rPr>
                <w:rFonts w:ascii="Arial" w:cs="Arial" w:eastAsia="Arial" w:hAnsi="Arial"/>
                <w:b/>
                <w:bCs/>
                <w:color w:val="1A7A4A"/>
                <w:sz w:val="18"/>
                <w:szCs w:val="18"/>
              </w:rPr>
              <w:t xml:space="preserve">7.0.x</w:t>
            </w:r>
          </w:p>
        </w:tc>
        <w:tc>
          <w:tcPr>
            <w:tcW w:type="dxa" w:w="27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color w:val="8A96A3"/>
                <w:sz w:val="17"/>
                <w:szCs w:val="17"/>
              </w:rPr>
              <w:t xml:space="preserve">Native AOT improvements, JSpecify annotations, virtual thread optimisations, revised WebFlux/WebMVC null-safety contract.</w:t>
            </w:r>
          </w:p>
        </w:tc>
      </w:tr>
      <w:tr>
        <w:tc>
          <w:tcPr>
            <w:tcW w:type="dxa" w:w="24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b/>
                <w:bCs/>
                <w:color w:val="1C1C1C"/>
                <w:sz w:val="19"/>
                <w:szCs w:val="19"/>
              </w:rPr>
              <w:t xml:space="preserve">Spring Cloud</w:t>
            </w:r>
          </w:p>
        </w:tc>
        <w:tc>
          <w:tcPr>
            <w:tcW w:type="dxa" w:w="18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pPr>
              <w:jc w:val="center"/>
            </w:pPr>
            <w:r>
              <w:rPr>
                <w:rFonts w:ascii="Courier New" w:cs="Courier New" w:eastAsia="Courier New" w:hAnsi="Courier New"/>
                <w:color w:val="8A96A3"/>
                <w:sz w:val="18"/>
                <w:szCs w:val="18"/>
              </w:rPr>
              <w:t xml:space="preserve">2023.0.x</w:t>
            </w:r>
          </w:p>
        </w:tc>
        <w:tc>
          <w:tcPr>
            <w:tcW w:type="dxa" w:w="2400"/>
            <w:tcBorders>
              <w:top w:val="single" w:color="DDE1E7" w:sz="4"/>
              <w:left w:val="single" w:color="DDE1E7" w:sz="4"/>
              <w:bottom w:val="single" w:color="DDE1E7" w:sz="4"/>
              <w:right w:val="single" w:color="DDE1E7" w:sz="4"/>
            </w:tcBorders>
            <w:shd w:fill="EAFAF1" w:val="clear"/>
            <w:tcMar>
              <w:top w:type="dxa" w:w="80"/>
              <w:left w:type="dxa" w:w="140"/>
              <w:bottom w:type="dxa" w:w="80"/>
              <w:right w:type="dxa" w:w="140"/>
            </w:tcMar>
          </w:tcPr>
          <w:p>
            <w:pPr>
              <w:jc w:val="center"/>
            </w:pPr>
            <w:r>
              <w:rPr>
                <w:rFonts w:ascii="Arial" w:cs="Arial" w:eastAsia="Arial" w:hAnsi="Arial"/>
                <w:b/>
                <w:bCs/>
                <w:color w:val="1A7A4A"/>
                <w:sz w:val="18"/>
                <w:szCs w:val="18"/>
              </w:rPr>
              <w:t xml:space="preserve">2025.1.0 'Oakwood'  (Nov 2025)</w:t>
            </w:r>
          </w:p>
        </w:tc>
        <w:tc>
          <w:tcPr>
            <w:tcW w:type="dxa" w:w="27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color w:val="8A96A3"/>
                <w:sz w:val="17"/>
                <w:szCs w:val="17"/>
              </w:rPr>
              <w:t xml:space="preserve">Major: bumped to project v5.x to align with Boot 4 + Framework 7. Jackson 3, JSpecify null-safety. javax.inject removed. New gateway module naming.</w:t>
            </w:r>
          </w:p>
        </w:tc>
      </w:tr>
      <w:tr>
        <w:tc>
          <w:tcPr>
            <w:tcW w:type="dxa" w:w="24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b/>
                <w:bCs/>
                <w:color w:val="1C1C1C"/>
                <w:sz w:val="19"/>
                <w:szCs w:val="19"/>
              </w:rPr>
              <w:t xml:space="preserve">Apache Kafka</w:t>
            </w:r>
          </w:p>
        </w:tc>
        <w:tc>
          <w:tcPr>
            <w:tcW w:type="dxa" w:w="18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pPr>
              <w:jc w:val="center"/>
            </w:pPr>
            <w:r>
              <w:rPr>
                <w:rFonts w:ascii="Courier New" w:cs="Courier New" w:eastAsia="Courier New" w:hAnsi="Courier New"/>
                <w:color w:val="8A96A3"/>
                <w:sz w:val="18"/>
                <w:szCs w:val="18"/>
              </w:rPr>
              <w:t xml:space="preserve">3.7.x</w:t>
            </w:r>
          </w:p>
        </w:tc>
        <w:tc>
          <w:tcPr>
            <w:tcW w:type="dxa" w:w="2400"/>
            <w:tcBorders>
              <w:top w:val="single" w:color="DDE1E7" w:sz="4"/>
              <w:left w:val="single" w:color="DDE1E7" w:sz="4"/>
              <w:bottom w:val="single" w:color="DDE1E7" w:sz="4"/>
              <w:right w:val="single" w:color="DDE1E7" w:sz="4"/>
            </w:tcBorders>
            <w:shd w:fill="D5F5E3" w:val="clear"/>
            <w:tcMar>
              <w:top w:type="dxa" w:w="80"/>
              <w:left w:type="dxa" w:w="140"/>
              <w:bottom w:type="dxa" w:w="80"/>
              <w:right w:type="dxa" w:w="140"/>
            </w:tcMar>
          </w:tcPr>
          <w:p>
            <w:pPr>
              <w:jc w:val="center"/>
            </w:pPr>
            <w:r>
              <w:rPr>
                <w:rFonts w:ascii="Arial" w:cs="Arial" w:eastAsia="Arial" w:hAnsi="Arial"/>
                <w:b/>
                <w:bCs/>
                <w:color w:val="1A7A4A"/>
                <w:sz w:val="18"/>
                <w:szCs w:val="18"/>
              </w:rPr>
              <w:t xml:space="preserve">4.2.0  (Feb 2026)</w:t>
            </w:r>
          </w:p>
        </w:tc>
        <w:tc>
          <w:tcPr>
            <w:tcW w:type="dxa" w:w="27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color w:val="8A96A3"/>
                <w:sz w:val="17"/>
                <w:szCs w:val="17"/>
              </w:rPr>
              <w:t xml:space="preserve">Kafka 4: ZooKeeper fully removed (KRaft only). MirrorMaker 1 removed. KIP-932 Queues for Kafka (early access). MSG rules must flag missing KRaft config and deprecated ZK properties.</w:t>
            </w:r>
          </w:p>
        </w:tc>
      </w:tr>
      <w:tr>
        <w:tc>
          <w:tcPr>
            <w:tcW w:type="dxa" w:w="24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b/>
                <w:bCs/>
                <w:color w:val="1C1C1C"/>
                <w:sz w:val="19"/>
                <w:szCs w:val="19"/>
              </w:rPr>
              <w:t xml:space="preserve">Project Reactor</w:t>
            </w:r>
          </w:p>
        </w:tc>
        <w:tc>
          <w:tcPr>
            <w:tcW w:type="dxa" w:w="18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pPr>
              <w:jc w:val="center"/>
            </w:pPr>
            <w:r>
              <w:rPr>
                <w:rFonts w:ascii="Courier New" w:cs="Courier New" w:eastAsia="Courier New" w:hAnsi="Courier New"/>
                <w:color w:val="8A96A3"/>
                <w:sz w:val="18"/>
                <w:szCs w:val="18"/>
              </w:rPr>
              <w:t xml:space="preserve">3.6.x</w:t>
            </w:r>
          </w:p>
        </w:tc>
        <w:tc>
          <w:tcPr>
            <w:tcW w:type="dxa" w:w="2400"/>
            <w:tcBorders>
              <w:top w:val="single" w:color="DDE1E7" w:sz="4"/>
              <w:left w:val="single" w:color="DDE1E7" w:sz="4"/>
              <w:bottom w:val="single" w:color="DDE1E7" w:sz="4"/>
              <w:right w:val="single" w:color="DDE1E7" w:sz="4"/>
            </w:tcBorders>
            <w:shd w:fill="EAFAF1" w:val="clear"/>
            <w:tcMar>
              <w:top w:type="dxa" w:w="80"/>
              <w:left w:type="dxa" w:w="140"/>
              <w:bottom w:type="dxa" w:w="80"/>
              <w:right w:type="dxa" w:w="140"/>
            </w:tcMar>
          </w:tcPr>
          <w:p>
            <w:pPr>
              <w:jc w:val="center"/>
            </w:pPr>
            <w:r>
              <w:rPr>
                <w:rFonts w:ascii="Arial" w:cs="Arial" w:eastAsia="Arial" w:hAnsi="Arial"/>
                <w:b/>
                <w:bCs/>
                <w:color w:val="1A7A4A"/>
                <w:sz w:val="18"/>
                <w:szCs w:val="18"/>
              </w:rPr>
              <w:t xml:space="preserve">3.8.3  (2025.0 train)</w:t>
            </w:r>
          </w:p>
        </w:tc>
        <w:tc>
          <w:tcPr>
            <w:tcW w:type="dxa" w:w="27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color w:val="8A96A3"/>
                <w:sz w:val="17"/>
                <w:szCs w:val="17"/>
              </w:rPr>
              <w:t xml:space="preserve">Reactor 3.8: JSpecify null-safety annotations. Improved virtual thread compatibility. Backpressure operator changes. CON rules updated for 3.8 operator contract.</w:t>
            </w:r>
          </w:p>
        </w:tc>
      </w:tr>
      <w:tr>
        <w:tc>
          <w:tcPr>
            <w:tcW w:type="dxa" w:w="24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b/>
                <w:bCs/>
                <w:color w:val="1C1C1C"/>
                <w:sz w:val="19"/>
                <w:szCs w:val="19"/>
              </w:rPr>
              <w:t xml:space="preserve">Resilience4j</w:t>
            </w:r>
          </w:p>
        </w:tc>
        <w:tc>
          <w:tcPr>
            <w:tcW w:type="dxa" w:w="18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pPr>
              <w:jc w:val="center"/>
            </w:pPr>
            <w:r>
              <w:rPr>
                <w:rFonts w:ascii="Courier New" w:cs="Courier New" w:eastAsia="Courier New" w:hAnsi="Courier New"/>
                <w:color w:val="8A96A3"/>
                <w:sz w:val="18"/>
                <w:szCs w:val="18"/>
              </w:rPr>
              <w:t xml:space="preserve">2.2.x</w:t>
            </w:r>
          </w:p>
        </w:tc>
        <w:tc>
          <w:tcPr>
            <w:tcW w:type="dxa" w:w="2400"/>
            <w:tcBorders>
              <w:top w:val="single" w:color="DDE1E7" w:sz="4"/>
              <w:left w:val="single" w:color="DDE1E7" w:sz="4"/>
              <w:bottom w:val="single" w:color="DDE1E7" w:sz="4"/>
              <w:right w:val="single" w:color="DDE1E7" w:sz="4"/>
            </w:tcBorders>
            <w:shd w:fill="D5F5E3" w:val="clear"/>
            <w:tcMar>
              <w:top w:type="dxa" w:w="80"/>
              <w:left w:type="dxa" w:w="140"/>
              <w:bottom w:type="dxa" w:w="80"/>
              <w:right w:type="dxa" w:w="140"/>
            </w:tcMar>
          </w:tcPr>
          <w:p>
            <w:pPr>
              <w:jc w:val="center"/>
            </w:pPr>
            <w:r>
              <w:rPr>
                <w:rFonts w:ascii="Arial" w:cs="Arial" w:eastAsia="Arial" w:hAnsi="Arial"/>
                <w:b/>
                <w:bCs/>
                <w:color w:val="1A7A4A"/>
                <w:sz w:val="18"/>
                <w:szCs w:val="18"/>
              </w:rPr>
              <w:t xml:space="preserve">2.3.0  (Mar 2026)</w:t>
            </w:r>
          </w:p>
        </w:tc>
        <w:tc>
          <w:tcPr>
            <w:tcW w:type="dxa" w:w="27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color w:val="8A96A3"/>
                <w:sz w:val="17"/>
                <w:szCs w:val="17"/>
              </w:rPr>
              <w:t xml:space="preserve">Resilience4j 3.x requires Java 21 (separate detection path). v2.3 adds Spring Boot 3/4 actuator snapshot reads, LOCK_FREE sliding window fix. RES rules validate v2.x + v3.x patterns.</w:t>
            </w:r>
          </w:p>
        </w:tc>
      </w:tr>
      <w:tr>
        <w:tc>
          <w:tcPr>
            <w:tcW w:type="dxa" w:w="24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b/>
                <w:bCs/>
                <w:color w:val="1C1C1C"/>
                <w:sz w:val="19"/>
                <w:szCs w:val="19"/>
              </w:rPr>
              <w:t xml:space="preserve">JavaParser (AST engine)</w:t>
            </w:r>
          </w:p>
        </w:tc>
        <w:tc>
          <w:tcPr>
            <w:tcW w:type="dxa" w:w="18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pPr>
              <w:jc w:val="center"/>
            </w:pPr>
            <w:r>
              <w:rPr>
                <w:rFonts w:ascii="Courier New" w:cs="Courier New" w:eastAsia="Courier New" w:hAnsi="Courier New"/>
                <w:color w:val="8A96A3"/>
                <w:sz w:val="18"/>
                <w:szCs w:val="18"/>
              </w:rPr>
              <w:t xml:space="preserve">3.25.x</w:t>
            </w:r>
          </w:p>
        </w:tc>
        <w:tc>
          <w:tcPr>
            <w:tcW w:type="dxa" w:w="2400"/>
            <w:tcBorders>
              <w:top w:val="single" w:color="DDE1E7" w:sz="4"/>
              <w:left w:val="single" w:color="DDE1E7" w:sz="4"/>
              <w:bottom w:val="single" w:color="DDE1E7" w:sz="4"/>
              <w:right w:val="single" w:color="DDE1E7" w:sz="4"/>
            </w:tcBorders>
            <w:shd w:fill="EAFAF1" w:val="clear"/>
            <w:tcMar>
              <w:top w:type="dxa" w:w="80"/>
              <w:left w:type="dxa" w:w="140"/>
              <w:bottom w:type="dxa" w:w="80"/>
              <w:right w:type="dxa" w:w="140"/>
            </w:tcMar>
          </w:tcPr>
          <w:p>
            <w:pPr>
              <w:jc w:val="center"/>
            </w:pPr>
            <w:r>
              <w:rPr>
                <w:rFonts w:ascii="Arial" w:cs="Arial" w:eastAsia="Arial" w:hAnsi="Arial"/>
                <w:b/>
                <w:bCs/>
                <w:color w:val="1A7A4A"/>
                <w:sz w:val="18"/>
                <w:szCs w:val="18"/>
              </w:rPr>
              <w:t xml:space="preserve">3.28.0</w:t>
            </w:r>
          </w:p>
        </w:tc>
        <w:tc>
          <w:tcPr>
            <w:tcW w:type="dxa" w:w="27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color w:val="8A96A3"/>
                <w:sz w:val="17"/>
                <w:szCs w:val="17"/>
              </w:rPr>
              <w:t xml:space="preserve">3.28: Java 1–25 full support. New primitive-in-pattern nodes (JEP 507). Scoped value AST nodes. Required for Java 25 source analysis.</w:t>
            </w:r>
          </w:p>
        </w:tc>
      </w:tr>
      <w:tr>
        <w:tc>
          <w:tcPr>
            <w:tcW w:type="dxa" w:w="24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b/>
                <w:bCs/>
                <w:color w:val="1C1C1C"/>
                <w:sz w:val="19"/>
                <w:szCs w:val="19"/>
              </w:rPr>
              <w:t xml:space="preserve">Hibernate / JPA</w:t>
            </w:r>
          </w:p>
        </w:tc>
        <w:tc>
          <w:tcPr>
            <w:tcW w:type="dxa" w:w="18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pPr>
              <w:jc w:val="center"/>
            </w:pPr>
            <w:r>
              <w:rPr>
                <w:rFonts w:ascii="Courier New" w:cs="Courier New" w:eastAsia="Courier New" w:hAnsi="Courier New"/>
                <w:color w:val="8A96A3"/>
                <w:sz w:val="18"/>
                <w:szCs w:val="18"/>
              </w:rPr>
              <w:t xml:space="preserve">6.4.x</w:t>
            </w:r>
          </w:p>
        </w:tc>
        <w:tc>
          <w:tcPr>
            <w:tcW w:type="dxa" w:w="2400"/>
            <w:tcBorders>
              <w:top w:val="single" w:color="DDE1E7" w:sz="4"/>
              <w:left w:val="single" w:color="DDE1E7" w:sz="4"/>
              <w:bottom w:val="single" w:color="DDE1E7" w:sz="4"/>
              <w:right w:val="single" w:color="DDE1E7" w:sz="4"/>
            </w:tcBorders>
            <w:shd w:fill="D5F5E3" w:val="clear"/>
            <w:tcMar>
              <w:top w:type="dxa" w:w="80"/>
              <w:left w:type="dxa" w:w="140"/>
              <w:bottom w:type="dxa" w:w="80"/>
              <w:right w:type="dxa" w:w="140"/>
            </w:tcMar>
          </w:tcPr>
          <w:p>
            <w:pPr>
              <w:jc w:val="center"/>
            </w:pPr>
            <w:r>
              <w:rPr>
                <w:rFonts w:ascii="Arial" w:cs="Arial" w:eastAsia="Arial" w:hAnsi="Arial"/>
                <w:b/>
                <w:bCs/>
                <w:color w:val="1A7A4A"/>
                <w:sz w:val="18"/>
                <w:szCs w:val="18"/>
              </w:rPr>
              <w:t xml:space="preserve">7.0.x  (Jakarta EE 11)</w:t>
            </w:r>
          </w:p>
        </w:tc>
        <w:tc>
          <w:tcPr>
            <w:tcW w:type="dxa" w:w="27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color w:val="8A96A3"/>
                <w:sz w:val="17"/>
                <w:szCs w:val="17"/>
              </w:rPr>
              <w:t xml:space="preserve">Hibernate 7 ships with Boot 4. New query plan cache. @BatchSize default changes. DAT rules updated for HQL/Criteria API changes in 7.x.</w:t>
            </w:r>
          </w:p>
        </w:tc>
      </w:tr>
      <w:tr>
        <w:tc>
          <w:tcPr>
            <w:tcW w:type="dxa" w:w="24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b/>
                <w:bCs/>
                <w:color w:val="1C1C1C"/>
                <w:sz w:val="19"/>
                <w:szCs w:val="19"/>
              </w:rPr>
              <w:t xml:space="preserve">Micrometer</w:t>
            </w:r>
          </w:p>
        </w:tc>
        <w:tc>
          <w:tcPr>
            <w:tcW w:type="dxa" w:w="18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pPr>
              <w:jc w:val="center"/>
            </w:pPr>
            <w:r>
              <w:rPr>
                <w:rFonts w:ascii="Courier New" w:cs="Courier New" w:eastAsia="Courier New" w:hAnsi="Courier New"/>
                <w:color w:val="8A96A3"/>
                <w:sz w:val="18"/>
                <w:szCs w:val="18"/>
              </w:rPr>
              <w:t xml:space="preserve">1.13.x</w:t>
            </w:r>
          </w:p>
        </w:tc>
        <w:tc>
          <w:tcPr>
            <w:tcW w:type="dxa" w:w="2400"/>
            <w:tcBorders>
              <w:top w:val="single" w:color="DDE1E7" w:sz="4"/>
              <w:left w:val="single" w:color="DDE1E7" w:sz="4"/>
              <w:bottom w:val="single" w:color="DDE1E7" w:sz="4"/>
              <w:right w:val="single" w:color="DDE1E7" w:sz="4"/>
            </w:tcBorders>
            <w:shd w:fill="EAFAF1" w:val="clear"/>
            <w:tcMar>
              <w:top w:type="dxa" w:w="80"/>
              <w:left w:type="dxa" w:w="140"/>
              <w:bottom w:type="dxa" w:w="80"/>
              <w:right w:type="dxa" w:w="140"/>
            </w:tcMar>
          </w:tcPr>
          <w:p>
            <w:pPr>
              <w:jc w:val="center"/>
            </w:pPr>
            <w:r>
              <w:rPr>
                <w:rFonts w:ascii="Arial" w:cs="Arial" w:eastAsia="Arial" w:hAnsi="Arial"/>
                <w:b/>
                <w:bCs/>
                <w:color w:val="1A7A4A"/>
                <w:sz w:val="18"/>
                <w:szCs w:val="18"/>
              </w:rPr>
              <w:t xml:space="preserve">1.16.x</w:t>
            </w:r>
          </w:p>
        </w:tc>
        <w:tc>
          <w:tcPr>
            <w:tcW w:type="dxa" w:w="27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color w:val="8A96A3"/>
                <w:sz w:val="17"/>
                <w:szCs w:val="17"/>
              </w:rPr>
              <w:t xml:space="preserve">Micrometer 1.16: JSpecify. New OTLP exporter improvements. OBS rules validate 1.14+ histogram configuration.</w:t>
            </w:r>
          </w:p>
        </w:tc>
      </w:tr>
      <w:tr>
        <w:tc>
          <w:tcPr>
            <w:tcW w:type="dxa" w:w="24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b/>
                <w:bCs/>
                <w:color w:val="1C1C1C"/>
                <w:sz w:val="19"/>
                <w:szCs w:val="19"/>
              </w:rPr>
              <w:t xml:space="preserve">OpenTelemetry Java</w:t>
            </w:r>
          </w:p>
        </w:tc>
        <w:tc>
          <w:tcPr>
            <w:tcW w:type="dxa" w:w="18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pPr>
              <w:jc w:val="center"/>
            </w:pPr>
            <w:r>
              <w:rPr>
                <w:rFonts w:ascii="Courier New" w:cs="Courier New" w:eastAsia="Courier New" w:hAnsi="Courier New"/>
                <w:color w:val="8A96A3"/>
                <w:sz w:val="18"/>
                <w:szCs w:val="18"/>
              </w:rPr>
              <w:t xml:space="preserve">1.38.x</w:t>
            </w:r>
          </w:p>
        </w:tc>
        <w:tc>
          <w:tcPr>
            <w:tcW w:type="dxa" w:w="2400"/>
            <w:tcBorders>
              <w:top w:val="single" w:color="DDE1E7" w:sz="4"/>
              <w:left w:val="single" w:color="DDE1E7" w:sz="4"/>
              <w:bottom w:val="single" w:color="DDE1E7" w:sz="4"/>
              <w:right w:val="single" w:color="DDE1E7" w:sz="4"/>
            </w:tcBorders>
            <w:shd w:fill="D5F5E3" w:val="clear"/>
            <w:tcMar>
              <w:top w:type="dxa" w:w="80"/>
              <w:left w:type="dxa" w:w="140"/>
              <w:bottom w:type="dxa" w:w="80"/>
              <w:right w:type="dxa" w:w="140"/>
            </w:tcMar>
          </w:tcPr>
          <w:p>
            <w:pPr>
              <w:jc w:val="center"/>
            </w:pPr>
            <w:r>
              <w:rPr>
                <w:rFonts w:ascii="Arial" w:cs="Arial" w:eastAsia="Arial" w:hAnsi="Arial"/>
                <w:b/>
                <w:bCs/>
                <w:color w:val="1A7A4A"/>
                <w:sz w:val="18"/>
                <w:szCs w:val="18"/>
              </w:rPr>
              <w:t xml:space="preserve">1.48.x</w:t>
            </w:r>
          </w:p>
        </w:tc>
        <w:tc>
          <w:tcPr>
            <w:tcW w:type="dxa" w:w="27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color w:val="8A96A3"/>
                <w:sz w:val="17"/>
                <w:szCs w:val="17"/>
              </w:rPr>
              <w:t xml:space="preserve">OTel 1.45+: stable semantic conventions 1.29. New span attribute naming. OBS-001 rule validates against semconv 1.29 attribute names.</w:t>
            </w:r>
          </w:p>
        </w:tc>
      </w:tr>
      <w:tr>
        <w:tc>
          <w:tcPr>
            <w:tcW w:type="dxa" w:w="24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b/>
                <w:bCs/>
                <w:color w:val="1C1C1C"/>
                <w:sz w:val="19"/>
                <w:szCs w:val="19"/>
              </w:rPr>
              <w:t xml:space="preserve">Gradle</w:t>
            </w:r>
          </w:p>
        </w:tc>
        <w:tc>
          <w:tcPr>
            <w:tcW w:type="dxa" w:w="18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pPr>
              <w:jc w:val="center"/>
            </w:pPr>
            <w:r>
              <w:rPr>
                <w:rFonts w:ascii="Courier New" w:cs="Courier New" w:eastAsia="Courier New" w:hAnsi="Courier New"/>
                <w:color w:val="8A96A3"/>
                <w:sz w:val="18"/>
                <w:szCs w:val="18"/>
              </w:rPr>
              <w:t xml:space="preserve">8.8</w:t>
            </w:r>
          </w:p>
        </w:tc>
        <w:tc>
          <w:tcPr>
            <w:tcW w:type="dxa" w:w="2400"/>
            <w:tcBorders>
              <w:top w:val="single" w:color="DDE1E7" w:sz="4"/>
              <w:left w:val="single" w:color="DDE1E7" w:sz="4"/>
              <w:bottom w:val="single" w:color="DDE1E7" w:sz="4"/>
              <w:right w:val="single" w:color="DDE1E7" w:sz="4"/>
            </w:tcBorders>
            <w:shd w:fill="EAFAF1" w:val="clear"/>
            <w:tcMar>
              <w:top w:type="dxa" w:w="80"/>
              <w:left w:type="dxa" w:w="140"/>
              <w:bottom w:type="dxa" w:w="80"/>
              <w:right w:type="dxa" w:w="140"/>
            </w:tcMar>
          </w:tcPr>
          <w:p>
            <w:pPr>
              <w:jc w:val="center"/>
            </w:pPr>
            <w:r>
              <w:rPr>
                <w:rFonts w:ascii="Arial" w:cs="Arial" w:eastAsia="Arial" w:hAnsi="Arial"/>
                <w:b/>
                <w:bCs/>
                <w:color w:val="1A7A4A"/>
                <w:sz w:val="18"/>
                <w:szCs w:val="18"/>
              </w:rPr>
              <w:t xml:space="preserve">9.x  (Boot 4 supported)</w:t>
            </w:r>
          </w:p>
        </w:tc>
        <w:tc>
          <w:tcPr>
            <w:tcW w:type="dxa" w:w="27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color w:val="8A96A3"/>
                <w:sz w:val="17"/>
                <w:szCs w:val="17"/>
              </w:rPr>
              <w:t xml:space="preserve">Gradle 9 now supported by Spring Boot 4. Build toolchain detection for Java 25 source compilation.</w:t>
            </w:r>
          </w:p>
        </w:tc>
      </w:tr>
      <w:tr>
        <w:tc>
          <w:tcPr>
            <w:tcW w:type="dxa" w:w="24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b/>
                <w:bCs/>
                <w:color w:val="1C1C1C"/>
                <w:sz w:val="19"/>
                <w:szCs w:val="19"/>
              </w:rPr>
              <w:t xml:space="preserve">Maven</w:t>
            </w:r>
          </w:p>
        </w:tc>
        <w:tc>
          <w:tcPr>
            <w:tcW w:type="dxa" w:w="18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pPr>
              <w:jc w:val="center"/>
            </w:pPr>
            <w:r>
              <w:rPr>
                <w:rFonts w:ascii="Courier New" w:cs="Courier New" w:eastAsia="Courier New" w:hAnsi="Courier New"/>
                <w:color w:val="8A96A3"/>
                <w:sz w:val="18"/>
                <w:szCs w:val="18"/>
              </w:rPr>
              <w:t xml:space="preserve">3.9.x</w:t>
            </w:r>
          </w:p>
        </w:tc>
        <w:tc>
          <w:tcPr>
            <w:tcW w:type="dxa" w:w="2400"/>
            <w:tcBorders>
              <w:top w:val="single" w:color="DDE1E7" w:sz="4"/>
              <w:left w:val="single" w:color="DDE1E7" w:sz="4"/>
              <w:bottom w:val="single" w:color="DDE1E7" w:sz="4"/>
              <w:right w:val="single" w:color="DDE1E7" w:sz="4"/>
            </w:tcBorders>
            <w:shd w:fill="D5F5E3" w:val="clear"/>
            <w:tcMar>
              <w:top w:type="dxa" w:w="80"/>
              <w:left w:type="dxa" w:w="140"/>
              <w:bottom w:type="dxa" w:w="80"/>
              <w:right w:type="dxa" w:w="140"/>
            </w:tcMar>
          </w:tcPr>
          <w:p>
            <w:pPr>
              <w:jc w:val="center"/>
            </w:pPr>
            <w:r>
              <w:rPr>
                <w:rFonts w:ascii="Arial" w:cs="Arial" w:eastAsia="Arial" w:hAnsi="Arial"/>
                <w:b/>
                <w:bCs/>
                <w:color w:val="1A7A4A"/>
                <w:sz w:val="18"/>
                <w:szCs w:val="18"/>
              </w:rPr>
              <w:t xml:space="preserve">3.9.9</w:t>
            </w:r>
          </w:p>
        </w:tc>
        <w:tc>
          <w:tcPr>
            <w:tcW w:type="dxa" w:w="27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color w:val="8A96A3"/>
                <w:sz w:val="17"/>
                <w:szCs w:val="17"/>
              </w:rPr>
              <w:t xml:space="preserve">Minimum unchanged. Maven 4.0 RC support tracked but not required for v1.</w:t>
            </w:r>
          </w:p>
        </w:tc>
      </w:tr>
    </w:tbl>
    <w:p>
      <w:pPr>
        <w:spacing w:after="0" w:before="160"/>
      </w:pPr>
    </w:p>
    <w:p>
      <w:pPr>
        <w:pStyle w:val="Heading2"/>
        <w:pBdr>
          <w:bottom w:val="single" w:color="2E6DA4" w:sz="6"/>
        </w:pBdr>
        <w:spacing w:after="180" w:before="360"/>
      </w:pPr>
      <w:r>
        <w:rPr>
          <w:rFonts w:ascii="Arial" w:cs="Arial" w:eastAsia="Arial" w:hAnsi="Arial"/>
          <w:b/>
          <w:bCs/>
          <w:color w:val="1E3A5F"/>
          <w:sz w:val="28"/>
          <w:szCs w:val="28"/>
        </w:rPr>
        <w:t xml:space="preserve">2A.1  Java 25 LTS — Key Features Requiring New Rules</w:t>
      </w:r>
    </w:p>
    <w:p>
      <w:pPr>
        <w:spacing w:after="80" w:before="80"/>
      </w:pPr>
      <w:r>
        <w:rPr>
          <w:rFonts w:ascii="Arial" w:cs="Arial" w:eastAsia="Arial" w:hAnsi="Arial"/>
          <w:color w:val="1C1C1C"/>
          <w:sz w:val="22"/>
          <w:szCs w:val="22"/>
        </w:rPr>
        <w:t xml:space="preserve">Java 25 is the primary LTS target for new microservices in 2025-2026. Several Java 25 language features introduce new microservice coding patterns that require dedicated detection rules in the JMCRA Rule Catalog. The following new rules are added to the catalog in Phase 2A (inserted between Phase 2 and Phase 3):</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3160"/>
        <w:gridCol w:w="4500"/>
      </w:tblGrid>
      <w:tr>
        <w:tc>
          <w:tcPr>
            <w:tcW w:type="dxa" w:w="1000"/>
            <w:tcBorders>
              <w:top w:val="single" w:color="1E3A5F" w:sz="4"/>
              <w:left w:val="single" w:color="1E3A5F" w:sz="4"/>
              <w:bottom w:val="single" w:color="1E3A5F" w:sz="4"/>
              <w:right w:val="single" w:color="1E3A5F" w:sz="4"/>
            </w:tcBorders>
            <w:shd w:fill="1E3A5F" w:val="clear"/>
            <w:tcMar>
              <w:top w:type="dxa" w:w="90"/>
              <w:left w:type="dxa" w:w="100"/>
              <w:bottom w:type="dxa" w:w="90"/>
              <w:right w:type="dxa" w:w="100"/>
            </w:tcMar>
          </w:tcPr>
          <w:p>
            <w:r>
              <w:rPr>
                <w:rFonts w:ascii="Arial" w:cs="Arial" w:eastAsia="Arial" w:hAnsi="Arial"/>
                <w:b/>
                <w:bCs/>
                <w:color w:val="FFFFFF"/>
                <w:sz w:val="18"/>
                <w:szCs w:val="18"/>
              </w:rPr>
              <w:t xml:space="preserve">Rule ID</w:t>
            </w:r>
          </w:p>
        </w:tc>
        <w:tc>
          <w:tcPr>
            <w:tcW w:type="dxa" w:w="700"/>
            <w:tcBorders>
              <w:top w:val="single" w:color="1E3A5F" w:sz="4"/>
              <w:left w:val="single" w:color="1E3A5F" w:sz="4"/>
              <w:bottom w:val="single" w:color="1E3A5F" w:sz="4"/>
              <w:right w:val="single" w:color="1E3A5F" w:sz="4"/>
            </w:tcBorders>
            <w:shd w:fill="1E3A5F" w:val="clear"/>
            <w:tcMar>
              <w:top w:type="dxa" w:w="90"/>
              <w:left w:type="dxa" w:w="100"/>
              <w:bottom w:type="dxa" w:w="90"/>
              <w:right w:type="dxa" w:w="100"/>
            </w:tcMar>
          </w:tcPr>
          <w:p>
            <w:pPr>
              <w:jc w:val="center"/>
            </w:pPr>
            <w:r>
              <w:rPr>
                <w:rFonts w:ascii="Arial" w:cs="Arial" w:eastAsia="Arial" w:hAnsi="Arial"/>
                <w:b/>
                <w:bCs/>
                <w:color w:val="FFFFFF"/>
                <w:sz w:val="18"/>
                <w:szCs w:val="18"/>
              </w:rPr>
              <w:t xml:space="preserve">Sev.</w:t>
            </w:r>
          </w:p>
        </w:tc>
        <w:tc>
          <w:tcPr>
            <w:tcW w:type="dxa" w:w="3160"/>
            <w:tcBorders>
              <w:top w:val="single" w:color="1E3A5F" w:sz="4"/>
              <w:left w:val="single" w:color="1E3A5F" w:sz="4"/>
              <w:bottom w:val="single" w:color="1E3A5F" w:sz="4"/>
              <w:right w:val="single" w:color="1E3A5F" w:sz="4"/>
            </w:tcBorders>
            <w:shd w:fill="1E3A5F" w:val="clear"/>
            <w:tcMar>
              <w:top w:type="dxa" w:w="90"/>
              <w:left w:type="dxa" w:w="140"/>
              <w:bottom w:type="dxa" w:w="90"/>
              <w:right w:type="dxa" w:w="140"/>
            </w:tcMar>
          </w:tcPr>
          <w:p>
            <w:r>
              <w:rPr>
                <w:rFonts w:ascii="Arial" w:cs="Arial" w:eastAsia="Arial" w:hAnsi="Arial"/>
                <w:b/>
                <w:bCs/>
                <w:color w:val="FFFFFF"/>
                <w:sz w:val="18"/>
                <w:szCs w:val="18"/>
              </w:rPr>
              <w:t xml:space="preserve">Rule: Java 25 Feature</w:t>
            </w:r>
          </w:p>
        </w:tc>
        <w:tc>
          <w:tcPr>
            <w:tcW w:type="dxa" w:w="4500"/>
            <w:tcBorders>
              <w:top w:val="single" w:color="1E3A5F" w:sz="4"/>
              <w:left w:val="single" w:color="1E3A5F" w:sz="4"/>
              <w:bottom w:val="single" w:color="1E3A5F" w:sz="4"/>
              <w:right w:val="single" w:color="1E3A5F" w:sz="4"/>
            </w:tcBorders>
            <w:shd w:fill="1E3A5F" w:val="clear"/>
            <w:tcMar>
              <w:top w:type="dxa" w:w="90"/>
              <w:left w:type="dxa" w:w="140"/>
              <w:bottom w:type="dxa" w:w="90"/>
              <w:right w:type="dxa" w:w="140"/>
            </w:tcMar>
          </w:tcPr>
          <w:p>
            <w:r>
              <w:rPr>
                <w:rFonts w:ascii="Arial" w:cs="Arial" w:eastAsia="Arial" w:hAnsi="Arial"/>
                <w:b/>
                <w:bCs/>
                <w:color w:val="FFFFFF"/>
                <w:sz w:val="18"/>
                <w:szCs w:val="18"/>
              </w:rPr>
              <w:t xml:space="preserve">Detection Signal</w:t>
            </w:r>
          </w:p>
        </w:tc>
      </w:tr>
      <w:tr>
        <w:tc>
          <w:tcPr>
            <w:tcW w:type="dxa" w:w="10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Courier New" w:cs="Courier New" w:eastAsia="Courier New" w:hAnsi="Courier New"/>
                <w:color w:val="1E3A5F"/>
                <w:sz w:val="17"/>
                <w:szCs w:val="17"/>
              </w:rPr>
              <w:t xml:space="preserve">CON-010</w:t>
            </w:r>
          </w:p>
        </w:tc>
        <w:tc>
          <w:tcPr>
            <w:tcW w:type="dxa" w:w="700"/>
            <w:tcBorders>
              <w:top w:val="single" w:color="DDE1E7" w:sz="4"/>
              <w:left w:val="single" w:color="DDE1E7" w:sz="4"/>
              <w:bottom w:val="single" w:color="DDE1E7" w:sz="4"/>
              <w:right w:val="single" w:color="DDE1E7" w:sz="4"/>
            </w:tcBorders>
            <w:shd w:fill="FEF9E7" w:val="clear"/>
            <w:tcMar>
              <w:top w:type="dxa" w:w="80"/>
              <w:left w:type="dxa" w:w="100"/>
              <w:bottom w:type="dxa" w:w="80"/>
              <w:right w:type="dxa" w:w="100"/>
            </w:tcMar>
          </w:tcPr>
          <w:p>
            <w:pPr>
              <w:jc w:val="center"/>
            </w:pPr>
            <w:r>
              <w:rPr>
                <w:rFonts w:ascii="Arial" w:cs="Arial" w:eastAsia="Arial" w:hAnsi="Arial"/>
                <w:b/>
                <w:bCs/>
                <w:color w:val="9B7D0A"/>
                <w:sz w:val="17"/>
                <w:szCs w:val="17"/>
              </w:rPr>
              <w:t xml:space="preserve">HIGH</w:t>
            </w:r>
          </w:p>
        </w:tc>
        <w:tc>
          <w:tcPr>
            <w:tcW w:type="dxa" w:w="31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sz w:val="18"/>
                <w:szCs w:val="18"/>
              </w:rPr>
              <w:t xml:space="preserve">Scoped value (JEP 506) shared across service boundaries without explicit scope rebind</w:t>
            </w:r>
          </w:p>
        </w:tc>
        <w:tc>
          <w:tcPr>
            <w:tcW w:type="dxa" w:w="45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i/>
                <w:iCs/>
                <w:color w:val="8A96A3"/>
                <w:sz w:val="17"/>
                <w:szCs w:val="17"/>
              </w:rPr>
              <w:t xml:space="preserve">AST: ScopedValue.where() crossing @RestController / @Service boundary without rebind</w:t>
            </w:r>
          </w:p>
        </w:tc>
      </w:tr>
      <w:tr>
        <w:tc>
          <w:tcPr>
            <w:tcW w:type="dxa" w:w="10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Courier New" w:cs="Courier New" w:eastAsia="Courier New" w:hAnsi="Courier New"/>
                <w:color w:val="1E3A5F"/>
                <w:sz w:val="17"/>
                <w:szCs w:val="17"/>
              </w:rPr>
              <w:t xml:space="preserve">CON-011</w:t>
            </w:r>
          </w:p>
        </w:tc>
        <w:tc>
          <w:tcPr>
            <w:tcW w:type="dxa" w:w="700"/>
            <w:tcBorders>
              <w:top w:val="single" w:color="DDE1E7" w:sz="4"/>
              <w:left w:val="single" w:color="DDE1E7" w:sz="4"/>
              <w:bottom w:val="single" w:color="DDE1E7" w:sz="4"/>
              <w:right w:val="single" w:color="DDE1E7" w:sz="4"/>
            </w:tcBorders>
            <w:shd w:fill="D5F5E3" w:val="clear"/>
            <w:tcMar>
              <w:top w:type="dxa" w:w="80"/>
              <w:left w:type="dxa" w:w="100"/>
              <w:bottom w:type="dxa" w:w="80"/>
              <w:right w:type="dxa" w:w="100"/>
            </w:tcMar>
          </w:tcPr>
          <w:p>
            <w:pPr>
              <w:jc w:val="center"/>
            </w:pPr>
            <w:r>
              <w:rPr>
                <w:rFonts w:ascii="Arial" w:cs="Arial" w:eastAsia="Arial" w:hAnsi="Arial"/>
                <w:b/>
                <w:bCs/>
                <w:color w:val="1A7A4A"/>
                <w:sz w:val="17"/>
                <w:szCs w:val="17"/>
              </w:rPr>
              <w:t xml:space="preserve">MED</w:t>
            </w:r>
          </w:p>
        </w:tc>
        <w:tc>
          <w:tcPr>
            <w:tcW w:type="dxa" w:w="31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sz w:val="18"/>
                <w:szCs w:val="18"/>
              </w:rPr>
              <w:t xml:space="preserve">Structured concurrency (JEP 505 preview) task scope not closed in try-with-resources</w:t>
            </w:r>
          </w:p>
        </w:tc>
        <w:tc>
          <w:tcPr>
            <w:tcW w:type="dxa" w:w="45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i/>
                <w:iCs/>
                <w:color w:val="8A96A3"/>
                <w:sz w:val="17"/>
                <w:szCs w:val="17"/>
              </w:rPr>
              <w:t xml:space="preserve">AST: StructuredTaskScope instantiation without AutoCloseable try block</w:t>
            </w:r>
          </w:p>
        </w:tc>
      </w:tr>
      <w:tr>
        <w:tc>
          <w:tcPr>
            <w:tcW w:type="dxa" w:w="10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Courier New" w:cs="Courier New" w:eastAsia="Courier New" w:hAnsi="Courier New"/>
                <w:color w:val="1E3A5F"/>
                <w:sz w:val="17"/>
                <w:szCs w:val="17"/>
              </w:rPr>
              <w:t xml:space="preserve">CON-012</w:t>
            </w:r>
          </w:p>
        </w:tc>
        <w:tc>
          <w:tcPr>
            <w:tcW w:type="dxa" w:w="700"/>
            <w:tcBorders>
              <w:top w:val="single" w:color="DDE1E7" w:sz="4"/>
              <w:left w:val="single" w:color="DDE1E7" w:sz="4"/>
              <w:bottom w:val="single" w:color="DDE1E7" w:sz="4"/>
              <w:right w:val="single" w:color="DDE1E7" w:sz="4"/>
            </w:tcBorders>
            <w:shd w:fill="D5F5E3" w:val="clear"/>
            <w:tcMar>
              <w:top w:type="dxa" w:w="80"/>
              <w:left w:type="dxa" w:w="100"/>
              <w:bottom w:type="dxa" w:w="80"/>
              <w:right w:type="dxa" w:w="100"/>
            </w:tcMar>
          </w:tcPr>
          <w:p>
            <w:pPr>
              <w:jc w:val="center"/>
            </w:pPr>
            <w:r>
              <w:rPr>
                <w:rFonts w:ascii="Arial" w:cs="Arial" w:eastAsia="Arial" w:hAnsi="Arial"/>
                <w:b/>
                <w:bCs/>
                <w:color w:val="1A7A4A"/>
                <w:sz w:val="17"/>
                <w:szCs w:val="17"/>
              </w:rPr>
              <w:t xml:space="preserve">MED</w:t>
            </w:r>
          </w:p>
        </w:tc>
        <w:tc>
          <w:tcPr>
            <w:tcW w:type="dxa" w:w="31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sz w:val="18"/>
                <w:szCs w:val="18"/>
              </w:rPr>
              <w:t xml:space="preserve">Virtual thread (Java 21+) pinned by synchronized block containing blocking I/O</w:t>
            </w:r>
          </w:p>
        </w:tc>
        <w:tc>
          <w:tcPr>
            <w:tcW w:type="dxa" w:w="45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i/>
                <w:iCs/>
                <w:color w:val="8A96A3"/>
                <w:sz w:val="17"/>
                <w:szCs w:val="17"/>
              </w:rPr>
              <w:t xml:space="preserve">AST + CFG: synchronized block containing JDBC/File/Socket calls — now non-pinning in Java 25</w:t>
            </w:r>
          </w:p>
        </w:tc>
      </w:tr>
      <w:tr>
        <w:tc>
          <w:tcPr>
            <w:tcW w:type="dxa" w:w="10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Courier New" w:cs="Courier New" w:eastAsia="Courier New" w:hAnsi="Courier New"/>
                <w:color w:val="1E3A5F"/>
                <w:sz w:val="17"/>
                <w:szCs w:val="17"/>
              </w:rPr>
              <w:t xml:space="preserve">SEC-012</w:t>
            </w:r>
          </w:p>
        </w:tc>
        <w:tc>
          <w:tcPr>
            <w:tcW w:type="dxa" w:w="700"/>
            <w:tcBorders>
              <w:top w:val="single" w:color="DDE1E7" w:sz="4"/>
              <w:left w:val="single" w:color="DDE1E7" w:sz="4"/>
              <w:bottom w:val="single" w:color="DDE1E7" w:sz="4"/>
              <w:right w:val="single" w:color="DDE1E7" w:sz="4"/>
            </w:tcBorders>
            <w:shd w:fill="FEF9E7" w:val="clear"/>
            <w:tcMar>
              <w:top w:type="dxa" w:w="80"/>
              <w:left w:type="dxa" w:w="100"/>
              <w:bottom w:type="dxa" w:w="80"/>
              <w:right w:type="dxa" w:w="100"/>
            </w:tcMar>
          </w:tcPr>
          <w:p>
            <w:pPr>
              <w:jc w:val="center"/>
            </w:pPr>
            <w:r>
              <w:rPr>
                <w:rFonts w:ascii="Arial" w:cs="Arial" w:eastAsia="Arial" w:hAnsi="Arial"/>
                <w:b/>
                <w:bCs/>
                <w:color w:val="9B7D0A"/>
                <w:sz w:val="17"/>
                <w:szCs w:val="17"/>
              </w:rPr>
              <w:t xml:space="preserve">HIGH</w:t>
            </w:r>
          </w:p>
        </w:tc>
        <w:tc>
          <w:tcPr>
            <w:tcW w:type="dxa" w:w="31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sz w:val="18"/>
                <w:szCs w:val="18"/>
              </w:rPr>
              <w:t xml:space="preserve">PEM-encoded key (JEP 470 preview) loaded from hardcoded file path or classpath</w:t>
            </w:r>
          </w:p>
        </w:tc>
        <w:tc>
          <w:tcPr>
            <w:tcW w:type="dxa" w:w="45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i/>
                <w:iCs/>
                <w:color w:val="8A96A3"/>
                <w:sz w:val="17"/>
                <w:szCs w:val="17"/>
              </w:rPr>
              <w:t xml:space="preserve">AST: PemEncoded.ofPrivateKey() with literal path argument</w:t>
            </w:r>
          </w:p>
        </w:tc>
      </w:tr>
      <w:tr>
        <w:tc>
          <w:tcPr>
            <w:tcW w:type="dxa" w:w="10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Courier New" w:cs="Courier New" w:eastAsia="Courier New" w:hAnsi="Courier New"/>
                <w:color w:val="1E3A5F"/>
                <w:sz w:val="17"/>
                <w:szCs w:val="17"/>
              </w:rPr>
              <w:t xml:space="preserve">PRF-008</w:t>
            </w:r>
          </w:p>
        </w:tc>
        <w:tc>
          <w:tcPr>
            <w:tcW w:type="dxa" w:w="700"/>
            <w:tcBorders>
              <w:top w:val="single" w:color="DDE1E7" w:sz="4"/>
              <w:left w:val="single" w:color="DDE1E7" w:sz="4"/>
              <w:bottom w:val="single" w:color="DDE1E7" w:sz="4"/>
              <w:right w:val="single" w:color="DDE1E7" w:sz="4"/>
            </w:tcBorders>
            <w:shd w:fill="D5F5E3" w:val="clear"/>
            <w:tcMar>
              <w:top w:type="dxa" w:w="80"/>
              <w:left w:type="dxa" w:w="100"/>
              <w:bottom w:type="dxa" w:w="80"/>
              <w:right w:type="dxa" w:w="100"/>
            </w:tcMar>
          </w:tcPr>
          <w:p>
            <w:pPr>
              <w:jc w:val="center"/>
            </w:pPr>
            <w:r>
              <w:rPr>
                <w:rFonts w:ascii="Arial" w:cs="Arial" w:eastAsia="Arial" w:hAnsi="Arial"/>
                <w:b/>
                <w:bCs/>
                <w:color w:val="1A7A4A"/>
                <w:sz w:val="17"/>
                <w:szCs w:val="17"/>
              </w:rPr>
              <w:t xml:space="preserve">MED</w:t>
            </w:r>
          </w:p>
        </w:tc>
        <w:tc>
          <w:tcPr>
            <w:tcW w:type="dxa" w:w="31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sz w:val="18"/>
                <w:szCs w:val="18"/>
              </w:rPr>
              <w:t xml:space="preserve">Compact object headers (JEP 519) disabled by JVM flag in production config</w:t>
            </w:r>
          </w:p>
        </w:tc>
        <w:tc>
          <w:tcPr>
            <w:tcW w:type="dxa" w:w="45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i/>
                <w:iCs/>
                <w:color w:val="8A96A3"/>
                <w:sz w:val="17"/>
                <w:szCs w:val="17"/>
              </w:rPr>
              <w:t xml:space="preserve">Properties/YAML: -XX:-UseCompactObjectHeaders in JVM args</w:t>
            </w:r>
          </w:p>
        </w:tc>
      </w:tr>
      <w:tr>
        <w:tc>
          <w:tcPr>
            <w:tcW w:type="dxa" w:w="10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Courier New" w:cs="Courier New" w:eastAsia="Courier New" w:hAnsi="Courier New"/>
                <w:color w:val="1E3A5F"/>
                <w:sz w:val="17"/>
                <w:szCs w:val="17"/>
              </w:rPr>
              <w:t xml:space="preserve">DES-008</w:t>
            </w:r>
          </w:p>
        </w:tc>
        <w:tc>
          <w:tcPr>
            <w:tcW w:type="dxa" w:w="700"/>
            <w:tcBorders>
              <w:top w:val="single" w:color="DDE1E7" w:sz="4"/>
              <w:left w:val="single" w:color="DDE1E7" w:sz="4"/>
              <w:bottom w:val="single" w:color="DDE1E7" w:sz="4"/>
              <w:right w:val="single" w:color="DDE1E7" w:sz="4"/>
            </w:tcBorders>
            <w:shd w:fill="D5F5E3" w:val="clear"/>
            <w:tcMar>
              <w:top w:type="dxa" w:w="80"/>
              <w:left w:type="dxa" w:w="100"/>
              <w:bottom w:type="dxa" w:w="80"/>
              <w:right w:type="dxa" w:w="100"/>
            </w:tcMar>
          </w:tcPr>
          <w:p>
            <w:pPr>
              <w:jc w:val="center"/>
            </w:pPr>
            <w:r>
              <w:rPr>
                <w:rFonts w:ascii="Arial" w:cs="Arial" w:eastAsia="Arial" w:hAnsi="Arial"/>
                <w:b/>
                <w:bCs/>
                <w:color w:val="1A7A4A"/>
                <w:sz w:val="17"/>
                <w:szCs w:val="17"/>
              </w:rPr>
              <w:t xml:space="preserve">INFO</w:t>
            </w:r>
          </w:p>
        </w:tc>
        <w:tc>
          <w:tcPr>
            <w:tcW w:type="dxa" w:w="31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sz w:val="18"/>
                <w:szCs w:val="18"/>
              </w:rPr>
              <w:t xml:space="preserve">Compact source file (JEP 512) used in non-test production code</w:t>
            </w:r>
          </w:p>
        </w:tc>
        <w:tc>
          <w:tcPr>
            <w:tcW w:type="dxa" w:w="45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i/>
                <w:iCs/>
                <w:color w:val="8A96A3"/>
                <w:sz w:val="17"/>
                <w:szCs w:val="17"/>
              </w:rPr>
              <w:t xml:space="preserve">AST: top-level instance main / classless file outside src/test</w:t>
            </w:r>
          </w:p>
        </w:tc>
      </w:tr>
    </w:tbl>
    <w:p>
      <w:pPr>
        <w:spacing w:after="0" w:before="120"/>
      </w:pPr>
    </w:p>
    <w:p>
      <w:pPr>
        <w:pStyle w:val="Heading2"/>
        <w:pBdr>
          <w:bottom w:val="single" w:color="2E6DA4" w:sz="6"/>
        </w:pBdr>
        <w:spacing w:after="180" w:before="360"/>
      </w:pPr>
      <w:r>
        <w:rPr>
          <w:rFonts w:ascii="Arial" w:cs="Arial" w:eastAsia="Arial" w:hAnsi="Arial"/>
          <w:b/>
          <w:bCs/>
          <w:color w:val="1E3A5F"/>
          <w:sz w:val="28"/>
          <w:szCs w:val="28"/>
        </w:rPr>
        <w:t xml:space="preserve">2A.2  Spring Boot 4 / Spring Framework 7 — Impact on Existing Rules</w:t>
      </w:r>
    </w:p>
    <w:p>
      <w:pPr>
        <w:spacing w:after="80" w:before="80"/>
      </w:pPr>
      <w:r>
        <w:rPr>
          <w:rFonts w:ascii="Arial" w:cs="Arial" w:eastAsia="Arial" w:hAnsi="Arial"/>
          <w:color w:val="1C1C1C"/>
          <w:sz w:val="22"/>
          <w:szCs w:val="22"/>
        </w:rPr>
        <w:t xml:space="preserve">Spring Boot 4.0 (November 2025) introduces breaking changes that affect existing rules. The following rules are updated or superseded in the v1.2 Rule Catalog:</w:t>
      </w:r>
    </w:p>
    <w:p>
      <w:pPr>
        <w:pStyle w:val="ListParagraph"/>
        <w:numPr>
          <w:ilvl w:val="0"/>
          <w:numId w:val="2"/>
        </w:numPr>
        <w:spacing w:after="60" w:before="60"/>
      </w:pPr>
      <w:r>
        <w:rPr>
          <w:rFonts w:ascii="Arial" w:cs="Arial" w:eastAsia="Arial" w:hAnsi="Arial"/>
          <w:color w:val="1C1C1C"/>
          <w:sz w:val="22"/>
          <w:szCs w:val="22"/>
        </w:rPr>
        <w:t xml:space="preserve">API-001 updated: Spring Framework 7 @HttpExchange declarative clients replace RestTemplate — rule now detects auto-configured RestTemplate usage without explicit opt-in annotation as a LOW finding.</w:t>
      </w:r>
    </w:p>
    <w:p>
      <w:pPr>
        <w:pStyle w:val="ListParagraph"/>
        <w:numPr>
          <w:ilvl w:val="0"/>
          <w:numId w:val="2"/>
        </w:numPr>
        <w:spacing w:after="60" w:before="60"/>
      </w:pPr>
      <w:r>
        <w:rPr>
          <w:rFonts w:ascii="Arial" w:cs="Arial" w:eastAsia="Arial" w:hAnsi="Arial"/>
          <w:color w:val="1C1C1C"/>
          <w:sz w:val="22"/>
          <w:szCs w:val="22"/>
        </w:rPr>
        <w:t xml:space="preserve">API-005 (new): Spring Boot 4 built-in API versioning via @RequestMapping(version) — rule detects manual URL-prefix versioning (/v1/, /v2/) when the framework-native approach is available.</w:t>
      </w:r>
    </w:p>
    <w:p>
      <w:pPr>
        <w:pStyle w:val="ListParagraph"/>
        <w:numPr>
          <w:ilvl w:val="0"/>
          <w:numId w:val="2"/>
        </w:numPr>
        <w:spacing w:after="60" w:before="60"/>
      </w:pPr>
      <w:r>
        <w:rPr>
          <w:rFonts w:ascii="Arial" w:cs="Arial" w:eastAsia="Arial" w:hAnsi="Arial"/>
          <w:color w:val="1C1C1C"/>
          <w:sz w:val="22"/>
          <w:szCs w:val="22"/>
        </w:rPr>
        <w:t xml:space="preserve">CFG-008 (new): Spring Boot 4 modular auto-configuration — rule detects META-INF/spring/org.springframework.boot.autoconfigure.AutoConfiguration.imports missing for custom auto-configs.</w:t>
      </w:r>
    </w:p>
    <w:p>
      <w:pPr>
        <w:pStyle w:val="ListParagraph"/>
        <w:numPr>
          <w:ilvl w:val="0"/>
          <w:numId w:val="2"/>
        </w:numPr>
        <w:spacing w:after="60" w:before="60"/>
      </w:pPr>
      <w:r>
        <w:rPr>
          <w:rFonts w:ascii="Arial" w:cs="Arial" w:eastAsia="Arial" w:hAnsi="Arial"/>
          <w:color w:val="1C1C1C"/>
          <w:sz w:val="22"/>
          <w:szCs w:val="22"/>
        </w:rPr>
        <w:t xml:space="preserve">DEP-005 (new): Spring Cloud 2025.1.x (Oakwood) javax.inject removal — flags any remaining javax.inject imports that must migrate to jakarta.inject.</w:t>
      </w:r>
    </w:p>
    <w:p>
      <w:pPr>
        <w:pStyle w:val="ListParagraph"/>
        <w:numPr>
          <w:ilvl w:val="0"/>
          <w:numId w:val="2"/>
        </w:numPr>
        <w:spacing w:after="60" w:before="60"/>
      </w:pPr>
      <w:r>
        <w:rPr>
          <w:rFonts w:ascii="Arial" w:cs="Arial" w:eastAsia="Arial" w:hAnsi="Arial"/>
          <w:color w:val="1C1C1C"/>
          <w:sz w:val="22"/>
          <w:szCs w:val="22"/>
        </w:rPr>
        <w:t xml:space="preserve">MSG-008 (new): Kafka 4 KRaft-only — flags any bootstrap.servers or zookeeper.connect configuration pointing to ZooKeeper endpoints.</w:t>
      </w:r>
    </w:p>
    <w:p>
      <w:pPr>
        <w:spacing w:after="0" w:before="120"/>
      </w:pPr>
    </w:p>
    <w:p>
      <w:pPr>
        <w:pStyle w:val="Heading2"/>
        <w:pBdr>
          <w:bottom w:val="single" w:color="2E6DA4" w:sz="6"/>
        </w:pBdr>
        <w:spacing w:after="180" w:before="360"/>
      </w:pPr>
      <w:r>
        <w:rPr>
          <w:rFonts w:ascii="Arial" w:cs="Arial" w:eastAsia="Arial" w:hAnsi="Arial"/>
          <w:b/>
          <w:bCs/>
          <w:color w:val="1E3A5F"/>
          <w:sz w:val="28"/>
          <w:szCs w:val="28"/>
        </w:rPr>
        <w:t xml:space="preserve">2A.3  Version Compatibility Matrix for Rule Evaluation</w:t>
      </w:r>
    </w:p>
    <w:p>
      <w:pPr>
        <w:spacing w:after="80" w:before="80"/>
      </w:pPr>
      <w:r>
        <w:rPr>
          <w:rFonts w:ascii="Arial" w:cs="Arial" w:eastAsia="Arial" w:hAnsi="Arial"/>
          <w:color w:val="1C1C1C"/>
          <w:sz w:val="22"/>
          <w:szCs w:val="22"/>
        </w:rPr>
        <w:t xml:space="preserve">Rules annotated @SinceVersion are only evaluated when the detected framework version meets the threshold. The agent reads pom.xml / build.gradle to determine project versions before dispatching domain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1B2A3B" w:val="clear"/>
            <w:tcMar>
              <w:top w:type="dxa" w:w="160"/>
              <w:left w:type="dxa" w:w="200"/>
              <w:bottom w:type="dxa" w:w="160"/>
              <w:right w:type="dxa" w:w="200"/>
            </w:tcMar>
          </w:tcPr>
          <w:p>
            <w:pPr>
              <w:spacing w:after="20" w:before="20"/>
            </w:pPr>
            <w:r>
              <w:rPr>
                <w:rFonts w:ascii="Courier New" w:cs="Courier New" w:eastAsia="Courier New" w:hAnsi="Courier New"/>
                <w:color w:val="C5D8F5"/>
                <w:sz w:val="18"/>
                <w:szCs w:val="18"/>
              </w:rPr>
              <w:t xml:space="preserve">// Rule catalog annotation example</w:t>
            </w:r>
          </w:p>
          <w:p>
            <w:pPr>
              <w:spacing w:after="20" w:before="20"/>
            </w:pPr>
            <w:r>
              <w:rPr>
                <w:rFonts w:ascii="Courier New" w:cs="Courier New" w:eastAsia="Courier New" w:hAnsi="Courier New"/>
                <w:color w:val="C5D8F5"/>
                <w:sz w:val="18"/>
                <w:szCs w:val="18"/>
              </w:rPr>
              <w:t xml:space="preserve">@RuleDefinition(</w:t>
            </w:r>
          </w:p>
          <w:p>
            <w:pPr>
              <w:spacing w:after="20" w:before="20"/>
            </w:pPr>
            <w:r>
              <w:rPr>
                <w:rFonts w:ascii="Courier New" w:cs="Courier New" w:eastAsia="Courier New" w:hAnsi="Courier New"/>
                <w:color w:val="C5D8F5"/>
                <w:sz w:val="18"/>
                <w:szCs w:val="18"/>
              </w:rPr>
              <w:t xml:space="preserve">    id          = "API-005",</w:t>
            </w:r>
          </w:p>
          <w:p>
            <w:pPr>
              <w:spacing w:after="20" w:before="20"/>
            </w:pPr>
            <w:r>
              <w:rPr>
                <w:rFonts w:ascii="Courier New" w:cs="Courier New" w:eastAsia="Courier New" w:hAnsi="Courier New"/>
                <w:color w:val="C5D8F5"/>
                <w:sz w:val="18"/>
                <w:szCs w:val="18"/>
              </w:rPr>
              <w:t xml:space="preserve">    domain      = Domain.API,</w:t>
            </w:r>
          </w:p>
          <w:p>
            <w:pPr>
              <w:spacing w:after="20" w:before="20"/>
            </w:pPr>
            <w:r>
              <w:rPr>
                <w:rFonts w:ascii="Courier New" w:cs="Courier New" w:eastAsia="Courier New" w:hAnsi="Courier New"/>
                <w:color w:val="C5D8F5"/>
                <w:sz w:val="18"/>
                <w:szCs w:val="18"/>
              </w:rPr>
              <w:t xml:space="preserve">    severity    = Severity.LOW,</w:t>
            </w:r>
          </w:p>
          <w:p>
            <w:pPr>
              <w:spacing w:after="20" w:before="20"/>
            </w:pPr>
            <w:r>
              <w:rPr>
                <w:rFonts w:ascii="Courier New" w:cs="Courier New" w:eastAsia="Courier New" w:hAnsi="Courier New"/>
                <w:color w:val="C5D8F5"/>
                <w:sz w:val="18"/>
                <w:szCs w:val="18"/>
              </w:rPr>
              <w:t xml:space="preserve">    sinceVersion = @VersionGate(framework = SPRING_BOOT, minVersion = "4.0.0")</w:t>
            </w:r>
          </w:p>
          <w:p>
            <w:pPr>
              <w:spacing w:after="20" w:before="20"/>
            </w:pPr>
            <w:r>
              <w:rPr>
                <w:rFonts w:ascii="Courier New" w:cs="Courier New" w:eastAsia="Courier New" w:hAnsi="Courier New"/>
                <w:color w:val="C5D8F5"/>
                <w:sz w:val="18"/>
                <w:szCs w:val="18"/>
              </w:rPr>
              <w:t xml:space="preserve">)</w:t>
            </w:r>
          </w:p>
          <w:p>
            <w:pPr>
              <w:spacing w:after="20" w:before="20"/>
            </w:pPr>
            <w:r>
              <w:rPr>
                <w:rFonts w:ascii="Courier New" w:cs="Courier New" w:eastAsia="Courier New" w:hAnsi="Courier New"/>
                <w:color w:val="C5D8F5"/>
                <w:sz w:val="18"/>
                <w:szCs w:val="18"/>
              </w:rPr>
              <w:t xml:space="preserve">public class NativeApiVersioningRule implements RuleEvaluator {</w:t>
            </w:r>
          </w:p>
          <w:p>
            <w:pPr>
              <w:spacing w:after="20" w:before="20"/>
            </w:pPr>
            <w:r>
              <w:rPr>
                <w:rFonts w:ascii="Courier New" w:cs="Courier New" w:eastAsia="Courier New" w:hAnsi="Courier New"/>
                <w:color w:val="C5D8F5"/>
                <w:sz w:val="18"/>
                <w:szCs w:val="18"/>
              </w:rPr>
              <w:t xml:space="preserve">    // Only dispatched when Spring Boot &gt;= 4.0.0 detected in project</w:t>
            </w:r>
          </w:p>
          <w:p>
            <w:pPr>
              <w:spacing w:after="20" w:before="20"/>
            </w:pPr>
            <w:r>
              <w:rPr>
                <w:rFonts w:ascii="Courier New" w:cs="Courier New" w:eastAsia="Courier New" w:hAnsi="Courier New"/>
                <w:color w:val="C5D8F5"/>
                <w:sz w:val="18"/>
                <w:szCs w:val="18"/>
              </w:rPr>
              <w:t xml:space="preserve">}</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@RuleDefinition(</w:t>
            </w:r>
          </w:p>
          <w:p>
            <w:pPr>
              <w:spacing w:after="20" w:before="20"/>
            </w:pPr>
            <w:r>
              <w:rPr>
                <w:rFonts w:ascii="Courier New" w:cs="Courier New" w:eastAsia="Courier New" w:hAnsi="Courier New"/>
                <w:color w:val="C5D8F5"/>
                <w:sz w:val="18"/>
                <w:szCs w:val="18"/>
              </w:rPr>
              <w:t xml:space="preserve">    id          = "MSG-008",</w:t>
            </w:r>
          </w:p>
          <w:p>
            <w:pPr>
              <w:spacing w:after="20" w:before="20"/>
            </w:pPr>
            <w:r>
              <w:rPr>
                <w:rFonts w:ascii="Courier New" w:cs="Courier New" w:eastAsia="Courier New" w:hAnsi="Courier New"/>
                <w:color w:val="C5D8F5"/>
                <w:sz w:val="18"/>
                <w:szCs w:val="18"/>
              </w:rPr>
              <w:t xml:space="preserve">    domain      = Domain.MSG,</w:t>
            </w:r>
          </w:p>
          <w:p>
            <w:pPr>
              <w:spacing w:after="20" w:before="20"/>
            </w:pPr>
            <w:r>
              <w:rPr>
                <w:rFonts w:ascii="Courier New" w:cs="Courier New" w:eastAsia="Courier New" w:hAnsi="Courier New"/>
                <w:color w:val="C5D8F5"/>
                <w:sz w:val="18"/>
                <w:szCs w:val="18"/>
              </w:rPr>
              <w:t xml:space="preserve">    severity    = Severity.HIGH,</w:t>
            </w:r>
          </w:p>
          <w:p>
            <w:pPr>
              <w:spacing w:after="20" w:before="20"/>
            </w:pPr>
            <w:r>
              <w:rPr>
                <w:rFonts w:ascii="Courier New" w:cs="Courier New" w:eastAsia="Courier New" w:hAnsi="Courier New"/>
                <w:color w:val="C5D8F5"/>
                <w:sz w:val="18"/>
                <w:szCs w:val="18"/>
              </w:rPr>
              <w:t xml:space="preserve">    sinceVersion = @VersionGate(framework = KAFKA, minVersion = "4.0.0")</w:t>
            </w:r>
          </w:p>
          <w:p>
            <w:pPr>
              <w:spacing w:after="20" w:before="20"/>
            </w:pPr>
            <w:r>
              <w:rPr>
                <w:rFonts w:ascii="Courier New" w:cs="Courier New" w:eastAsia="Courier New" w:hAnsi="Courier New"/>
                <w:color w:val="C5D8F5"/>
                <w:sz w:val="18"/>
                <w:szCs w:val="18"/>
              </w:rPr>
              <w:t xml:space="preserve">)</w:t>
            </w:r>
          </w:p>
          <w:p>
            <w:pPr>
              <w:spacing w:after="20" w:before="20"/>
            </w:pPr>
            <w:r>
              <w:rPr>
                <w:rFonts w:ascii="Courier New" w:cs="Courier New" w:eastAsia="Courier New" w:hAnsi="Courier New"/>
                <w:color w:val="C5D8F5"/>
                <w:sz w:val="18"/>
                <w:szCs w:val="18"/>
              </w:rPr>
              <w:t xml:space="preserve">public class KafkaKRaftOnlyRule implements RuleEvaluator {</w:t>
            </w:r>
          </w:p>
          <w:p>
            <w:pPr>
              <w:spacing w:after="20" w:before="20"/>
            </w:pPr>
            <w:r>
              <w:rPr>
                <w:rFonts w:ascii="Courier New" w:cs="Courier New" w:eastAsia="Courier New" w:hAnsi="Courier New"/>
                <w:color w:val="C5D8F5"/>
                <w:sz w:val="18"/>
                <w:szCs w:val="18"/>
              </w:rPr>
              <w:t xml:space="preserve">    // Flags ZooKeeper config only when Kafka &gt;= 4.x detected</w:t>
            </w:r>
          </w:p>
          <w:p>
            <w:pPr>
              <w:spacing w:after="20" w:before="20"/>
            </w:pPr>
            <w:r>
              <w:rPr>
                <w:rFonts w:ascii="Courier New" w:cs="Courier New" w:eastAsia="Courier New" w:hAnsi="Courier New"/>
                <w:color w:val="C5D8F5"/>
                <w:sz w:val="18"/>
                <w:szCs w:val="18"/>
              </w:rPr>
              <w:t xml:space="preserve">}</w:t>
            </w:r>
          </w:p>
        </w:tc>
      </w:tr>
    </w:tbl>
    <w:p>
      <w:r>
        <w:br w:type="page"/>
      </w:r>
    </w:p>
    <w:p>
      <w:pPr>
        <w:pStyle w:val="Heading1"/>
        <w:shd w:fill="1E3A5F" w:val="clear"/>
        <w:spacing w:after="240" w:before="480"/>
      </w:pPr>
      <w:r>
        <w:rPr>
          <w:rFonts w:ascii="Arial" w:cs="Arial" w:eastAsia="Arial" w:hAnsi="Arial"/>
          <w:b/>
          <w:bCs/>
          <w:color w:val="FFFFFF"/>
          <w:sz w:val="36"/>
          <w:szCs w:val="36"/>
        </w:rPr>
        <w:t xml:space="preserve">3.  Review Domain Taxonomy</w:t>
      </w:r>
    </w:p>
    <w:p>
      <w:pPr>
        <w:spacing w:after="80" w:before="80"/>
      </w:pPr>
      <w:r>
        <w:rPr>
          <w:rFonts w:ascii="Arial" w:cs="Arial" w:eastAsia="Arial" w:hAnsi="Arial"/>
          <w:color w:val="1C1C1C"/>
          <w:sz w:val="22"/>
          <w:szCs w:val="22"/>
        </w:rPr>
        <w:t xml:space="preserve">JMCRA organises every rule under twelve review domains. Each domain maps to a Rule Catalog (Section 5). Every rule is identified by a stable Rule ID of the form  DOM-NNN  that never changes once published.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4160"/>
        <w:gridCol w:w="2600"/>
      </w:tblGrid>
      <w:tr>
        <w:tc>
          <w:tcPr>
            <w:tcW w:type="dxa" w:w="10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DOM ID</w:t>
            </w:r>
          </w:p>
        </w:tc>
        <w:tc>
          <w:tcPr>
            <w:tcW w:type="dxa" w:w="16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Domain</w:t>
            </w:r>
          </w:p>
        </w:tc>
        <w:tc>
          <w:tcPr>
            <w:tcW w:type="dxa" w:w="4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What the Agent Reviews</w:t>
            </w:r>
          </w:p>
        </w:tc>
        <w:tc>
          <w:tcPr>
            <w:tcW w:type="dxa" w:w="26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18"/>
                <w:szCs w:val="18"/>
              </w:rPr>
              <w:t xml:space="preserve">Primary Signals</w:t>
            </w:r>
          </w:p>
        </w:tc>
      </w:tr>
      <w:tr>
        <w:tc>
          <w:tcPr>
            <w:tcW w:type="dxa" w:w="1000"/>
            <w:tcBorders>
              <w:top w:val="single" w:color="DDE1E7" w:sz="4"/>
              <w:left w:val="single" w:color="DDE1E7" w:sz="4"/>
              <w:bottom w:val="single" w:color="DDE1E7" w:sz="4"/>
              <w:right w:val="single" w:color="DDE1E7" w:sz="4"/>
            </w:tcBorders>
            <w:shd w:fill="D6E4F0" w:val="clear"/>
            <w:tcMar>
              <w:top w:type="dxa" w:w="90"/>
              <w:left w:type="dxa" w:w="120"/>
              <w:bottom w:type="dxa" w:w="90"/>
              <w:right w:type="dxa" w:w="120"/>
            </w:tcMar>
          </w:tcPr>
          <w:p>
            <w:pPr>
              <w:jc w:val="center"/>
            </w:pPr>
            <w:r>
              <w:rPr>
                <w:rFonts w:ascii="Arial" w:cs="Arial" w:eastAsia="Arial" w:hAnsi="Arial"/>
                <w:b/>
                <w:bCs/>
                <w:color w:val="1E3A5F"/>
                <w:sz w:val="18"/>
                <w:szCs w:val="18"/>
              </w:rPr>
              <w:t xml:space="preserve">SEC</w:t>
            </w:r>
          </w:p>
        </w:tc>
        <w:tc>
          <w:tcPr>
            <w:tcW w:type="dxa" w:w="16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b/>
                <w:bCs/>
                <w:color w:val="1C1C1C"/>
                <w:sz w:val="18"/>
                <w:szCs w:val="18"/>
              </w:rPr>
              <w:t xml:space="preserve">Security</w:t>
            </w:r>
          </w:p>
        </w:tc>
        <w:tc>
          <w:tcPr>
            <w:tcW w:type="dxa" w:w="416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sz w:val="18"/>
                <w:szCs w:val="18"/>
              </w:rPr>
              <w:t xml:space="preserve">OWASP Top-10 patterns, dependency CVEs, injection risks, secret leakage, JWT misuse, improper auth/authz wiring</w:t>
            </w:r>
          </w:p>
        </w:tc>
        <w:tc>
          <w:tcPr>
            <w:tcW w:type="dxa" w:w="26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i/>
                <w:iCs/>
                <w:color w:val="8A96A3"/>
                <w:sz w:val="18"/>
                <w:szCs w:val="18"/>
              </w:rPr>
              <w:t xml:space="preserve">AST, regex, NVD CVE feed</w:t>
            </w:r>
          </w:p>
        </w:tc>
      </w:tr>
      <w:tr>
        <w:tc>
          <w:tcPr>
            <w:tcW w:type="dxa" w:w="1000"/>
            <w:tcBorders>
              <w:top w:val="single" w:color="DDE1E7" w:sz="4"/>
              <w:left w:val="single" w:color="DDE1E7" w:sz="4"/>
              <w:bottom w:val="single" w:color="DDE1E7" w:sz="4"/>
              <w:right w:val="single" w:color="DDE1E7" w:sz="4"/>
            </w:tcBorders>
            <w:shd w:fill="FFFFFF" w:val="clear"/>
            <w:tcMar>
              <w:top w:type="dxa" w:w="90"/>
              <w:left w:type="dxa" w:w="120"/>
              <w:bottom w:type="dxa" w:w="90"/>
              <w:right w:type="dxa" w:w="120"/>
            </w:tcMar>
          </w:tcPr>
          <w:p>
            <w:pPr>
              <w:jc w:val="center"/>
            </w:pPr>
            <w:r>
              <w:rPr>
                <w:rFonts w:ascii="Arial" w:cs="Arial" w:eastAsia="Arial" w:hAnsi="Arial"/>
                <w:b/>
                <w:bCs/>
                <w:color w:val="1E3A5F"/>
                <w:sz w:val="18"/>
                <w:szCs w:val="18"/>
              </w:rPr>
              <w:t xml:space="preserve">RES</w:t>
            </w:r>
          </w:p>
        </w:tc>
        <w:tc>
          <w:tcPr>
            <w:tcW w:type="dxa" w:w="16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18"/>
                <w:szCs w:val="18"/>
              </w:rPr>
              <w:t xml:space="preserve">Resilience</w:t>
            </w:r>
          </w:p>
        </w:tc>
        <w:tc>
          <w:tcPr>
            <w:tcW w:type="dxa" w:w="41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8"/>
                <w:szCs w:val="18"/>
              </w:rPr>
              <w:t xml:space="preserve">Circuit breakers, bulkheads, retries, timeouts, fallbacks, graceful degradation patterns</w:t>
            </w:r>
          </w:p>
        </w:tc>
        <w:tc>
          <w:tcPr>
            <w:tcW w:type="dxa" w:w="26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i/>
                <w:iCs/>
                <w:color w:val="8A96A3"/>
                <w:sz w:val="18"/>
                <w:szCs w:val="18"/>
              </w:rPr>
              <w:t xml:space="preserve">AST + annotation scanning</w:t>
            </w:r>
          </w:p>
        </w:tc>
      </w:tr>
      <w:tr>
        <w:tc>
          <w:tcPr>
            <w:tcW w:type="dxa" w:w="1000"/>
            <w:tcBorders>
              <w:top w:val="single" w:color="DDE1E7" w:sz="4"/>
              <w:left w:val="single" w:color="DDE1E7" w:sz="4"/>
              <w:bottom w:val="single" w:color="DDE1E7" w:sz="4"/>
              <w:right w:val="single" w:color="DDE1E7" w:sz="4"/>
            </w:tcBorders>
            <w:shd w:fill="D6E4F0" w:val="clear"/>
            <w:tcMar>
              <w:top w:type="dxa" w:w="90"/>
              <w:left w:type="dxa" w:w="120"/>
              <w:bottom w:type="dxa" w:w="90"/>
              <w:right w:type="dxa" w:w="120"/>
            </w:tcMar>
          </w:tcPr>
          <w:p>
            <w:pPr>
              <w:jc w:val="center"/>
            </w:pPr>
            <w:r>
              <w:rPr>
                <w:rFonts w:ascii="Arial" w:cs="Arial" w:eastAsia="Arial" w:hAnsi="Arial"/>
                <w:b/>
                <w:bCs/>
                <w:color w:val="1E3A5F"/>
                <w:sz w:val="18"/>
                <w:szCs w:val="18"/>
              </w:rPr>
              <w:t xml:space="preserve">OBS</w:t>
            </w:r>
          </w:p>
        </w:tc>
        <w:tc>
          <w:tcPr>
            <w:tcW w:type="dxa" w:w="16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b/>
                <w:bCs/>
                <w:color w:val="1C1C1C"/>
                <w:sz w:val="18"/>
                <w:szCs w:val="18"/>
              </w:rPr>
              <w:t xml:space="preserve">Observability</w:t>
            </w:r>
          </w:p>
        </w:tc>
        <w:tc>
          <w:tcPr>
            <w:tcW w:type="dxa" w:w="416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sz w:val="18"/>
                <w:szCs w:val="18"/>
              </w:rPr>
              <w:t xml:space="preserve">Distributed trace instrumentation, metric naming, structured log patterns, correlation ID propagation</w:t>
            </w:r>
          </w:p>
        </w:tc>
        <w:tc>
          <w:tcPr>
            <w:tcW w:type="dxa" w:w="26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i/>
                <w:iCs/>
                <w:color w:val="8A96A3"/>
                <w:sz w:val="18"/>
                <w:szCs w:val="18"/>
              </w:rPr>
              <w:t xml:space="preserve">AST + log statement analysis</w:t>
            </w:r>
          </w:p>
        </w:tc>
      </w:tr>
      <w:tr>
        <w:tc>
          <w:tcPr>
            <w:tcW w:type="dxa" w:w="1000"/>
            <w:tcBorders>
              <w:top w:val="single" w:color="DDE1E7" w:sz="4"/>
              <w:left w:val="single" w:color="DDE1E7" w:sz="4"/>
              <w:bottom w:val="single" w:color="DDE1E7" w:sz="4"/>
              <w:right w:val="single" w:color="DDE1E7" w:sz="4"/>
            </w:tcBorders>
            <w:shd w:fill="FFFFFF" w:val="clear"/>
            <w:tcMar>
              <w:top w:type="dxa" w:w="90"/>
              <w:left w:type="dxa" w:w="120"/>
              <w:bottom w:type="dxa" w:w="90"/>
              <w:right w:type="dxa" w:w="120"/>
            </w:tcMar>
          </w:tcPr>
          <w:p>
            <w:pPr>
              <w:jc w:val="center"/>
            </w:pPr>
            <w:r>
              <w:rPr>
                <w:rFonts w:ascii="Arial" w:cs="Arial" w:eastAsia="Arial" w:hAnsi="Arial"/>
                <w:b/>
                <w:bCs/>
                <w:color w:val="1E3A5F"/>
                <w:sz w:val="18"/>
                <w:szCs w:val="18"/>
              </w:rPr>
              <w:t xml:space="preserve">API</w:t>
            </w:r>
          </w:p>
        </w:tc>
        <w:tc>
          <w:tcPr>
            <w:tcW w:type="dxa" w:w="16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18"/>
                <w:szCs w:val="18"/>
              </w:rPr>
              <w:t xml:space="preserve">API Design</w:t>
            </w:r>
          </w:p>
        </w:tc>
        <w:tc>
          <w:tcPr>
            <w:tcW w:type="dxa" w:w="41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8"/>
                <w:szCs w:val="18"/>
              </w:rPr>
              <w:t xml:space="preserve">REST/gRPC contract adherence, versioning strategy, pagination, error envelope compliance, idempotency keys</w:t>
            </w:r>
          </w:p>
        </w:tc>
        <w:tc>
          <w:tcPr>
            <w:tcW w:type="dxa" w:w="26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i/>
                <w:iCs/>
                <w:color w:val="8A96A3"/>
                <w:sz w:val="18"/>
                <w:szCs w:val="18"/>
              </w:rPr>
              <w:t xml:space="preserve">OpenAPI diff + AST</w:t>
            </w:r>
          </w:p>
        </w:tc>
      </w:tr>
      <w:tr>
        <w:tc>
          <w:tcPr>
            <w:tcW w:type="dxa" w:w="1000"/>
            <w:tcBorders>
              <w:top w:val="single" w:color="DDE1E7" w:sz="4"/>
              <w:left w:val="single" w:color="DDE1E7" w:sz="4"/>
              <w:bottom w:val="single" w:color="DDE1E7" w:sz="4"/>
              <w:right w:val="single" w:color="DDE1E7" w:sz="4"/>
            </w:tcBorders>
            <w:shd w:fill="D6E4F0" w:val="clear"/>
            <w:tcMar>
              <w:top w:type="dxa" w:w="90"/>
              <w:left w:type="dxa" w:w="120"/>
              <w:bottom w:type="dxa" w:w="90"/>
              <w:right w:type="dxa" w:w="120"/>
            </w:tcMar>
          </w:tcPr>
          <w:p>
            <w:pPr>
              <w:jc w:val="center"/>
            </w:pPr>
            <w:r>
              <w:rPr>
                <w:rFonts w:ascii="Arial" w:cs="Arial" w:eastAsia="Arial" w:hAnsi="Arial"/>
                <w:b/>
                <w:bCs/>
                <w:color w:val="1E3A5F"/>
                <w:sz w:val="18"/>
                <w:szCs w:val="18"/>
              </w:rPr>
              <w:t xml:space="preserve">DAT</w:t>
            </w:r>
          </w:p>
        </w:tc>
        <w:tc>
          <w:tcPr>
            <w:tcW w:type="dxa" w:w="16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b/>
                <w:bCs/>
                <w:color w:val="1C1C1C"/>
                <w:sz w:val="18"/>
                <w:szCs w:val="18"/>
              </w:rPr>
              <w:t xml:space="preserve">Data Access</w:t>
            </w:r>
          </w:p>
        </w:tc>
        <w:tc>
          <w:tcPr>
            <w:tcW w:type="dxa" w:w="416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sz w:val="18"/>
                <w:szCs w:val="18"/>
              </w:rPr>
              <w:t xml:space="preserve">N+1 query detection, missing indexes, transaction boundary correctness, connection pool sizing, lazy-load misuse</w:t>
            </w:r>
          </w:p>
        </w:tc>
        <w:tc>
          <w:tcPr>
            <w:tcW w:type="dxa" w:w="26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i/>
                <w:iCs/>
                <w:color w:val="8A96A3"/>
                <w:sz w:val="18"/>
                <w:szCs w:val="18"/>
              </w:rPr>
              <w:t xml:space="preserve">AST + JPA meta-model</w:t>
            </w:r>
          </w:p>
        </w:tc>
      </w:tr>
      <w:tr>
        <w:tc>
          <w:tcPr>
            <w:tcW w:type="dxa" w:w="1000"/>
            <w:tcBorders>
              <w:top w:val="single" w:color="DDE1E7" w:sz="4"/>
              <w:left w:val="single" w:color="DDE1E7" w:sz="4"/>
              <w:bottom w:val="single" w:color="DDE1E7" w:sz="4"/>
              <w:right w:val="single" w:color="DDE1E7" w:sz="4"/>
            </w:tcBorders>
            <w:shd w:fill="FFFFFF" w:val="clear"/>
            <w:tcMar>
              <w:top w:type="dxa" w:w="90"/>
              <w:left w:type="dxa" w:w="120"/>
              <w:bottom w:type="dxa" w:w="90"/>
              <w:right w:type="dxa" w:w="120"/>
            </w:tcMar>
          </w:tcPr>
          <w:p>
            <w:pPr>
              <w:jc w:val="center"/>
            </w:pPr>
            <w:r>
              <w:rPr>
                <w:rFonts w:ascii="Arial" w:cs="Arial" w:eastAsia="Arial" w:hAnsi="Arial"/>
                <w:b/>
                <w:bCs/>
                <w:color w:val="1E3A5F"/>
                <w:sz w:val="18"/>
                <w:szCs w:val="18"/>
              </w:rPr>
              <w:t xml:space="preserve">MSG</w:t>
            </w:r>
          </w:p>
        </w:tc>
        <w:tc>
          <w:tcPr>
            <w:tcW w:type="dxa" w:w="16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18"/>
                <w:szCs w:val="18"/>
              </w:rPr>
              <w:t xml:space="preserve">Messaging</w:t>
            </w:r>
          </w:p>
        </w:tc>
        <w:tc>
          <w:tcPr>
            <w:tcW w:type="dxa" w:w="41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8"/>
                <w:szCs w:val="18"/>
              </w:rPr>
              <w:t xml:space="preserve">Consumer group correctness, dead-letter-queue wiring, offset management, message schema evolution safety</w:t>
            </w:r>
          </w:p>
        </w:tc>
        <w:tc>
          <w:tcPr>
            <w:tcW w:type="dxa" w:w="26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i/>
                <w:iCs/>
                <w:color w:val="8A96A3"/>
                <w:sz w:val="18"/>
                <w:szCs w:val="18"/>
              </w:rPr>
              <w:t xml:space="preserve">AST + Avro/Protobuf schema</w:t>
            </w:r>
          </w:p>
        </w:tc>
      </w:tr>
      <w:tr>
        <w:tc>
          <w:tcPr>
            <w:tcW w:type="dxa" w:w="1000"/>
            <w:tcBorders>
              <w:top w:val="single" w:color="DDE1E7" w:sz="4"/>
              <w:left w:val="single" w:color="DDE1E7" w:sz="4"/>
              <w:bottom w:val="single" w:color="DDE1E7" w:sz="4"/>
              <w:right w:val="single" w:color="DDE1E7" w:sz="4"/>
            </w:tcBorders>
            <w:shd w:fill="D6E4F0" w:val="clear"/>
            <w:tcMar>
              <w:top w:type="dxa" w:w="90"/>
              <w:left w:type="dxa" w:w="120"/>
              <w:bottom w:type="dxa" w:w="90"/>
              <w:right w:type="dxa" w:w="120"/>
            </w:tcMar>
          </w:tcPr>
          <w:p>
            <w:pPr>
              <w:jc w:val="center"/>
            </w:pPr>
            <w:r>
              <w:rPr>
                <w:rFonts w:ascii="Arial" w:cs="Arial" w:eastAsia="Arial" w:hAnsi="Arial"/>
                <w:b/>
                <w:bCs/>
                <w:color w:val="1E3A5F"/>
                <w:sz w:val="18"/>
                <w:szCs w:val="18"/>
              </w:rPr>
              <w:t xml:space="preserve">CON</w:t>
            </w:r>
          </w:p>
        </w:tc>
        <w:tc>
          <w:tcPr>
            <w:tcW w:type="dxa" w:w="16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b/>
                <w:bCs/>
                <w:color w:val="1C1C1C"/>
                <w:sz w:val="18"/>
                <w:szCs w:val="18"/>
              </w:rPr>
              <w:t xml:space="preserve">Concurrency</w:t>
            </w:r>
          </w:p>
        </w:tc>
        <w:tc>
          <w:tcPr>
            <w:tcW w:type="dxa" w:w="416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sz w:val="18"/>
                <w:szCs w:val="18"/>
              </w:rPr>
              <w:t xml:space="preserve">Thread safety, lock contention, virtual-thread compatibility (Java 21), reactive backpressure adherence</w:t>
            </w:r>
          </w:p>
        </w:tc>
        <w:tc>
          <w:tcPr>
            <w:tcW w:type="dxa" w:w="26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i/>
                <w:iCs/>
                <w:color w:val="8A96A3"/>
                <w:sz w:val="18"/>
                <w:szCs w:val="18"/>
              </w:rPr>
              <w:t xml:space="preserve">AST + CFG analysis</w:t>
            </w:r>
          </w:p>
        </w:tc>
      </w:tr>
      <w:tr>
        <w:tc>
          <w:tcPr>
            <w:tcW w:type="dxa" w:w="1000"/>
            <w:tcBorders>
              <w:top w:val="single" w:color="DDE1E7" w:sz="4"/>
              <w:left w:val="single" w:color="DDE1E7" w:sz="4"/>
              <w:bottom w:val="single" w:color="DDE1E7" w:sz="4"/>
              <w:right w:val="single" w:color="DDE1E7" w:sz="4"/>
            </w:tcBorders>
            <w:shd w:fill="FFFFFF" w:val="clear"/>
            <w:tcMar>
              <w:top w:type="dxa" w:w="90"/>
              <w:left w:type="dxa" w:w="120"/>
              <w:bottom w:type="dxa" w:w="90"/>
              <w:right w:type="dxa" w:w="120"/>
            </w:tcMar>
          </w:tcPr>
          <w:p>
            <w:pPr>
              <w:jc w:val="center"/>
            </w:pPr>
            <w:r>
              <w:rPr>
                <w:rFonts w:ascii="Arial" w:cs="Arial" w:eastAsia="Arial" w:hAnsi="Arial"/>
                <w:b/>
                <w:bCs/>
                <w:color w:val="1E3A5F"/>
                <w:sz w:val="18"/>
                <w:szCs w:val="18"/>
              </w:rPr>
              <w:t xml:space="preserve">CFG</w:t>
            </w:r>
          </w:p>
        </w:tc>
        <w:tc>
          <w:tcPr>
            <w:tcW w:type="dxa" w:w="16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18"/>
                <w:szCs w:val="18"/>
              </w:rPr>
              <w:t xml:space="preserve">Configuration</w:t>
            </w:r>
          </w:p>
        </w:tc>
        <w:tc>
          <w:tcPr>
            <w:tcW w:type="dxa" w:w="41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8"/>
                <w:szCs w:val="18"/>
              </w:rPr>
              <w:t xml:space="preserve">Externalised config completeness, secret management (no hardcoded creds), feature-flag hygiene, 12-factor compliance</w:t>
            </w:r>
          </w:p>
        </w:tc>
        <w:tc>
          <w:tcPr>
            <w:tcW w:type="dxa" w:w="26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i/>
                <w:iCs/>
                <w:color w:val="8A96A3"/>
                <w:sz w:val="18"/>
                <w:szCs w:val="18"/>
              </w:rPr>
              <w:t xml:space="preserve">YAML/Properties + AST</w:t>
            </w:r>
          </w:p>
        </w:tc>
      </w:tr>
      <w:tr>
        <w:tc>
          <w:tcPr>
            <w:tcW w:type="dxa" w:w="1000"/>
            <w:tcBorders>
              <w:top w:val="single" w:color="DDE1E7" w:sz="4"/>
              <w:left w:val="single" w:color="DDE1E7" w:sz="4"/>
              <w:bottom w:val="single" w:color="DDE1E7" w:sz="4"/>
              <w:right w:val="single" w:color="DDE1E7" w:sz="4"/>
            </w:tcBorders>
            <w:shd w:fill="D6E4F0" w:val="clear"/>
            <w:tcMar>
              <w:top w:type="dxa" w:w="90"/>
              <w:left w:type="dxa" w:w="120"/>
              <w:bottom w:type="dxa" w:w="90"/>
              <w:right w:type="dxa" w:w="120"/>
            </w:tcMar>
          </w:tcPr>
          <w:p>
            <w:pPr>
              <w:jc w:val="center"/>
            </w:pPr>
            <w:r>
              <w:rPr>
                <w:rFonts w:ascii="Arial" w:cs="Arial" w:eastAsia="Arial" w:hAnsi="Arial"/>
                <w:b/>
                <w:bCs/>
                <w:color w:val="1E3A5F"/>
                <w:sz w:val="18"/>
                <w:szCs w:val="18"/>
              </w:rPr>
              <w:t xml:space="preserve">TST</w:t>
            </w:r>
          </w:p>
        </w:tc>
        <w:tc>
          <w:tcPr>
            <w:tcW w:type="dxa" w:w="16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b/>
                <w:bCs/>
                <w:color w:val="1C1C1C"/>
                <w:sz w:val="18"/>
                <w:szCs w:val="18"/>
              </w:rPr>
              <w:t xml:space="preserve">Test Quality</w:t>
            </w:r>
          </w:p>
        </w:tc>
        <w:tc>
          <w:tcPr>
            <w:tcW w:type="dxa" w:w="416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sz w:val="18"/>
                <w:szCs w:val="18"/>
              </w:rPr>
              <w:t xml:space="preserve">Test coverage thresholds, test pyramid balance, mutation testing escape rate, contract test presence</w:t>
            </w:r>
          </w:p>
        </w:tc>
        <w:tc>
          <w:tcPr>
            <w:tcW w:type="dxa" w:w="26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i/>
                <w:iCs/>
                <w:color w:val="8A96A3"/>
                <w:sz w:val="18"/>
                <w:szCs w:val="18"/>
              </w:rPr>
              <w:t xml:space="preserve">JaCoCo + Pitest reports</w:t>
            </w:r>
          </w:p>
        </w:tc>
      </w:tr>
      <w:tr>
        <w:tc>
          <w:tcPr>
            <w:tcW w:type="dxa" w:w="1000"/>
            <w:tcBorders>
              <w:top w:val="single" w:color="DDE1E7" w:sz="4"/>
              <w:left w:val="single" w:color="DDE1E7" w:sz="4"/>
              <w:bottom w:val="single" w:color="DDE1E7" w:sz="4"/>
              <w:right w:val="single" w:color="DDE1E7" w:sz="4"/>
            </w:tcBorders>
            <w:shd w:fill="FFFFFF" w:val="clear"/>
            <w:tcMar>
              <w:top w:type="dxa" w:w="90"/>
              <w:left w:type="dxa" w:w="120"/>
              <w:bottom w:type="dxa" w:w="90"/>
              <w:right w:type="dxa" w:w="120"/>
            </w:tcMar>
          </w:tcPr>
          <w:p>
            <w:pPr>
              <w:jc w:val="center"/>
            </w:pPr>
            <w:r>
              <w:rPr>
                <w:rFonts w:ascii="Arial" w:cs="Arial" w:eastAsia="Arial" w:hAnsi="Arial"/>
                <w:b/>
                <w:bCs/>
                <w:color w:val="1E3A5F"/>
                <w:sz w:val="18"/>
                <w:szCs w:val="18"/>
              </w:rPr>
              <w:t xml:space="preserve">DEP</w:t>
            </w:r>
          </w:p>
        </w:tc>
        <w:tc>
          <w:tcPr>
            <w:tcW w:type="dxa" w:w="16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18"/>
                <w:szCs w:val="18"/>
              </w:rPr>
              <w:t xml:space="preserve">Dependencies</w:t>
            </w:r>
          </w:p>
        </w:tc>
        <w:tc>
          <w:tcPr>
            <w:tcW w:type="dxa" w:w="41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8"/>
                <w:szCs w:val="18"/>
              </w:rPr>
              <w:t xml:space="preserve">Transitive conflict detection, outdated major versions, license compliance, SBOM completeness</w:t>
            </w:r>
          </w:p>
        </w:tc>
        <w:tc>
          <w:tcPr>
            <w:tcW w:type="dxa" w:w="26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i/>
                <w:iCs/>
                <w:color w:val="8A96A3"/>
                <w:sz w:val="18"/>
                <w:szCs w:val="18"/>
              </w:rPr>
              <w:t xml:space="preserve">POM/Gradle + NVD + SPDX</w:t>
            </w:r>
          </w:p>
        </w:tc>
      </w:tr>
      <w:tr>
        <w:tc>
          <w:tcPr>
            <w:tcW w:type="dxa" w:w="1000"/>
            <w:tcBorders>
              <w:top w:val="single" w:color="DDE1E7" w:sz="4"/>
              <w:left w:val="single" w:color="DDE1E7" w:sz="4"/>
              <w:bottom w:val="single" w:color="DDE1E7" w:sz="4"/>
              <w:right w:val="single" w:color="DDE1E7" w:sz="4"/>
            </w:tcBorders>
            <w:shd w:fill="D6E4F0" w:val="clear"/>
            <w:tcMar>
              <w:top w:type="dxa" w:w="90"/>
              <w:left w:type="dxa" w:w="120"/>
              <w:bottom w:type="dxa" w:w="90"/>
              <w:right w:type="dxa" w:w="120"/>
            </w:tcMar>
          </w:tcPr>
          <w:p>
            <w:pPr>
              <w:jc w:val="center"/>
            </w:pPr>
            <w:r>
              <w:rPr>
                <w:rFonts w:ascii="Arial" w:cs="Arial" w:eastAsia="Arial" w:hAnsi="Arial"/>
                <w:b/>
                <w:bCs/>
                <w:color w:val="1E3A5F"/>
                <w:sz w:val="18"/>
                <w:szCs w:val="18"/>
              </w:rPr>
              <w:t xml:space="preserve">PRF</w:t>
            </w:r>
          </w:p>
        </w:tc>
        <w:tc>
          <w:tcPr>
            <w:tcW w:type="dxa" w:w="16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b/>
                <w:bCs/>
                <w:color w:val="1C1C1C"/>
                <w:sz w:val="18"/>
                <w:szCs w:val="18"/>
              </w:rPr>
              <w:t xml:space="preserve">Performance</w:t>
            </w:r>
          </w:p>
        </w:tc>
        <w:tc>
          <w:tcPr>
            <w:tcW w:type="dxa" w:w="416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sz w:val="18"/>
                <w:szCs w:val="18"/>
              </w:rPr>
              <w:t xml:space="preserve">Blocking calls on reactive threads, missing caches, serialisation overhead, GC-pressure patterns</w:t>
            </w:r>
          </w:p>
        </w:tc>
        <w:tc>
          <w:tcPr>
            <w:tcW w:type="dxa" w:w="26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i/>
                <w:iCs/>
                <w:color w:val="8A96A3"/>
                <w:sz w:val="18"/>
                <w:szCs w:val="18"/>
              </w:rPr>
              <w:t xml:space="preserve">AST + heap dump hints</w:t>
            </w:r>
          </w:p>
        </w:tc>
      </w:tr>
      <w:tr>
        <w:tc>
          <w:tcPr>
            <w:tcW w:type="dxa" w:w="1000"/>
            <w:tcBorders>
              <w:top w:val="single" w:color="DDE1E7" w:sz="4"/>
              <w:left w:val="single" w:color="DDE1E7" w:sz="4"/>
              <w:bottom w:val="single" w:color="DDE1E7" w:sz="4"/>
              <w:right w:val="single" w:color="DDE1E7" w:sz="4"/>
            </w:tcBorders>
            <w:shd w:fill="FFFFFF" w:val="clear"/>
            <w:tcMar>
              <w:top w:type="dxa" w:w="90"/>
              <w:left w:type="dxa" w:w="120"/>
              <w:bottom w:type="dxa" w:w="90"/>
              <w:right w:type="dxa" w:w="120"/>
            </w:tcMar>
          </w:tcPr>
          <w:p>
            <w:pPr>
              <w:jc w:val="center"/>
            </w:pPr>
            <w:r>
              <w:rPr>
                <w:rFonts w:ascii="Arial" w:cs="Arial" w:eastAsia="Arial" w:hAnsi="Arial"/>
                <w:b/>
                <w:bCs/>
                <w:color w:val="1E3A5F"/>
                <w:sz w:val="18"/>
                <w:szCs w:val="18"/>
              </w:rPr>
              <w:t xml:space="preserve">DES</w:t>
            </w:r>
          </w:p>
        </w:tc>
        <w:tc>
          <w:tcPr>
            <w:tcW w:type="dxa" w:w="16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18"/>
                <w:szCs w:val="18"/>
              </w:rPr>
              <w:t xml:space="preserve">Design &amp; Patterns</w:t>
            </w:r>
          </w:p>
        </w:tc>
        <w:tc>
          <w:tcPr>
            <w:tcW w:type="dxa" w:w="41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8"/>
                <w:szCs w:val="18"/>
              </w:rPr>
              <w:t xml:space="preserve">SOLID violations, God class detection, microservice boundary leakage, anti-pattern identification</w:t>
            </w:r>
          </w:p>
        </w:tc>
        <w:tc>
          <w:tcPr>
            <w:tcW w:type="dxa" w:w="26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i/>
                <w:iCs/>
                <w:color w:val="8A96A3"/>
                <w:sz w:val="18"/>
                <w:szCs w:val="18"/>
              </w:rPr>
              <w:t xml:space="preserve">AST + coupling metrics</w:t>
            </w:r>
          </w:p>
        </w:tc>
      </w:tr>
    </w:tbl>
    <w:p>
      <w:r>
        <w:br w:type="page"/>
      </w:r>
    </w:p>
    <w:p>
      <w:pPr>
        <w:pStyle w:val="Heading1"/>
        <w:shd w:fill="1E3A5F" w:val="clear"/>
        <w:spacing w:after="240" w:before="480"/>
      </w:pPr>
      <w:r>
        <w:rPr>
          <w:rFonts w:ascii="Arial" w:cs="Arial" w:eastAsia="Arial" w:hAnsi="Arial"/>
          <w:b/>
          <w:bCs/>
          <w:color w:val="FFFFFF"/>
          <w:sz w:val="36"/>
          <w:szCs w:val="36"/>
        </w:rPr>
        <w:t xml:space="preserve">4.  Agent Architecture</w:t>
      </w:r>
    </w:p>
    <w:p>
      <w:pPr>
        <w:pStyle w:val="Heading2"/>
        <w:pBdr>
          <w:bottom w:val="single" w:color="2E6DA4" w:sz="6"/>
        </w:pBdr>
        <w:spacing w:after="180" w:before="360"/>
      </w:pPr>
      <w:r>
        <w:rPr>
          <w:rFonts w:ascii="Arial" w:cs="Arial" w:eastAsia="Arial" w:hAnsi="Arial"/>
          <w:b/>
          <w:bCs/>
          <w:color w:val="1E3A5F"/>
          <w:sz w:val="28"/>
          <w:szCs w:val="28"/>
        </w:rPr>
        <w:t xml:space="preserve">4.1  High-Level Pipeline</w:t>
      </w:r>
    </w:p>
    <w:p>
      <w:pPr>
        <w:spacing w:after="80" w:before="80"/>
      </w:pPr>
      <w:r>
        <w:rPr>
          <w:rFonts w:ascii="Arial" w:cs="Arial" w:eastAsia="Arial" w:hAnsi="Arial"/>
          <w:color w:val="1C1C1C"/>
          <w:sz w:val="22"/>
          <w:szCs w:val="22"/>
        </w:rPr>
        <w:t xml:space="preserve">JMCRA follows a six-stage pipeline. Each stage is an independent, testable module with a defined input contract and output schema. Stages communicate via in-process events on a reactive event bus (Project Reactor Sinks).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1B2A3B" w:val="clear"/>
            <w:tcMar>
              <w:top w:type="dxa" w:w="160"/>
              <w:left w:type="dxa" w:w="200"/>
              <w:bottom w:type="dxa" w:w="160"/>
              <w:right w:type="dxa" w:w="200"/>
            </w:tcMar>
          </w:tcPr>
          <w:p>
            <w:pPr>
              <w:spacing w:after="20" w:before="20"/>
            </w:pPr>
            <w:r>
              <w:rPr>
                <w:rFonts w:ascii="Courier New" w:cs="Courier New" w:eastAsia="Courier New" w:hAnsi="Courier New"/>
                <w:color w:val="C5D8F5"/>
                <w:sz w:val="18"/>
                <w:szCs w:val="18"/>
              </w:rPr>
              <w:t xml:space="preserve">  ┌─────────────┐    ┌─────────────┐    ┌──────────────┐</w:t>
            </w:r>
          </w:p>
          <w:p>
            <w:pPr>
              <w:spacing w:after="20" w:before="20"/>
            </w:pPr>
            <w:r>
              <w:rPr>
                <w:rFonts w:ascii="Courier New" w:cs="Courier New" w:eastAsia="Courier New" w:hAnsi="Courier New"/>
                <w:color w:val="C5D8F5"/>
                <w:sz w:val="18"/>
                <w:szCs w:val="18"/>
              </w:rPr>
              <w:t xml:space="preserve">  │  1. INGEST  │───▶│ 2. PARSE &amp;  │───▶│ 3. ANALYSIS  │</w:t>
            </w:r>
          </w:p>
          <w:p>
            <w:pPr>
              <w:spacing w:after="20" w:before="20"/>
            </w:pPr>
            <w:r>
              <w:rPr>
                <w:rFonts w:ascii="Courier New" w:cs="Courier New" w:eastAsia="Courier New" w:hAnsi="Courier New"/>
                <w:color w:val="C5D8F5"/>
                <w:sz w:val="18"/>
                <w:szCs w:val="18"/>
              </w:rPr>
              <w:t xml:space="preserve">  │  (PR / scan)│    │    INDEX    │    │   DISPATCH   │</w:t>
            </w:r>
          </w:p>
          <w:p>
            <w:pPr>
              <w:spacing w:after="20" w:before="20"/>
            </w:pPr>
            <w:r>
              <w:rPr>
                <w:rFonts w:ascii="Courier New" w:cs="Courier New" w:eastAsia="Courier New" w:hAnsi="Courier New"/>
                <w:color w:val="C5D8F5"/>
                <w:sz w:val="18"/>
                <w:szCs w:val="18"/>
              </w:rPr>
              <w:t xml:space="preserve">  └─────────────┘    └─────────────┘    └──────┬───────┘</w:t>
            </w:r>
          </w:p>
          <w:p>
            <w:pPr>
              <w:spacing w:after="20" w:before="20"/>
            </w:pPr>
            <w:r>
              <w:rPr>
                <w:rFonts w:ascii="Courier New" w:cs="Courier New" w:eastAsia="Courier New" w:hAnsi="Courier New"/>
                <w:color w:val="C5D8F5"/>
                <w:sz w:val="18"/>
                <w:szCs w:val="18"/>
              </w:rPr>
              <w:t xml:space="preserve">                                                │ parallel domain workers</w:t>
            </w:r>
          </w:p>
          <w:p>
            <w:pPr>
              <w:spacing w:after="20" w:before="20"/>
            </w:pPr>
            <w:r>
              <w:rPr>
                <w:rFonts w:ascii="Courier New" w:cs="Courier New" w:eastAsia="Courier New" w:hAnsi="Courier New"/>
                <w:color w:val="C5D8F5"/>
                <w:sz w:val="18"/>
                <w:szCs w:val="18"/>
              </w:rPr>
              <w:t xml:space="preserve">  ┌─────────────┐    ┌─────────────┐    ┌──────▼───────┐</w:t>
            </w:r>
          </w:p>
          <w:p>
            <w:pPr>
              <w:spacing w:after="20" w:before="20"/>
            </w:pPr>
            <w:r>
              <w:rPr>
                <w:rFonts w:ascii="Courier New" w:cs="Courier New" w:eastAsia="Courier New" w:hAnsi="Courier New"/>
                <w:color w:val="C5D8F5"/>
                <w:sz w:val="18"/>
                <w:szCs w:val="18"/>
              </w:rPr>
              <w:t xml:space="preserve">  │ 6. DELIVER  │◀───│ 5. RANK &amp;   │◀───│ 4. RULE      │</w:t>
            </w:r>
          </w:p>
          <w:p>
            <w:pPr>
              <w:spacing w:after="20" w:before="20"/>
            </w:pPr>
            <w:r>
              <w:rPr>
                <w:rFonts w:ascii="Courier New" w:cs="Courier New" w:eastAsia="Courier New" w:hAnsi="Courier New"/>
                <w:color w:val="C5D8F5"/>
                <w:sz w:val="18"/>
                <w:szCs w:val="18"/>
              </w:rPr>
              <w:t xml:space="preserve">  │  (PR / JIRA)│    │   DEDUPE    │    │   EVALUATORS │</w:t>
            </w:r>
          </w:p>
          <w:p>
            <w:pPr>
              <w:spacing w:after="20" w:before="20"/>
            </w:pPr>
            <w:r>
              <w:rPr>
                <w:rFonts w:ascii="Courier New" w:cs="Courier New" w:eastAsia="Courier New" w:hAnsi="Courier New"/>
                <w:color w:val="C5D8F5"/>
                <w:sz w:val="18"/>
                <w:szCs w:val="18"/>
              </w:rPr>
              <w:t xml:space="preserve">  └─────────────┘    └─────────────┘    └──────────────┘</w:t>
            </w:r>
          </w:p>
        </w:tc>
      </w:tr>
    </w:tbl>
    <w:p>
      <w:pPr>
        <w:spacing w:after="0" w:before="200"/>
      </w:pPr>
    </w:p>
    <w:p>
      <w:pPr>
        <w:pStyle w:val="Heading2"/>
        <w:pBdr>
          <w:bottom w:val="single" w:color="2E6DA4" w:sz="6"/>
        </w:pBdr>
        <w:spacing w:after="180" w:before="360"/>
      </w:pPr>
      <w:r>
        <w:rPr>
          <w:rFonts w:ascii="Arial" w:cs="Arial" w:eastAsia="Arial" w:hAnsi="Arial"/>
          <w:b/>
          <w:bCs/>
          <w:color w:val="1E3A5F"/>
          <w:sz w:val="28"/>
          <w:szCs w:val="28"/>
        </w:rPr>
        <w:t xml:space="preserve">4.2  Stage Specifications</w:t>
      </w:r>
    </w:p>
    <w:p>
      <w:pPr>
        <w:pStyle w:val="Heading3"/>
        <w:spacing w:after="120" w:before="240"/>
      </w:pPr>
      <w:r>
        <w:rPr>
          <w:rFonts w:ascii="Arial" w:cs="Arial" w:eastAsia="Arial" w:hAnsi="Arial"/>
          <w:b/>
          <w:bCs/>
          <w:color w:val="2E6DA4"/>
          <w:sz w:val="24"/>
          <w:szCs w:val="24"/>
        </w:rPr>
        <w:t xml:space="preserve">Stage 1 — Ingest</w:t>
      </w:r>
    </w:p>
    <w:p>
      <w:pPr>
        <w:spacing w:after="80" w:before="80"/>
      </w:pPr>
      <w:r>
        <w:rPr>
          <w:rFonts w:ascii="Arial" w:cs="Arial" w:eastAsia="Arial" w:hAnsi="Arial"/>
          <w:color w:val="1C1C1C"/>
          <w:sz w:val="22"/>
          <w:szCs w:val="22"/>
        </w:rPr>
        <w:t xml:space="preserve">Accepts: GitHub/GitLab webhook payload (JSON), scheduled scan config, or CLI invocation.</w:t>
      </w:r>
    </w:p>
    <w:p>
      <w:pPr>
        <w:spacing w:after="80" w:before="80"/>
      </w:pPr>
      <w:r>
        <w:rPr>
          <w:rFonts w:ascii="Arial" w:cs="Arial" w:eastAsia="Arial" w:hAnsi="Arial"/>
          <w:color w:val="1C1C1C"/>
          <w:sz w:val="22"/>
          <w:szCs w:val="22"/>
        </w:rPr>
        <w:t xml:space="preserve">Produces: Normalised ScanRequest object with repository URL, commit SHA, branch, changed file list (delta mode), and scan profile reference.</w:t>
      </w:r>
    </w:p>
    <w:p>
      <w:pPr>
        <w:pStyle w:val="ListParagraph"/>
        <w:numPr>
          <w:ilvl w:val="0"/>
          <w:numId w:val="2"/>
        </w:numPr>
        <w:spacing w:after="60" w:before="60"/>
      </w:pPr>
      <w:r>
        <w:rPr>
          <w:rFonts w:ascii="Arial" w:cs="Arial" w:eastAsia="Arial" w:hAnsi="Arial"/>
          <w:color w:val="1C1C1C"/>
          <w:sz w:val="22"/>
          <w:szCs w:val="22"/>
        </w:rPr>
        <w:t xml:space="preserve">Must validate webhook HMAC signature before processing.</w:t>
      </w:r>
    </w:p>
    <w:p>
      <w:pPr>
        <w:pStyle w:val="ListParagraph"/>
        <w:numPr>
          <w:ilvl w:val="0"/>
          <w:numId w:val="2"/>
        </w:numPr>
        <w:spacing w:after="60" w:before="60"/>
      </w:pPr>
      <w:r>
        <w:rPr>
          <w:rFonts w:ascii="Arial" w:cs="Arial" w:eastAsia="Arial" w:hAnsi="Arial"/>
          <w:color w:val="1C1C1C"/>
          <w:sz w:val="22"/>
          <w:szCs w:val="22"/>
        </w:rPr>
        <w:t xml:space="preserve">Supports full-repository scan and diff-only (PR) scan modes.</w:t>
      </w:r>
    </w:p>
    <w:p>
      <w:pPr>
        <w:pStyle w:val="ListParagraph"/>
        <w:numPr>
          <w:ilvl w:val="0"/>
          <w:numId w:val="2"/>
        </w:numPr>
        <w:spacing w:after="60" w:before="60"/>
      </w:pPr>
      <w:r>
        <w:rPr>
          <w:rFonts w:ascii="Arial" w:cs="Arial" w:eastAsia="Arial" w:hAnsi="Arial"/>
          <w:color w:val="1C1C1C"/>
          <w:sz w:val="22"/>
          <w:szCs w:val="22"/>
        </w:rPr>
        <w:t xml:space="preserve">Emits ScanStarted event on the internal bus.</w:t>
      </w:r>
    </w:p>
    <w:p>
      <w:pPr>
        <w:pStyle w:val="Heading3"/>
        <w:spacing w:after="120" w:before="240"/>
      </w:pPr>
      <w:r>
        <w:rPr>
          <w:rFonts w:ascii="Arial" w:cs="Arial" w:eastAsia="Arial" w:hAnsi="Arial"/>
          <w:b/>
          <w:bCs/>
          <w:color w:val="2E6DA4"/>
          <w:sz w:val="24"/>
          <w:szCs w:val="24"/>
        </w:rPr>
        <w:t xml:space="preserve">Stage 2 — Parse &amp; Index</w:t>
      </w:r>
    </w:p>
    <w:p>
      <w:pPr>
        <w:spacing w:after="80" w:before="80"/>
      </w:pPr>
      <w:r>
        <w:rPr>
          <w:rFonts w:ascii="Arial" w:cs="Arial" w:eastAsia="Arial" w:hAnsi="Arial"/>
          <w:color w:val="1C1C1C"/>
          <w:sz w:val="22"/>
          <w:szCs w:val="22"/>
        </w:rPr>
        <w:t xml:space="preserve">Clones repository (shallow clone, depth=1) or reads from a local workspace volume.</w:t>
      </w:r>
    </w:p>
    <w:p>
      <w:pPr>
        <w:spacing w:after="80" w:before="80"/>
      </w:pPr>
      <w:r>
        <w:rPr>
          <w:rFonts w:ascii="Arial" w:cs="Arial" w:eastAsia="Arial" w:hAnsi="Arial"/>
          <w:color w:val="1C1C1C"/>
          <w:sz w:val="22"/>
          <w:szCs w:val="22"/>
        </w:rPr>
        <w:t xml:space="preserve">Builds: JavaParser AST tree per file, import graph, class hierarchy index, annotation index, call-graph (method-level), and resource file index (YAML/Properties/SQL).</w:t>
      </w:r>
    </w:p>
    <w:p>
      <w:pPr>
        <w:pStyle w:val="ListParagraph"/>
        <w:numPr>
          <w:ilvl w:val="0"/>
          <w:numId w:val="2"/>
        </w:numPr>
        <w:spacing w:after="60" w:before="60"/>
      </w:pPr>
      <w:r>
        <w:rPr>
          <w:rFonts w:ascii="Arial" w:cs="Arial" w:eastAsia="Arial" w:hAnsi="Arial"/>
          <w:color w:val="1C1C1C"/>
          <w:sz w:val="22"/>
          <w:szCs w:val="22"/>
        </w:rPr>
        <w:t xml:space="preserve">Uses JavaParser 3.28+ with symbol resolution enabled. Java 25 language features (scoped values, compact source files, primitive type patterns) are fully parsed.</w:t>
      </w:r>
    </w:p>
    <w:p>
      <w:pPr>
        <w:pStyle w:val="ListParagraph"/>
        <w:numPr>
          <w:ilvl w:val="0"/>
          <w:numId w:val="2"/>
        </w:numPr>
        <w:spacing w:after="60" w:before="60"/>
      </w:pPr>
      <w:r>
        <w:rPr>
          <w:rFonts w:ascii="Arial" w:cs="Arial" w:eastAsia="Arial" w:hAnsi="Arial"/>
          <w:color w:val="1C1C1C"/>
          <w:sz w:val="22"/>
          <w:szCs w:val="22"/>
        </w:rPr>
        <w:t xml:space="preserve">AST and indexes are stored in an in-memory graph structure (JGraphT).</w:t>
      </w:r>
    </w:p>
    <w:p>
      <w:pPr>
        <w:pStyle w:val="ListParagraph"/>
        <w:numPr>
          <w:ilvl w:val="0"/>
          <w:numId w:val="2"/>
        </w:numPr>
        <w:spacing w:after="60" w:before="60"/>
      </w:pPr>
      <w:r>
        <w:rPr>
          <w:rFonts w:ascii="Arial" w:cs="Arial" w:eastAsia="Arial" w:hAnsi="Arial"/>
          <w:color w:val="1C1C1C"/>
          <w:sz w:val="22"/>
          <w:szCs w:val="22"/>
        </w:rPr>
        <w:t xml:space="preserve">Parsing errors are collected, non-fatal; files with parse errors are reported but not blocking.</w:t>
      </w:r>
    </w:p>
    <w:p>
      <w:pPr>
        <w:pStyle w:val="Heading3"/>
        <w:spacing w:after="120" w:before="240"/>
      </w:pPr>
      <w:r>
        <w:rPr>
          <w:rFonts w:ascii="Arial" w:cs="Arial" w:eastAsia="Arial" w:hAnsi="Arial"/>
          <w:b/>
          <w:bCs/>
          <w:color w:val="2E6DA4"/>
          <w:sz w:val="24"/>
          <w:szCs w:val="24"/>
        </w:rPr>
        <w:t xml:space="preserve">Stage 3 — Analysis Dispatch</w:t>
      </w:r>
    </w:p>
    <w:p>
      <w:pPr>
        <w:spacing w:after="80" w:before="80"/>
      </w:pPr>
      <w:r>
        <w:rPr>
          <w:rFonts w:ascii="Arial" w:cs="Arial" w:eastAsia="Arial" w:hAnsi="Arial"/>
          <w:color w:val="1C1C1C"/>
          <w:sz w:val="22"/>
          <w:szCs w:val="22"/>
        </w:rPr>
        <w:t xml:space="preserve">Reads the active Rule Catalog for the scan profile. Dispatches domain worker Monos in parallel with configurable concurrency (default: 4 domains in parallel).</w:t>
      </w:r>
    </w:p>
    <w:p>
      <w:pPr>
        <w:pStyle w:val="ListParagraph"/>
        <w:numPr>
          <w:ilvl w:val="0"/>
          <w:numId w:val="2"/>
        </w:numPr>
        <w:spacing w:after="60" w:before="60"/>
      </w:pPr>
      <w:r>
        <w:rPr>
          <w:rFonts w:ascii="Arial" w:cs="Arial" w:eastAsia="Arial" w:hAnsi="Arial"/>
          <w:color w:val="1C1C1C"/>
          <w:sz w:val="22"/>
          <w:szCs w:val="22"/>
        </w:rPr>
        <w:t xml:space="preserve">Each domain worker receives a DomainContext: AST index, call graph, config files, dependency tree.</w:t>
      </w:r>
    </w:p>
    <w:p>
      <w:pPr>
        <w:pStyle w:val="ListParagraph"/>
        <w:numPr>
          <w:ilvl w:val="0"/>
          <w:numId w:val="2"/>
        </w:numPr>
        <w:spacing w:after="60" w:before="60"/>
      </w:pPr>
      <w:r>
        <w:rPr>
          <w:rFonts w:ascii="Arial" w:cs="Arial" w:eastAsia="Arial" w:hAnsi="Arial"/>
          <w:color w:val="1C1C1C"/>
          <w:sz w:val="22"/>
          <w:szCs w:val="22"/>
        </w:rPr>
        <w:t xml:space="preserve">Timeout per domain worker: 120 seconds (configurable).</w:t>
      </w:r>
    </w:p>
    <w:p>
      <w:pPr>
        <w:pStyle w:val="ListParagraph"/>
        <w:numPr>
          <w:ilvl w:val="0"/>
          <w:numId w:val="2"/>
        </w:numPr>
        <w:spacing w:after="60" w:before="60"/>
      </w:pPr>
      <w:r>
        <w:rPr>
          <w:rFonts w:ascii="Arial" w:cs="Arial" w:eastAsia="Arial" w:hAnsi="Arial"/>
          <w:color w:val="1C1C1C"/>
          <w:sz w:val="22"/>
          <w:szCs w:val="22"/>
        </w:rPr>
        <w:t xml:space="preserve">Worker failures are isolated — one domain failing does not abort others.</w:t>
      </w:r>
    </w:p>
    <w:p>
      <w:pPr>
        <w:pStyle w:val="Heading3"/>
        <w:spacing w:after="120" w:before="240"/>
      </w:pPr>
      <w:r>
        <w:rPr>
          <w:rFonts w:ascii="Arial" w:cs="Arial" w:eastAsia="Arial" w:hAnsi="Arial"/>
          <w:b/>
          <w:bCs/>
          <w:color w:val="2E6DA4"/>
          <w:sz w:val="24"/>
          <w:szCs w:val="24"/>
        </w:rPr>
        <w:t xml:space="preserve">Stage 4 — Rule Evaluators</w:t>
      </w:r>
    </w:p>
    <w:p>
      <w:pPr>
        <w:spacing w:after="80" w:before="80"/>
      </w:pPr>
      <w:r>
        <w:rPr>
          <w:rFonts w:ascii="Arial" w:cs="Arial" w:eastAsia="Arial" w:hAnsi="Arial"/>
          <w:color w:val="1C1C1C"/>
          <w:sz w:val="22"/>
          <w:szCs w:val="22"/>
        </w:rPr>
        <w:t xml:space="preserve">Each active rule in the catalog is evaluated against the DomainContext. Rule evaluation functions are pure: same input always produces same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1B2A3B" w:val="clear"/>
            <w:tcMar>
              <w:top w:type="dxa" w:w="160"/>
              <w:left w:type="dxa" w:w="200"/>
              <w:bottom w:type="dxa" w:w="160"/>
              <w:right w:type="dxa" w:w="200"/>
            </w:tcMar>
          </w:tcPr>
          <w:p>
            <w:pPr>
              <w:spacing w:after="20" w:before="20"/>
            </w:pPr>
            <w:r>
              <w:rPr>
                <w:rFonts w:ascii="Courier New" w:cs="Courier New" w:eastAsia="Courier New" w:hAnsi="Courier New"/>
                <w:color w:val="C5D8F5"/>
                <w:sz w:val="18"/>
                <w:szCs w:val="18"/>
              </w:rPr>
              <w:t xml:space="preserve">interface RuleEvaluator {</w:t>
            </w:r>
          </w:p>
          <w:p>
            <w:pPr>
              <w:spacing w:after="20" w:before="20"/>
            </w:pPr>
            <w:r>
              <w:rPr>
                <w:rFonts w:ascii="Courier New" w:cs="Courier New" w:eastAsia="Courier New" w:hAnsi="Courier New"/>
                <w:color w:val="C5D8F5"/>
                <w:sz w:val="18"/>
                <w:szCs w:val="18"/>
              </w:rPr>
              <w:t xml:space="preserve">    String ruleId();            // e.g., "SEC-001"</w:t>
            </w:r>
          </w:p>
          <w:p>
            <w:pPr>
              <w:spacing w:after="20" w:before="20"/>
            </w:pPr>
            <w:r>
              <w:rPr>
                <w:rFonts w:ascii="Courier New" w:cs="Courier New" w:eastAsia="Courier New" w:hAnsi="Courier New"/>
                <w:color w:val="C5D8F5"/>
                <w:sz w:val="18"/>
                <w:szCs w:val="18"/>
              </w:rPr>
              <w:t xml:space="preserve">    Severity defaultSeverity(); // CRITICAL | HIGH | MEDIUM | LOW | INFO</w:t>
            </w:r>
          </w:p>
          <w:p>
            <w:pPr>
              <w:spacing w:after="20" w:before="20"/>
            </w:pPr>
            <w:r>
              <w:rPr>
                <w:rFonts w:ascii="Courier New" w:cs="Courier New" w:eastAsia="Courier New" w:hAnsi="Courier New"/>
                <w:color w:val="C5D8F5"/>
                <w:sz w:val="18"/>
                <w:szCs w:val="18"/>
              </w:rPr>
              <w:t xml:space="preserve">    Flux&lt;Finding&gt; evaluate(DomainContext ctx);</w:t>
            </w:r>
          </w:p>
          <w:p>
            <w:pPr>
              <w:spacing w:after="20" w:before="20"/>
            </w:pPr>
            <w:r>
              <w:rPr>
                <w:rFonts w:ascii="Courier New" w:cs="Courier New" w:eastAsia="Courier New" w:hAnsi="Courier New"/>
                <w:color w:val="C5D8F5"/>
                <w:sz w:val="18"/>
                <w:szCs w:val="18"/>
              </w:rPr>
              <w:t xml:space="preserve">}</w:t>
            </w:r>
          </w:p>
        </w:tc>
      </w:tr>
    </w:tbl>
    <w:p>
      <w:pPr>
        <w:spacing w:after="0" w:before="120"/>
      </w:pPr>
    </w:p>
    <w:p>
      <w:pPr>
        <w:spacing w:after="80" w:before="80"/>
      </w:pPr>
      <w:r>
        <w:rPr>
          <w:rFonts w:ascii="Arial" w:cs="Arial" w:eastAsia="Arial" w:hAnsi="Arial"/>
          <w:color w:val="1C1C1C"/>
          <w:sz w:val="22"/>
          <w:szCs w:val="22"/>
        </w:rPr>
        <w:t xml:space="preserve">Finding schema (serialised to JSON for downstream consumers):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1B2A3B" w:val="clear"/>
            <w:tcMar>
              <w:top w:type="dxa" w:w="160"/>
              <w:left w:type="dxa" w:w="200"/>
              <w:bottom w:type="dxa" w:w="160"/>
              <w:right w:type="dxa" w:w="200"/>
            </w:tcMar>
          </w:tcPr>
          <w:p>
            <w:pPr>
              <w:spacing w:after="20" w:before="20"/>
            </w:pPr>
            <w:r>
              <w:rPr>
                <w:rFonts w:ascii="Courier New" w:cs="Courier New" w:eastAsia="Courier New" w:hAnsi="Courier New"/>
                <w:color w:val="C5D8F5"/>
                <w:sz w:val="18"/>
                <w:szCs w:val="18"/>
              </w:rPr>
              <w:t xml:space="preserve">{</w:t>
            </w:r>
          </w:p>
          <w:p>
            <w:pPr>
              <w:spacing w:after="20" w:before="20"/>
            </w:pPr>
            <w:r>
              <w:rPr>
                <w:rFonts w:ascii="Courier New" w:cs="Courier New" w:eastAsia="Courier New" w:hAnsi="Courier New"/>
                <w:color w:val="C5D8F5"/>
                <w:sz w:val="18"/>
                <w:szCs w:val="18"/>
              </w:rPr>
              <w:t xml:space="preserve">  "ruleId"      : "SEC-001",</w:t>
            </w:r>
          </w:p>
          <w:p>
            <w:pPr>
              <w:spacing w:after="20" w:before="20"/>
            </w:pPr>
            <w:r>
              <w:rPr>
                <w:rFonts w:ascii="Courier New" w:cs="Courier New" w:eastAsia="Courier New" w:hAnsi="Courier New"/>
                <w:color w:val="C5D8F5"/>
                <w:sz w:val="18"/>
                <w:szCs w:val="18"/>
              </w:rPr>
              <w:t xml:space="preserve">  "severity"    : "CRITICAL",</w:t>
            </w:r>
          </w:p>
          <w:p>
            <w:pPr>
              <w:spacing w:after="20" w:before="20"/>
            </w:pPr>
            <w:r>
              <w:rPr>
                <w:rFonts w:ascii="Courier New" w:cs="Courier New" w:eastAsia="Courier New" w:hAnsi="Courier New"/>
                <w:color w:val="C5D8F5"/>
                <w:sz w:val="18"/>
                <w:szCs w:val="18"/>
              </w:rPr>
              <w:t xml:space="preserve">  "title"       : "Hardcoded credential detected",</w:t>
            </w:r>
          </w:p>
          <w:p>
            <w:pPr>
              <w:spacing w:after="20" w:before="20"/>
            </w:pPr>
            <w:r>
              <w:rPr>
                <w:rFonts w:ascii="Courier New" w:cs="Courier New" w:eastAsia="Courier New" w:hAnsi="Courier New"/>
                <w:color w:val="C5D8F5"/>
                <w:sz w:val="18"/>
                <w:szCs w:val="18"/>
              </w:rPr>
              <w:t xml:space="preserve">  "file"        : "src/main/java/com/acme/Config.java",</w:t>
            </w:r>
          </w:p>
          <w:p>
            <w:pPr>
              <w:spacing w:after="20" w:before="20"/>
            </w:pPr>
            <w:r>
              <w:rPr>
                <w:rFonts w:ascii="Courier New" w:cs="Courier New" w:eastAsia="Courier New" w:hAnsi="Courier New"/>
                <w:color w:val="C5D8F5"/>
                <w:sz w:val="18"/>
                <w:szCs w:val="18"/>
              </w:rPr>
              <w:t xml:space="preserve">  "line"        : 42,</w:t>
            </w:r>
          </w:p>
          <w:p>
            <w:pPr>
              <w:spacing w:after="20" w:before="20"/>
            </w:pPr>
            <w:r>
              <w:rPr>
                <w:rFonts w:ascii="Courier New" w:cs="Courier New" w:eastAsia="Courier New" w:hAnsi="Courier New"/>
                <w:color w:val="C5D8F5"/>
                <w:sz w:val="18"/>
                <w:szCs w:val="18"/>
              </w:rPr>
              <w:t xml:space="preserve">  "column"      : 18,</w:t>
            </w:r>
          </w:p>
          <w:p>
            <w:pPr>
              <w:spacing w:after="20" w:before="20"/>
            </w:pPr>
            <w:r>
              <w:rPr>
                <w:rFonts w:ascii="Courier New" w:cs="Courier New" w:eastAsia="Courier New" w:hAnsi="Courier New"/>
                <w:color w:val="C5D8F5"/>
                <w:sz w:val="18"/>
                <w:szCs w:val="18"/>
              </w:rPr>
              <w:t xml:space="preserve">  "snippet"     : "String apiKey = \"sk-prod-...\"",</w:t>
            </w:r>
          </w:p>
          <w:p>
            <w:pPr>
              <w:spacing w:after="20" w:before="20"/>
            </w:pPr>
            <w:r>
              <w:rPr>
                <w:rFonts w:ascii="Courier New" w:cs="Courier New" w:eastAsia="Courier New" w:hAnsi="Courier New"/>
                <w:color w:val="C5D8F5"/>
                <w:sz w:val="18"/>
                <w:szCs w:val="18"/>
              </w:rPr>
              <w:t xml:space="preserve">  "message"     : "A credential literal was detected …",</w:t>
            </w:r>
          </w:p>
          <w:p>
            <w:pPr>
              <w:spacing w:after="20" w:before="20"/>
            </w:pPr>
            <w:r>
              <w:rPr>
                <w:rFonts w:ascii="Courier New" w:cs="Courier New" w:eastAsia="Courier New" w:hAnsi="Courier New"/>
                <w:color w:val="C5D8F5"/>
                <w:sz w:val="18"/>
                <w:szCs w:val="18"/>
              </w:rPr>
              <w:t xml:space="preserve">  "remediation" : "Inject via environment variable or Vault secret.",</w:t>
            </w:r>
          </w:p>
          <w:p>
            <w:pPr>
              <w:spacing w:after="20" w:before="20"/>
            </w:pPr>
            <w:r>
              <w:rPr>
                <w:rFonts w:ascii="Courier New" w:cs="Courier New" w:eastAsia="Courier New" w:hAnsi="Courier New"/>
                <w:color w:val="C5D8F5"/>
                <w:sz w:val="18"/>
                <w:szCs w:val="18"/>
              </w:rPr>
              <w:t xml:space="preserve">  "references"  : ["CWE-798", "OWASP-A07:2021"],</w:t>
            </w:r>
          </w:p>
          <w:p>
            <w:pPr>
              <w:spacing w:after="20" w:before="20"/>
            </w:pPr>
            <w:r>
              <w:rPr>
                <w:rFonts w:ascii="Courier New" w:cs="Courier New" w:eastAsia="Courier New" w:hAnsi="Courier New"/>
                <w:color w:val="C5D8F5"/>
                <w:sz w:val="18"/>
                <w:szCs w:val="18"/>
              </w:rPr>
              <w:t xml:space="preserve">  "confidence"  : 0.97,</w:t>
            </w:r>
          </w:p>
          <w:p>
            <w:pPr>
              <w:spacing w:after="20" w:before="20"/>
            </w:pPr>
            <w:r>
              <w:rPr>
                <w:rFonts w:ascii="Courier New" w:cs="Courier New" w:eastAsia="Courier New" w:hAnsi="Courier New"/>
                <w:color w:val="C5D8F5"/>
                <w:sz w:val="18"/>
                <w:szCs w:val="18"/>
              </w:rPr>
              <w:t xml:space="preserve">  "ruleVersion" : "1.3"</w:t>
            </w:r>
          </w:p>
          <w:p>
            <w:pPr>
              <w:spacing w:after="20" w:before="20"/>
            </w:pPr>
            <w:r>
              <w:rPr>
                <w:rFonts w:ascii="Courier New" w:cs="Courier New" w:eastAsia="Courier New" w:hAnsi="Courier New"/>
                <w:color w:val="C5D8F5"/>
                <w:sz w:val="18"/>
                <w:szCs w:val="18"/>
              </w:rPr>
              <w:t xml:space="preserve">}</w:t>
            </w:r>
          </w:p>
        </w:tc>
      </w:tr>
    </w:tbl>
    <w:p>
      <w:pPr>
        <w:pStyle w:val="Heading3"/>
        <w:spacing w:after="120" w:before="240"/>
      </w:pPr>
      <w:r>
        <w:rPr>
          <w:rFonts w:ascii="Arial" w:cs="Arial" w:eastAsia="Arial" w:hAnsi="Arial"/>
          <w:b/>
          <w:bCs/>
          <w:color w:val="2E6DA4"/>
          <w:sz w:val="24"/>
          <w:szCs w:val="24"/>
        </w:rPr>
        <w:t xml:space="preserve">Stage 5 — Rank &amp; Deduplicate</w:t>
      </w:r>
    </w:p>
    <w:p>
      <w:pPr>
        <w:spacing w:after="80" w:before="80"/>
      </w:pPr>
      <w:r>
        <w:rPr>
          <w:rFonts w:ascii="Arial" w:cs="Arial" w:eastAsia="Arial" w:hAnsi="Arial"/>
          <w:color w:val="1C1C1C"/>
          <w:sz w:val="22"/>
          <w:szCs w:val="22"/>
        </w:rPr>
        <w:t xml:space="preserve">Merges findings from all domain workers. Deduplication key: (ruleId + file + line range). Ranks by: severity DESC, confidence DESC, file churn frequency DESC.</w:t>
      </w:r>
    </w:p>
    <w:p>
      <w:pPr>
        <w:pStyle w:val="ListParagraph"/>
        <w:numPr>
          <w:ilvl w:val="0"/>
          <w:numId w:val="2"/>
        </w:numPr>
        <w:spacing w:after="60" w:before="60"/>
      </w:pPr>
      <w:r>
        <w:rPr>
          <w:rFonts w:ascii="Arial" w:cs="Arial" w:eastAsia="Arial" w:hAnsi="Arial"/>
          <w:color w:val="1C1C1C"/>
          <w:sz w:val="22"/>
          <w:szCs w:val="22"/>
        </w:rPr>
        <w:t xml:space="preserve">Cross-references against SonarQube baseline if configured (suppresses known issues).</w:t>
      </w:r>
    </w:p>
    <w:p>
      <w:pPr>
        <w:pStyle w:val="ListParagraph"/>
        <w:numPr>
          <w:ilvl w:val="0"/>
          <w:numId w:val="2"/>
        </w:numPr>
        <w:spacing w:after="60" w:before="60"/>
      </w:pPr>
      <w:r>
        <w:rPr>
          <w:rFonts w:ascii="Arial" w:cs="Arial" w:eastAsia="Arial" w:hAnsi="Arial"/>
          <w:color w:val="1C1C1C"/>
          <w:sz w:val="22"/>
          <w:szCs w:val="22"/>
        </w:rPr>
        <w:t xml:space="preserve">Applies team-level suppression rules from .jmcra/suppressions.yml.</w:t>
      </w:r>
    </w:p>
    <w:p>
      <w:pPr>
        <w:pStyle w:val="ListParagraph"/>
        <w:numPr>
          <w:ilvl w:val="0"/>
          <w:numId w:val="2"/>
        </w:numPr>
        <w:spacing w:after="60" w:before="60"/>
      </w:pPr>
      <w:r>
        <w:rPr>
          <w:rFonts w:ascii="Arial" w:cs="Arial" w:eastAsia="Arial" w:hAnsi="Arial"/>
          <w:color w:val="1C1C1C"/>
          <w:sz w:val="22"/>
          <w:szCs w:val="22"/>
        </w:rPr>
        <w:t xml:space="preserve">Computes overall Health Score: 100 − weighted penalty per finding.</w:t>
      </w:r>
    </w:p>
    <w:p>
      <w:pPr>
        <w:pStyle w:val="Heading3"/>
        <w:spacing w:after="120" w:before="240"/>
      </w:pPr>
      <w:r>
        <w:rPr>
          <w:rFonts w:ascii="Arial" w:cs="Arial" w:eastAsia="Arial" w:hAnsi="Arial"/>
          <w:b/>
          <w:bCs/>
          <w:color w:val="2E6DA4"/>
          <w:sz w:val="24"/>
          <w:szCs w:val="24"/>
        </w:rPr>
        <w:t xml:space="preserve">Stage 6 — Deliver</w:t>
      </w:r>
    </w:p>
    <w:p>
      <w:pPr>
        <w:spacing w:after="80" w:before="80"/>
      </w:pPr>
      <w:r>
        <w:rPr>
          <w:rFonts w:ascii="Arial" w:cs="Arial" w:eastAsia="Arial" w:hAnsi="Arial"/>
          <w:color w:val="1C1C1C"/>
          <w:sz w:val="22"/>
          <w:szCs w:val="22"/>
        </w:rPr>
        <w:t xml:space="preserve">Routes output to configured delivery targets. All targets receive the same FindingsReport payload.</w:t>
      </w:r>
    </w:p>
    <w:p>
      <w:pPr>
        <w:pStyle w:val="ListParagraph"/>
        <w:numPr>
          <w:ilvl w:val="0"/>
          <w:numId w:val="2"/>
        </w:numPr>
        <w:spacing w:after="60" w:before="60"/>
      </w:pPr>
      <w:r>
        <w:rPr>
          <w:rFonts w:ascii="Arial" w:cs="Arial" w:eastAsia="Arial" w:hAnsi="Arial"/>
          <w:color w:val="1C1C1C"/>
          <w:sz w:val="22"/>
          <w:szCs w:val="22"/>
        </w:rPr>
        <w:t xml:space="preserve">GitHub/GitLab: inline PR comments on diff lines + summary check run.</w:t>
      </w:r>
    </w:p>
    <w:p>
      <w:pPr>
        <w:pStyle w:val="ListParagraph"/>
        <w:numPr>
          <w:ilvl w:val="0"/>
          <w:numId w:val="2"/>
        </w:numPr>
        <w:spacing w:after="60" w:before="60"/>
      </w:pPr>
      <w:r>
        <w:rPr>
          <w:rFonts w:ascii="Arial" w:cs="Arial" w:eastAsia="Arial" w:hAnsi="Arial"/>
          <w:color w:val="1C1C1C"/>
          <w:sz w:val="22"/>
          <w:szCs w:val="22"/>
        </w:rPr>
        <w:t xml:space="preserve">JIRA: creates sub-tasks for P0/P1 findings, links to PR.</w:t>
      </w:r>
    </w:p>
    <w:p>
      <w:pPr>
        <w:pStyle w:val="ListParagraph"/>
        <w:numPr>
          <w:ilvl w:val="0"/>
          <w:numId w:val="2"/>
        </w:numPr>
        <w:spacing w:after="60" w:before="60"/>
      </w:pPr>
      <w:r>
        <w:rPr>
          <w:rFonts w:ascii="Arial" w:cs="Arial" w:eastAsia="Arial" w:hAnsi="Arial"/>
          <w:color w:val="1C1C1C"/>
          <w:sz w:val="22"/>
          <w:szCs w:val="22"/>
        </w:rPr>
        <w:t xml:space="preserve">Slack: summary card with top 5 findings and health score delta.</w:t>
      </w:r>
    </w:p>
    <w:p>
      <w:pPr>
        <w:pStyle w:val="ListParagraph"/>
        <w:numPr>
          <w:ilvl w:val="0"/>
          <w:numId w:val="2"/>
        </w:numPr>
        <w:spacing w:after="60" w:before="60"/>
      </w:pPr>
      <w:r>
        <w:rPr>
          <w:rFonts w:ascii="Arial" w:cs="Arial" w:eastAsia="Arial" w:hAnsi="Arial"/>
          <w:color w:val="1C1C1C"/>
          <w:sz w:val="22"/>
          <w:szCs w:val="22"/>
        </w:rPr>
        <w:t xml:space="preserve">CI exit code: non-zero if critical-gate policy is violated.</w:t>
      </w:r>
    </w:p>
    <w:p>
      <w:r>
        <w:br w:type="page"/>
      </w:r>
    </w:p>
    <w:p>
      <w:pPr>
        <w:pStyle w:val="Heading1"/>
        <w:shd w:fill="1E3A5F" w:val="clear"/>
        <w:spacing w:after="240" w:before="480"/>
      </w:pPr>
      <w:r>
        <w:rPr>
          <w:rFonts w:ascii="Arial" w:cs="Arial" w:eastAsia="Arial" w:hAnsi="Arial"/>
          <w:b/>
          <w:bCs/>
          <w:color w:val="FFFFFF"/>
          <w:sz w:val="36"/>
          <w:szCs w:val="36"/>
        </w:rPr>
        <w:t xml:space="preserve">5.  Rule Catalog — Selected Rules</w:t>
      </w:r>
    </w:p>
    <w:p>
      <w:pPr>
        <w:spacing w:after="80" w:before="80"/>
      </w:pPr>
      <w:r>
        <w:rPr>
          <w:rFonts w:ascii="Arial" w:cs="Arial" w:eastAsia="Arial" w:hAnsi="Arial"/>
          <w:color w:val="1C1C1C"/>
          <w:sz w:val="22"/>
          <w:szCs w:val="22"/>
        </w:rPr>
        <w:t xml:space="preserve">The following table shows representative rules across domains. The full Rule Catalog is maintained in the companion file  rules/catalog.json  and versioned with the agent source. Each rule MUST have a corresponding acceptance test in  tests/rules/.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3200"/>
        <w:gridCol w:w="2360"/>
        <w:gridCol w:w="1200"/>
      </w:tblGrid>
      <w:tr>
        <w:tc>
          <w:tcPr>
            <w:tcW w:type="dxa" w:w="900"/>
            <w:tcBorders>
              <w:top w:val="single" w:color="1E3A5F" w:sz="4"/>
              <w:left w:val="single" w:color="1E3A5F" w:sz="4"/>
              <w:bottom w:val="single" w:color="1E3A5F" w:sz="4"/>
              <w:right w:val="single" w:color="1E3A5F" w:sz="4"/>
            </w:tcBorders>
            <w:shd w:fill="1E3A5F" w:val="clear"/>
            <w:tcMar>
              <w:top w:type="dxa" w:w="90"/>
              <w:left w:type="dxa" w:w="100"/>
              <w:bottom w:type="dxa" w:w="90"/>
              <w:right w:type="dxa" w:w="100"/>
            </w:tcMar>
          </w:tcPr>
          <w:p>
            <w:r>
              <w:rPr>
                <w:rFonts w:ascii="Arial" w:cs="Arial" w:eastAsia="Arial" w:hAnsi="Arial"/>
                <w:b/>
                <w:bCs/>
                <w:color w:val="FFFFFF"/>
                <w:sz w:val="18"/>
                <w:szCs w:val="18"/>
              </w:rPr>
              <w:t xml:space="preserve">Rule ID</w:t>
            </w:r>
          </w:p>
        </w:tc>
        <w:tc>
          <w:tcPr>
            <w:tcW w:type="dxa" w:w="700"/>
            <w:tcBorders>
              <w:top w:val="single" w:color="1E3A5F" w:sz="4"/>
              <w:left w:val="single" w:color="1E3A5F" w:sz="4"/>
              <w:bottom w:val="single" w:color="1E3A5F" w:sz="4"/>
              <w:right w:val="single" w:color="1E3A5F" w:sz="4"/>
            </w:tcBorders>
            <w:shd w:fill="1E3A5F" w:val="clear"/>
            <w:tcMar>
              <w:top w:type="dxa" w:w="90"/>
              <w:left w:type="dxa" w:w="100"/>
              <w:bottom w:type="dxa" w:w="90"/>
              <w:right w:type="dxa" w:w="100"/>
            </w:tcMar>
          </w:tcPr>
          <w:p>
            <w:pPr>
              <w:jc w:val="center"/>
            </w:pPr>
            <w:r>
              <w:rPr>
                <w:rFonts w:ascii="Arial" w:cs="Arial" w:eastAsia="Arial" w:hAnsi="Arial"/>
                <w:b/>
                <w:bCs/>
                <w:color w:val="FFFFFF"/>
                <w:sz w:val="18"/>
                <w:szCs w:val="18"/>
              </w:rPr>
              <w:t xml:space="preserve">Sev.</w:t>
            </w:r>
          </w:p>
        </w:tc>
        <w:tc>
          <w:tcPr>
            <w:tcW w:type="dxa" w:w="3200"/>
            <w:tcBorders>
              <w:top w:val="single" w:color="1E3A5F" w:sz="4"/>
              <w:left w:val="single" w:color="1E3A5F" w:sz="4"/>
              <w:bottom w:val="single" w:color="1E3A5F" w:sz="4"/>
              <w:right w:val="single" w:color="1E3A5F" w:sz="4"/>
            </w:tcBorders>
            <w:shd w:fill="1E3A5F" w:val="clear"/>
            <w:tcMar>
              <w:top w:type="dxa" w:w="90"/>
              <w:left w:type="dxa" w:w="140"/>
              <w:bottom w:type="dxa" w:w="90"/>
              <w:right w:type="dxa" w:w="140"/>
            </w:tcMar>
          </w:tcPr>
          <w:p>
            <w:r>
              <w:rPr>
                <w:rFonts w:ascii="Arial" w:cs="Arial" w:eastAsia="Arial" w:hAnsi="Arial"/>
                <w:b/>
                <w:bCs/>
                <w:color w:val="FFFFFF"/>
                <w:sz w:val="18"/>
                <w:szCs w:val="18"/>
              </w:rPr>
              <w:t xml:space="preserve">Rule Description</w:t>
            </w:r>
          </w:p>
        </w:tc>
        <w:tc>
          <w:tcPr>
            <w:tcW w:type="dxa" w:w="2360"/>
            <w:tcBorders>
              <w:top w:val="single" w:color="1E3A5F" w:sz="4"/>
              <w:left w:val="single" w:color="1E3A5F" w:sz="4"/>
              <w:bottom w:val="single" w:color="1E3A5F" w:sz="4"/>
              <w:right w:val="single" w:color="1E3A5F" w:sz="4"/>
            </w:tcBorders>
            <w:shd w:fill="1E3A5F" w:val="clear"/>
            <w:tcMar>
              <w:top w:type="dxa" w:w="90"/>
              <w:left w:type="dxa" w:w="140"/>
              <w:bottom w:type="dxa" w:w="90"/>
              <w:right w:type="dxa" w:w="140"/>
            </w:tcMar>
          </w:tcPr>
          <w:p>
            <w:r>
              <w:rPr>
                <w:rFonts w:ascii="Arial" w:cs="Arial" w:eastAsia="Arial" w:hAnsi="Arial"/>
                <w:b/>
                <w:bCs/>
                <w:color w:val="FFFFFF"/>
                <w:sz w:val="18"/>
                <w:szCs w:val="18"/>
              </w:rPr>
              <w:t xml:space="preserve">Detection Signal</w:t>
            </w:r>
          </w:p>
        </w:tc>
        <w:tc>
          <w:tcPr>
            <w:tcW w:type="dxa" w:w="1200"/>
            <w:tcBorders>
              <w:top w:val="single" w:color="1E3A5F" w:sz="4"/>
              <w:left w:val="single" w:color="1E3A5F" w:sz="4"/>
              <w:bottom w:val="single" w:color="1E3A5F" w:sz="4"/>
              <w:right w:val="single" w:color="1E3A5F" w:sz="4"/>
            </w:tcBorders>
            <w:shd w:fill="1E3A5F" w:val="clear"/>
            <w:tcMar>
              <w:top w:type="dxa" w:w="90"/>
              <w:left w:type="dxa" w:w="100"/>
              <w:bottom w:type="dxa" w:w="90"/>
              <w:right w:type="dxa" w:w="100"/>
            </w:tcMar>
          </w:tcPr>
          <w:p>
            <w:r>
              <w:rPr>
                <w:rFonts w:ascii="Arial" w:cs="Arial" w:eastAsia="Arial" w:hAnsi="Arial"/>
                <w:b/>
                <w:bCs/>
                <w:color w:val="FFFFFF"/>
                <w:sz w:val="18"/>
                <w:szCs w:val="18"/>
              </w:rPr>
              <w:t xml:space="preserve">References</w:t>
            </w:r>
          </w:p>
        </w:tc>
      </w:tr>
      <w:tr>
        <w:tc>
          <w:tcPr>
            <w:tcW w:type="dxa" w:w="9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Courier New" w:cs="Courier New" w:eastAsia="Courier New" w:hAnsi="Courier New"/>
                <w:color w:val="1E3A5F"/>
                <w:sz w:val="17"/>
                <w:szCs w:val="17"/>
              </w:rPr>
              <w:t xml:space="preserve">SEC-001</w:t>
            </w:r>
          </w:p>
        </w:tc>
        <w:tc>
          <w:tcPr>
            <w:tcW w:type="dxa" w:w="700"/>
            <w:tcBorders>
              <w:top w:val="single" w:color="DDE1E7" w:sz="4"/>
              <w:left w:val="single" w:color="DDE1E7" w:sz="4"/>
              <w:bottom w:val="single" w:color="DDE1E7" w:sz="4"/>
              <w:right w:val="single" w:color="DDE1E7" w:sz="4"/>
            </w:tcBorders>
            <w:shd w:fill="FADBD8" w:val="clear"/>
            <w:tcMar>
              <w:top w:type="dxa" w:w="80"/>
              <w:left w:type="dxa" w:w="100"/>
              <w:bottom w:type="dxa" w:w="80"/>
              <w:right w:type="dxa" w:w="100"/>
            </w:tcMar>
          </w:tcPr>
          <w:p>
            <w:pPr>
              <w:jc w:val="center"/>
            </w:pPr>
            <w:r>
              <w:rPr>
                <w:rFonts w:ascii="Arial" w:cs="Arial" w:eastAsia="Arial" w:hAnsi="Arial"/>
                <w:b/>
                <w:bCs/>
                <w:color w:val="C0392B"/>
                <w:sz w:val="17"/>
                <w:szCs w:val="17"/>
              </w:rPr>
              <w:t xml:space="preserve">CRIT</w:t>
            </w:r>
          </w:p>
        </w:tc>
        <w:tc>
          <w:tcPr>
            <w:tcW w:type="dxa" w:w="32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sz w:val="18"/>
                <w:szCs w:val="18"/>
              </w:rPr>
              <w:t xml:space="preserve">Hardcoded credential or API key literal in source</w:t>
            </w:r>
          </w:p>
        </w:tc>
        <w:tc>
          <w:tcPr>
            <w:tcW w:type="dxa" w:w="23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i/>
                <w:iCs/>
                <w:color w:val="8A96A3"/>
                <w:sz w:val="17"/>
                <w:szCs w:val="17"/>
              </w:rPr>
              <w:t xml:space="preserve">String literal regex + entropy score</w:t>
            </w:r>
          </w:p>
        </w:tc>
        <w:tc>
          <w:tcPr>
            <w:tcW w:type="dxa" w:w="12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Arial" w:cs="Arial" w:eastAsia="Arial" w:hAnsi="Arial"/>
                <w:color w:val="8A96A3"/>
                <w:sz w:val="16"/>
                <w:szCs w:val="16"/>
              </w:rPr>
              <w:t xml:space="preserve">CWE-798</w:t>
            </w:r>
          </w:p>
        </w:tc>
      </w:tr>
      <w:tr>
        <w:tc>
          <w:tcPr>
            <w:tcW w:type="dxa" w:w="9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Courier New" w:cs="Courier New" w:eastAsia="Courier New" w:hAnsi="Courier New"/>
                <w:color w:val="1E3A5F"/>
                <w:sz w:val="17"/>
                <w:szCs w:val="17"/>
              </w:rPr>
              <w:t xml:space="preserve">SEC-002</w:t>
            </w:r>
          </w:p>
        </w:tc>
        <w:tc>
          <w:tcPr>
            <w:tcW w:type="dxa" w:w="700"/>
            <w:tcBorders>
              <w:top w:val="single" w:color="DDE1E7" w:sz="4"/>
              <w:left w:val="single" w:color="DDE1E7" w:sz="4"/>
              <w:bottom w:val="single" w:color="DDE1E7" w:sz="4"/>
              <w:right w:val="single" w:color="DDE1E7" w:sz="4"/>
            </w:tcBorders>
            <w:shd w:fill="FEF9E7" w:val="clear"/>
            <w:tcMar>
              <w:top w:type="dxa" w:w="80"/>
              <w:left w:type="dxa" w:w="100"/>
              <w:bottom w:type="dxa" w:w="80"/>
              <w:right w:type="dxa" w:w="100"/>
            </w:tcMar>
          </w:tcPr>
          <w:p>
            <w:pPr>
              <w:jc w:val="center"/>
            </w:pPr>
            <w:r>
              <w:rPr>
                <w:rFonts w:ascii="Arial" w:cs="Arial" w:eastAsia="Arial" w:hAnsi="Arial"/>
                <w:b/>
                <w:bCs/>
                <w:color w:val="9B7D0A"/>
                <w:sz w:val="17"/>
                <w:szCs w:val="17"/>
              </w:rPr>
              <w:t xml:space="preserve">HIGH</w:t>
            </w:r>
          </w:p>
        </w:tc>
        <w:tc>
          <w:tcPr>
            <w:tcW w:type="dxa" w:w="32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sz w:val="18"/>
                <w:szCs w:val="18"/>
              </w:rPr>
              <w:t xml:space="preserve">SQL/JPQL injection via string concatenation</w:t>
            </w:r>
          </w:p>
        </w:tc>
        <w:tc>
          <w:tcPr>
            <w:tcW w:type="dxa" w:w="23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i/>
                <w:iCs/>
                <w:color w:val="8A96A3"/>
                <w:sz w:val="17"/>
                <w:szCs w:val="17"/>
              </w:rPr>
              <w:t xml:space="preserve">AST: BinaryExpr in query param</w:t>
            </w:r>
          </w:p>
        </w:tc>
        <w:tc>
          <w:tcPr>
            <w:tcW w:type="dxa" w:w="12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Arial" w:cs="Arial" w:eastAsia="Arial" w:hAnsi="Arial"/>
                <w:color w:val="8A96A3"/>
                <w:sz w:val="16"/>
                <w:szCs w:val="16"/>
              </w:rPr>
              <w:t xml:space="preserve">CWE-89</w:t>
            </w:r>
          </w:p>
        </w:tc>
      </w:tr>
      <w:tr>
        <w:tc>
          <w:tcPr>
            <w:tcW w:type="dxa" w:w="9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Courier New" w:cs="Courier New" w:eastAsia="Courier New" w:hAnsi="Courier New"/>
                <w:color w:val="1E3A5F"/>
                <w:sz w:val="17"/>
                <w:szCs w:val="17"/>
              </w:rPr>
              <w:t xml:space="preserve">SEC-003</w:t>
            </w:r>
          </w:p>
        </w:tc>
        <w:tc>
          <w:tcPr>
            <w:tcW w:type="dxa" w:w="700"/>
            <w:tcBorders>
              <w:top w:val="single" w:color="DDE1E7" w:sz="4"/>
              <w:left w:val="single" w:color="DDE1E7" w:sz="4"/>
              <w:bottom w:val="single" w:color="DDE1E7" w:sz="4"/>
              <w:right w:val="single" w:color="DDE1E7" w:sz="4"/>
            </w:tcBorders>
            <w:shd w:fill="FEF9E7" w:val="clear"/>
            <w:tcMar>
              <w:top w:type="dxa" w:w="80"/>
              <w:left w:type="dxa" w:w="100"/>
              <w:bottom w:type="dxa" w:w="80"/>
              <w:right w:type="dxa" w:w="100"/>
            </w:tcMar>
          </w:tcPr>
          <w:p>
            <w:pPr>
              <w:jc w:val="center"/>
            </w:pPr>
            <w:r>
              <w:rPr>
                <w:rFonts w:ascii="Arial" w:cs="Arial" w:eastAsia="Arial" w:hAnsi="Arial"/>
                <w:b/>
                <w:bCs/>
                <w:color w:val="9B7D0A"/>
                <w:sz w:val="17"/>
                <w:szCs w:val="17"/>
              </w:rPr>
              <w:t xml:space="preserve">HIGH</w:t>
            </w:r>
          </w:p>
        </w:tc>
        <w:tc>
          <w:tcPr>
            <w:tcW w:type="dxa" w:w="32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sz w:val="18"/>
                <w:szCs w:val="18"/>
              </w:rPr>
              <w:t xml:space="preserve">JWT secret below 256-bit or HS256 without expiry</w:t>
            </w:r>
          </w:p>
        </w:tc>
        <w:tc>
          <w:tcPr>
            <w:tcW w:type="dxa" w:w="23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i/>
                <w:iCs/>
                <w:color w:val="8A96A3"/>
                <w:sz w:val="17"/>
                <w:szCs w:val="17"/>
              </w:rPr>
              <w:t xml:space="preserve">AST: JwtBuilder annotation scan</w:t>
            </w:r>
          </w:p>
        </w:tc>
        <w:tc>
          <w:tcPr>
            <w:tcW w:type="dxa" w:w="12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Arial" w:cs="Arial" w:eastAsia="Arial" w:hAnsi="Arial"/>
                <w:color w:val="8A96A3"/>
                <w:sz w:val="16"/>
                <w:szCs w:val="16"/>
              </w:rPr>
              <w:t xml:space="preserve">CWE-347</w:t>
            </w:r>
          </w:p>
        </w:tc>
      </w:tr>
      <w:tr>
        <w:tc>
          <w:tcPr>
            <w:tcW w:type="dxa" w:w="9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Courier New" w:cs="Courier New" w:eastAsia="Courier New" w:hAnsi="Courier New"/>
                <w:color w:val="1E3A5F"/>
                <w:sz w:val="17"/>
                <w:szCs w:val="17"/>
              </w:rPr>
              <w:t xml:space="preserve">SEC-004</w:t>
            </w:r>
          </w:p>
        </w:tc>
        <w:tc>
          <w:tcPr>
            <w:tcW w:type="dxa" w:w="700"/>
            <w:tcBorders>
              <w:top w:val="single" w:color="DDE1E7" w:sz="4"/>
              <w:left w:val="single" w:color="DDE1E7" w:sz="4"/>
              <w:bottom w:val="single" w:color="DDE1E7" w:sz="4"/>
              <w:right w:val="single" w:color="DDE1E7" w:sz="4"/>
            </w:tcBorders>
            <w:shd w:fill="D5F5E3" w:val="clear"/>
            <w:tcMar>
              <w:top w:type="dxa" w:w="80"/>
              <w:left w:type="dxa" w:w="100"/>
              <w:bottom w:type="dxa" w:w="80"/>
              <w:right w:type="dxa" w:w="100"/>
            </w:tcMar>
          </w:tcPr>
          <w:p>
            <w:pPr>
              <w:jc w:val="center"/>
            </w:pPr>
            <w:r>
              <w:rPr>
                <w:rFonts w:ascii="Arial" w:cs="Arial" w:eastAsia="Arial" w:hAnsi="Arial"/>
                <w:b/>
                <w:bCs/>
                <w:color w:val="1A7A4A"/>
                <w:sz w:val="17"/>
                <w:szCs w:val="17"/>
              </w:rPr>
              <w:t xml:space="preserve">MED</w:t>
            </w:r>
          </w:p>
        </w:tc>
        <w:tc>
          <w:tcPr>
            <w:tcW w:type="dxa" w:w="32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sz w:val="18"/>
                <w:szCs w:val="18"/>
              </w:rPr>
              <w:t xml:space="preserve">Missing @PreAuthorize on @RestController methods</w:t>
            </w:r>
          </w:p>
        </w:tc>
        <w:tc>
          <w:tcPr>
            <w:tcW w:type="dxa" w:w="23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i/>
                <w:iCs/>
                <w:color w:val="8A96A3"/>
                <w:sz w:val="17"/>
                <w:szCs w:val="17"/>
              </w:rPr>
              <w:t xml:space="preserve">AST: annotation absence check</w:t>
            </w:r>
          </w:p>
        </w:tc>
        <w:tc>
          <w:tcPr>
            <w:tcW w:type="dxa" w:w="12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Arial" w:cs="Arial" w:eastAsia="Arial" w:hAnsi="Arial"/>
                <w:color w:val="8A96A3"/>
                <w:sz w:val="16"/>
                <w:szCs w:val="16"/>
              </w:rPr>
              <w:t xml:space="preserve">OWASP A01</w:t>
            </w:r>
          </w:p>
        </w:tc>
      </w:tr>
      <w:tr>
        <w:tc>
          <w:tcPr>
            <w:tcW w:type="dxa" w:w="9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Courier New" w:cs="Courier New" w:eastAsia="Courier New" w:hAnsi="Courier New"/>
                <w:color w:val="1E3A5F"/>
                <w:sz w:val="17"/>
                <w:szCs w:val="17"/>
              </w:rPr>
              <w:t xml:space="preserve">RES-001</w:t>
            </w:r>
          </w:p>
        </w:tc>
        <w:tc>
          <w:tcPr>
            <w:tcW w:type="dxa" w:w="700"/>
            <w:tcBorders>
              <w:top w:val="single" w:color="DDE1E7" w:sz="4"/>
              <w:left w:val="single" w:color="DDE1E7" w:sz="4"/>
              <w:bottom w:val="single" w:color="DDE1E7" w:sz="4"/>
              <w:right w:val="single" w:color="DDE1E7" w:sz="4"/>
            </w:tcBorders>
            <w:shd w:fill="FEF9E7" w:val="clear"/>
            <w:tcMar>
              <w:top w:type="dxa" w:w="80"/>
              <w:left w:type="dxa" w:w="100"/>
              <w:bottom w:type="dxa" w:w="80"/>
              <w:right w:type="dxa" w:w="100"/>
            </w:tcMar>
          </w:tcPr>
          <w:p>
            <w:pPr>
              <w:jc w:val="center"/>
            </w:pPr>
            <w:r>
              <w:rPr>
                <w:rFonts w:ascii="Arial" w:cs="Arial" w:eastAsia="Arial" w:hAnsi="Arial"/>
                <w:b/>
                <w:bCs/>
                <w:color w:val="9B7D0A"/>
                <w:sz w:val="17"/>
                <w:szCs w:val="17"/>
              </w:rPr>
              <w:t xml:space="preserve">HIGH</w:t>
            </w:r>
          </w:p>
        </w:tc>
        <w:tc>
          <w:tcPr>
            <w:tcW w:type="dxa" w:w="32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sz w:val="18"/>
                <w:szCs w:val="18"/>
              </w:rPr>
              <w:t xml:space="preserve">@FeignClient missing @CircuitBreaker or Resilience4j fallback</w:t>
            </w:r>
          </w:p>
        </w:tc>
        <w:tc>
          <w:tcPr>
            <w:tcW w:type="dxa" w:w="23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i/>
                <w:iCs/>
                <w:color w:val="8A96A3"/>
                <w:sz w:val="17"/>
                <w:szCs w:val="17"/>
              </w:rPr>
              <w:t xml:space="preserve">AST: annotation pairing</w:t>
            </w:r>
          </w:p>
        </w:tc>
        <w:tc>
          <w:tcPr>
            <w:tcW w:type="dxa" w:w="12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Arial" w:cs="Arial" w:eastAsia="Arial" w:hAnsi="Arial"/>
                <w:color w:val="8A96A3"/>
                <w:sz w:val="16"/>
                <w:szCs w:val="16"/>
              </w:rPr>
              <w:t xml:space="preserve">Netflix OSS BP</w:t>
            </w:r>
          </w:p>
        </w:tc>
      </w:tr>
      <w:tr>
        <w:tc>
          <w:tcPr>
            <w:tcW w:type="dxa" w:w="9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Courier New" w:cs="Courier New" w:eastAsia="Courier New" w:hAnsi="Courier New"/>
                <w:color w:val="1E3A5F"/>
                <w:sz w:val="17"/>
                <w:szCs w:val="17"/>
              </w:rPr>
              <w:t xml:space="preserve">RES-002</w:t>
            </w:r>
          </w:p>
        </w:tc>
        <w:tc>
          <w:tcPr>
            <w:tcW w:type="dxa" w:w="700"/>
            <w:tcBorders>
              <w:top w:val="single" w:color="DDE1E7" w:sz="4"/>
              <w:left w:val="single" w:color="DDE1E7" w:sz="4"/>
              <w:bottom w:val="single" w:color="DDE1E7" w:sz="4"/>
              <w:right w:val="single" w:color="DDE1E7" w:sz="4"/>
            </w:tcBorders>
            <w:shd w:fill="FEF9E7" w:val="clear"/>
            <w:tcMar>
              <w:top w:type="dxa" w:w="80"/>
              <w:left w:type="dxa" w:w="100"/>
              <w:bottom w:type="dxa" w:w="80"/>
              <w:right w:type="dxa" w:w="100"/>
            </w:tcMar>
          </w:tcPr>
          <w:p>
            <w:pPr>
              <w:jc w:val="center"/>
            </w:pPr>
            <w:r>
              <w:rPr>
                <w:rFonts w:ascii="Arial" w:cs="Arial" w:eastAsia="Arial" w:hAnsi="Arial"/>
                <w:b/>
                <w:bCs/>
                <w:color w:val="9B7D0A"/>
                <w:sz w:val="17"/>
                <w:szCs w:val="17"/>
              </w:rPr>
              <w:t xml:space="preserve">HIGH</w:t>
            </w:r>
          </w:p>
        </w:tc>
        <w:tc>
          <w:tcPr>
            <w:tcW w:type="dxa" w:w="32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sz w:val="18"/>
                <w:szCs w:val="18"/>
              </w:rPr>
              <w:t xml:space="preserve">HTTP client call without explicit timeout configuration</w:t>
            </w:r>
          </w:p>
        </w:tc>
        <w:tc>
          <w:tcPr>
            <w:tcW w:type="dxa" w:w="23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i/>
                <w:iCs/>
                <w:color w:val="8A96A3"/>
                <w:sz w:val="17"/>
                <w:szCs w:val="17"/>
              </w:rPr>
              <w:t xml:space="preserve">AST: RestTemplate / WebClient builder</w:t>
            </w:r>
          </w:p>
        </w:tc>
        <w:tc>
          <w:tcPr>
            <w:tcW w:type="dxa" w:w="12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Arial" w:cs="Arial" w:eastAsia="Arial" w:hAnsi="Arial"/>
                <w:color w:val="8A96A3"/>
                <w:sz w:val="16"/>
                <w:szCs w:val="16"/>
              </w:rPr>
              <w:t xml:space="preserve">Hystrix BP</w:t>
            </w:r>
          </w:p>
        </w:tc>
      </w:tr>
      <w:tr>
        <w:tc>
          <w:tcPr>
            <w:tcW w:type="dxa" w:w="9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Courier New" w:cs="Courier New" w:eastAsia="Courier New" w:hAnsi="Courier New"/>
                <w:color w:val="1E3A5F"/>
                <w:sz w:val="17"/>
                <w:szCs w:val="17"/>
              </w:rPr>
              <w:t xml:space="preserve">RES-003</w:t>
            </w:r>
          </w:p>
        </w:tc>
        <w:tc>
          <w:tcPr>
            <w:tcW w:type="dxa" w:w="700"/>
            <w:tcBorders>
              <w:top w:val="single" w:color="DDE1E7" w:sz="4"/>
              <w:left w:val="single" w:color="DDE1E7" w:sz="4"/>
              <w:bottom w:val="single" w:color="DDE1E7" w:sz="4"/>
              <w:right w:val="single" w:color="DDE1E7" w:sz="4"/>
            </w:tcBorders>
            <w:shd w:fill="D5F5E3" w:val="clear"/>
            <w:tcMar>
              <w:top w:type="dxa" w:w="80"/>
              <w:left w:type="dxa" w:w="100"/>
              <w:bottom w:type="dxa" w:w="80"/>
              <w:right w:type="dxa" w:w="100"/>
            </w:tcMar>
          </w:tcPr>
          <w:p>
            <w:pPr>
              <w:jc w:val="center"/>
            </w:pPr>
            <w:r>
              <w:rPr>
                <w:rFonts w:ascii="Arial" w:cs="Arial" w:eastAsia="Arial" w:hAnsi="Arial"/>
                <w:b/>
                <w:bCs/>
                <w:color w:val="1A7A4A"/>
                <w:sz w:val="17"/>
                <w:szCs w:val="17"/>
              </w:rPr>
              <w:t xml:space="preserve">MED</w:t>
            </w:r>
          </w:p>
        </w:tc>
        <w:tc>
          <w:tcPr>
            <w:tcW w:type="dxa" w:w="32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sz w:val="18"/>
                <w:szCs w:val="18"/>
              </w:rPr>
              <w:t xml:space="preserve">Missing retry policy on @KafkaListener</w:t>
            </w:r>
          </w:p>
        </w:tc>
        <w:tc>
          <w:tcPr>
            <w:tcW w:type="dxa" w:w="23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i/>
                <w:iCs/>
                <w:color w:val="8A96A3"/>
                <w:sz w:val="17"/>
                <w:szCs w:val="17"/>
              </w:rPr>
              <w:t xml:space="preserve">AST: annotation + RetryTemplate check</w:t>
            </w:r>
          </w:p>
        </w:tc>
        <w:tc>
          <w:tcPr>
            <w:tcW w:type="dxa" w:w="12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Arial" w:cs="Arial" w:eastAsia="Arial" w:hAnsi="Arial"/>
                <w:color w:val="8A96A3"/>
                <w:sz w:val="16"/>
                <w:szCs w:val="16"/>
              </w:rPr>
              <w:t xml:space="preserve">Spring Kafka Docs</w:t>
            </w:r>
          </w:p>
        </w:tc>
      </w:tr>
      <w:tr>
        <w:tc>
          <w:tcPr>
            <w:tcW w:type="dxa" w:w="9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Courier New" w:cs="Courier New" w:eastAsia="Courier New" w:hAnsi="Courier New"/>
                <w:color w:val="1E3A5F"/>
                <w:sz w:val="17"/>
                <w:szCs w:val="17"/>
              </w:rPr>
              <w:t xml:space="preserve">OBS-001</w:t>
            </w:r>
          </w:p>
        </w:tc>
        <w:tc>
          <w:tcPr>
            <w:tcW w:type="dxa" w:w="700"/>
            <w:tcBorders>
              <w:top w:val="single" w:color="DDE1E7" w:sz="4"/>
              <w:left w:val="single" w:color="DDE1E7" w:sz="4"/>
              <w:bottom w:val="single" w:color="DDE1E7" w:sz="4"/>
              <w:right w:val="single" w:color="DDE1E7" w:sz="4"/>
            </w:tcBorders>
            <w:shd w:fill="FEF9E7" w:val="clear"/>
            <w:tcMar>
              <w:top w:type="dxa" w:w="80"/>
              <w:left w:type="dxa" w:w="100"/>
              <w:bottom w:type="dxa" w:w="80"/>
              <w:right w:type="dxa" w:w="100"/>
            </w:tcMar>
          </w:tcPr>
          <w:p>
            <w:pPr>
              <w:jc w:val="center"/>
            </w:pPr>
            <w:r>
              <w:rPr>
                <w:rFonts w:ascii="Arial" w:cs="Arial" w:eastAsia="Arial" w:hAnsi="Arial"/>
                <w:b/>
                <w:bCs/>
                <w:color w:val="9B7D0A"/>
                <w:sz w:val="17"/>
                <w:szCs w:val="17"/>
              </w:rPr>
              <w:t xml:space="preserve">HIGH</w:t>
            </w:r>
          </w:p>
        </w:tc>
        <w:tc>
          <w:tcPr>
            <w:tcW w:type="dxa" w:w="32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sz w:val="18"/>
                <w:szCs w:val="18"/>
              </w:rPr>
              <w:t xml:space="preserve">Trace context not propagated across Feign client boundary</w:t>
            </w:r>
          </w:p>
        </w:tc>
        <w:tc>
          <w:tcPr>
            <w:tcW w:type="dxa" w:w="23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i/>
                <w:iCs/>
                <w:color w:val="8A96A3"/>
                <w:sz w:val="17"/>
                <w:szCs w:val="17"/>
              </w:rPr>
              <w:t xml:space="preserve">AST: header forwarding check</w:t>
            </w:r>
          </w:p>
        </w:tc>
        <w:tc>
          <w:tcPr>
            <w:tcW w:type="dxa" w:w="12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Arial" w:cs="Arial" w:eastAsia="Arial" w:hAnsi="Arial"/>
                <w:color w:val="8A96A3"/>
                <w:sz w:val="16"/>
                <w:szCs w:val="16"/>
              </w:rPr>
              <w:t xml:space="preserve">OpenTelemetry</w:t>
            </w:r>
          </w:p>
        </w:tc>
      </w:tr>
      <w:tr>
        <w:tc>
          <w:tcPr>
            <w:tcW w:type="dxa" w:w="9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Courier New" w:cs="Courier New" w:eastAsia="Courier New" w:hAnsi="Courier New"/>
                <w:color w:val="1E3A5F"/>
                <w:sz w:val="17"/>
                <w:szCs w:val="17"/>
              </w:rPr>
              <w:t xml:space="preserve">OBS-002</w:t>
            </w:r>
          </w:p>
        </w:tc>
        <w:tc>
          <w:tcPr>
            <w:tcW w:type="dxa" w:w="700"/>
            <w:tcBorders>
              <w:top w:val="single" w:color="DDE1E7" w:sz="4"/>
              <w:left w:val="single" w:color="DDE1E7" w:sz="4"/>
              <w:bottom w:val="single" w:color="DDE1E7" w:sz="4"/>
              <w:right w:val="single" w:color="DDE1E7" w:sz="4"/>
            </w:tcBorders>
            <w:shd w:fill="D5F5E3" w:val="clear"/>
            <w:tcMar>
              <w:top w:type="dxa" w:w="80"/>
              <w:left w:type="dxa" w:w="100"/>
              <w:bottom w:type="dxa" w:w="80"/>
              <w:right w:type="dxa" w:w="100"/>
            </w:tcMar>
          </w:tcPr>
          <w:p>
            <w:pPr>
              <w:jc w:val="center"/>
            </w:pPr>
            <w:r>
              <w:rPr>
                <w:rFonts w:ascii="Arial" w:cs="Arial" w:eastAsia="Arial" w:hAnsi="Arial"/>
                <w:b/>
                <w:bCs/>
                <w:color w:val="1A7A4A"/>
                <w:sz w:val="17"/>
                <w:szCs w:val="17"/>
              </w:rPr>
              <w:t xml:space="preserve">MED</w:t>
            </w:r>
          </w:p>
        </w:tc>
        <w:tc>
          <w:tcPr>
            <w:tcW w:type="dxa" w:w="32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sz w:val="18"/>
                <w:szCs w:val="18"/>
              </w:rPr>
              <w:t xml:space="preserve">Log statement uses string concatenation instead of parameterised</w:t>
            </w:r>
          </w:p>
        </w:tc>
        <w:tc>
          <w:tcPr>
            <w:tcW w:type="dxa" w:w="23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i/>
                <w:iCs/>
                <w:color w:val="8A96A3"/>
                <w:sz w:val="17"/>
                <w:szCs w:val="17"/>
              </w:rPr>
              <w:t xml:space="preserve">AST: logger call analysis</w:t>
            </w:r>
          </w:p>
        </w:tc>
        <w:tc>
          <w:tcPr>
            <w:tcW w:type="dxa" w:w="12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Arial" w:cs="Arial" w:eastAsia="Arial" w:hAnsi="Arial"/>
                <w:color w:val="8A96A3"/>
                <w:sz w:val="16"/>
                <w:szCs w:val="16"/>
              </w:rPr>
              <w:t xml:space="preserve">SLF4J Best Practice</w:t>
            </w:r>
          </w:p>
        </w:tc>
      </w:tr>
      <w:tr>
        <w:tc>
          <w:tcPr>
            <w:tcW w:type="dxa" w:w="9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Courier New" w:cs="Courier New" w:eastAsia="Courier New" w:hAnsi="Courier New"/>
                <w:color w:val="1E3A5F"/>
                <w:sz w:val="17"/>
                <w:szCs w:val="17"/>
              </w:rPr>
              <w:t xml:space="preserve">OBS-003</w:t>
            </w:r>
          </w:p>
        </w:tc>
        <w:tc>
          <w:tcPr>
            <w:tcW w:type="dxa" w:w="700"/>
            <w:tcBorders>
              <w:top w:val="single" w:color="DDE1E7" w:sz="4"/>
              <w:left w:val="single" w:color="DDE1E7" w:sz="4"/>
              <w:bottom w:val="single" w:color="DDE1E7" w:sz="4"/>
              <w:right w:val="single" w:color="DDE1E7" w:sz="4"/>
            </w:tcBorders>
            <w:shd w:fill="D5F5E3" w:val="clear"/>
            <w:tcMar>
              <w:top w:type="dxa" w:w="80"/>
              <w:left w:type="dxa" w:w="100"/>
              <w:bottom w:type="dxa" w:w="80"/>
              <w:right w:type="dxa" w:w="100"/>
            </w:tcMar>
          </w:tcPr>
          <w:p>
            <w:pPr>
              <w:jc w:val="center"/>
            </w:pPr>
            <w:r>
              <w:rPr>
                <w:rFonts w:ascii="Arial" w:cs="Arial" w:eastAsia="Arial" w:hAnsi="Arial"/>
                <w:b/>
                <w:bCs/>
                <w:color w:val="1A7A4A"/>
                <w:sz w:val="17"/>
                <w:szCs w:val="17"/>
              </w:rPr>
              <w:t xml:space="preserve">MED</w:t>
            </w:r>
          </w:p>
        </w:tc>
        <w:tc>
          <w:tcPr>
            <w:tcW w:type="dxa" w:w="32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sz w:val="18"/>
                <w:szCs w:val="18"/>
              </w:rPr>
              <w:t xml:space="preserve">Custom metric name does not follow prometheus naming convention</w:t>
            </w:r>
          </w:p>
        </w:tc>
        <w:tc>
          <w:tcPr>
            <w:tcW w:type="dxa" w:w="23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i/>
                <w:iCs/>
                <w:color w:val="8A96A3"/>
                <w:sz w:val="17"/>
                <w:szCs w:val="17"/>
              </w:rPr>
              <w:t xml:space="preserve">Regex on MeterRegistry calls</w:t>
            </w:r>
          </w:p>
        </w:tc>
        <w:tc>
          <w:tcPr>
            <w:tcW w:type="dxa" w:w="12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Arial" w:cs="Arial" w:eastAsia="Arial" w:hAnsi="Arial"/>
                <w:color w:val="8A96A3"/>
                <w:sz w:val="16"/>
                <w:szCs w:val="16"/>
              </w:rPr>
              <w:t xml:space="preserve">Prometheus Docs</w:t>
            </w:r>
          </w:p>
        </w:tc>
      </w:tr>
      <w:tr>
        <w:tc>
          <w:tcPr>
            <w:tcW w:type="dxa" w:w="9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Courier New" w:cs="Courier New" w:eastAsia="Courier New" w:hAnsi="Courier New"/>
                <w:color w:val="1E3A5F"/>
                <w:sz w:val="17"/>
                <w:szCs w:val="17"/>
              </w:rPr>
              <w:t xml:space="preserve">API-001</w:t>
            </w:r>
          </w:p>
        </w:tc>
        <w:tc>
          <w:tcPr>
            <w:tcW w:type="dxa" w:w="700"/>
            <w:tcBorders>
              <w:top w:val="single" w:color="DDE1E7" w:sz="4"/>
              <w:left w:val="single" w:color="DDE1E7" w:sz="4"/>
              <w:bottom w:val="single" w:color="DDE1E7" w:sz="4"/>
              <w:right w:val="single" w:color="DDE1E7" w:sz="4"/>
            </w:tcBorders>
            <w:shd w:fill="FEF9E7" w:val="clear"/>
            <w:tcMar>
              <w:top w:type="dxa" w:w="80"/>
              <w:left w:type="dxa" w:w="100"/>
              <w:bottom w:type="dxa" w:w="80"/>
              <w:right w:type="dxa" w:w="100"/>
            </w:tcMar>
          </w:tcPr>
          <w:p>
            <w:pPr>
              <w:jc w:val="center"/>
            </w:pPr>
            <w:r>
              <w:rPr>
                <w:rFonts w:ascii="Arial" w:cs="Arial" w:eastAsia="Arial" w:hAnsi="Arial"/>
                <w:b/>
                <w:bCs/>
                <w:color w:val="9B7D0A"/>
                <w:sz w:val="17"/>
                <w:szCs w:val="17"/>
              </w:rPr>
              <w:t xml:space="preserve">HIGH</w:t>
            </w:r>
          </w:p>
        </w:tc>
        <w:tc>
          <w:tcPr>
            <w:tcW w:type="dxa" w:w="32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sz w:val="18"/>
                <w:szCs w:val="18"/>
              </w:rPr>
              <w:t xml:space="preserve">REST endpoint returns HTTP 500 on known business exception</w:t>
            </w:r>
          </w:p>
        </w:tc>
        <w:tc>
          <w:tcPr>
            <w:tcW w:type="dxa" w:w="23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i/>
                <w:iCs/>
                <w:color w:val="8A96A3"/>
                <w:sz w:val="17"/>
                <w:szCs w:val="17"/>
              </w:rPr>
              <w:t xml:space="preserve">AST: exception handler mapping</w:t>
            </w:r>
          </w:p>
        </w:tc>
        <w:tc>
          <w:tcPr>
            <w:tcW w:type="dxa" w:w="12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Arial" w:cs="Arial" w:eastAsia="Arial" w:hAnsi="Arial"/>
                <w:color w:val="8A96A3"/>
                <w:sz w:val="16"/>
                <w:szCs w:val="16"/>
              </w:rPr>
              <w:t xml:space="preserve">RFC 9110</w:t>
            </w:r>
          </w:p>
        </w:tc>
      </w:tr>
      <w:tr>
        <w:tc>
          <w:tcPr>
            <w:tcW w:type="dxa" w:w="9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Courier New" w:cs="Courier New" w:eastAsia="Courier New" w:hAnsi="Courier New"/>
                <w:color w:val="1E3A5F"/>
                <w:sz w:val="17"/>
                <w:szCs w:val="17"/>
              </w:rPr>
              <w:t xml:space="preserve">API-002</w:t>
            </w:r>
          </w:p>
        </w:tc>
        <w:tc>
          <w:tcPr>
            <w:tcW w:type="dxa" w:w="700"/>
            <w:tcBorders>
              <w:top w:val="single" w:color="DDE1E7" w:sz="4"/>
              <w:left w:val="single" w:color="DDE1E7" w:sz="4"/>
              <w:bottom w:val="single" w:color="DDE1E7" w:sz="4"/>
              <w:right w:val="single" w:color="DDE1E7" w:sz="4"/>
            </w:tcBorders>
            <w:shd w:fill="D5F5E3" w:val="clear"/>
            <w:tcMar>
              <w:top w:type="dxa" w:w="80"/>
              <w:left w:type="dxa" w:w="100"/>
              <w:bottom w:type="dxa" w:w="80"/>
              <w:right w:type="dxa" w:w="100"/>
            </w:tcMar>
          </w:tcPr>
          <w:p>
            <w:pPr>
              <w:jc w:val="center"/>
            </w:pPr>
            <w:r>
              <w:rPr>
                <w:rFonts w:ascii="Arial" w:cs="Arial" w:eastAsia="Arial" w:hAnsi="Arial"/>
                <w:b/>
                <w:bCs/>
                <w:color w:val="1A7A4A"/>
                <w:sz w:val="17"/>
                <w:szCs w:val="17"/>
              </w:rPr>
              <w:t xml:space="preserve">MED</w:t>
            </w:r>
          </w:p>
        </w:tc>
        <w:tc>
          <w:tcPr>
            <w:tcW w:type="dxa" w:w="32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sz w:val="18"/>
                <w:szCs w:val="18"/>
              </w:rPr>
              <w:t xml:space="preserve">Pageable endpoint missing max-size guard</w:t>
            </w:r>
          </w:p>
        </w:tc>
        <w:tc>
          <w:tcPr>
            <w:tcW w:type="dxa" w:w="23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i/>
                <w:iCs/>
                <w:color w:val="8A96A3"/>
                <w:sz w:val="17"/>
                <w:szCs w:val="17"/>
              </w:rPr>
              <w:t xml:space="preserve">AST: Pageable param without @Max</w:t>
            </w:r>
          </w:p>
        </w:tc>
        <w:tc>
          <w:tcPr>
            <w:tcW w:type="dxa" w:w="12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Arial" w:cs="Arial" w:eastAsia="Arial" w:hAnsi="Arial"/>
                <w:color w:val="8A96A3"/>
                <w:sz w:val="16"/>
                <w:szCs w:val="16"/>
              </w:rPr>
              <w:t xml:space="preserve">OWASP API4</w:t>
            </w:r>
          </w:p>
        </w:tc>
      </w:tr>
      <w:tr>
        <w:tc>
          <w:tcPr>
            <w:tcW w:type="dxa" w:w="9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Courier New" w:cs="Courier New" w:eastAsia="Courier New" w:hAnsi="Courier New"/>
                <w:color w:val="1E3A5F"/>
                <w:sz w:val="17"/>
                <w:szCs w:val="17"/>
              </w:rPr>
              <w:t xml:space="preserve">DAT-001</w:t>
            </w:r>
          </w:p>
        </w:tc>
        <w:tc>
          <w:tcPr>
            <w:tcW w:type="dxa" w:w="700"/>
            <w:tcBorders>
              <w:top w:val="single" w:color="DDE1E7" w:sz="4"/>
              <w:left w:val="single" w:color="DDE1E7" w:sz="4"/>
              <w:bottom w:val="single" w:color="DDE1E7" w:sz="4"/>
              <w:right w:val="single" w:color="DDE1E7" w:sz="4"/>
            </w:tcBorders>
            <w:shd w:fill="FEF9E7" w:val="clear"/>
            <w:tcMar>
              <w:top w:type="dxa" w:w="80"/>
              <w:left w:type="dxa" w:w="100"/>
              <w:bottom w:type="dxa" w:w="80"/>
              <w:right w:type="dxa" w:w="100"/>
            </w:tcMar>
          </w:tcPr>
          <w:p>
            <w:pPr>
              <w:jc w:val="center"/>
            </w:pPr>
            <w:r>
              <w:rPr>
                <w:rFonts w:ascii="Arial" w:cs="Arial" w:eastAsia="Arial" w:hAnsi="Arial"/>
                <w:b/>
                <w:bCs/>
                <w:color w:val="9B7D0A"/>
                <w:sz w:val="17"/>
                <w:szCs w:val="17"/>
              </w:rPr>
              <w:t xml:space="preserve">HIGH</w:t>
            </w:r>
          </w:p>
        </w:tc>
        <w:tc>
          <w:tcPr>
            <w:tcW w:type="dxa" w:w="32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sz w:val="18"/>
                <w:szCs w:val="18"/>
              </w:rPr>
              <w:t xml:space="preserve">JPA @OneToMany without fetch=LAZY and explicit batch size</w:t>
            </w:r>
          </w:p>
        </w:tc>
        <w:tc>
          <w:tcPr>
            <w:tcW w:type="dxa" w:w="23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i/>
                <w:iCs/>
                <w:color w:val="8A96A3"/>
                <w:sz w:val="17"/>
                <w:szCs w:val="17"/>
              </w:rPr>
              <w:t xml:space="preserve">AST + JPA meta-model</w:t>
            </w:r>
          </w:p>
        </w:tc>
        <w:tc>
          <w:tcPr>
            <w:tcW w:type="dxa" w:w="12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Arial" w:cs="Arial" w:eastAsia="Arial" w:hAnsi="Arial"/>
                <w:color w:val="8A96A3"/>
                <w:sz w:val="16"/>
                <w:szCs w:val="16"/>
              </w:rPr>
              <w:t xml:space="preserve">Vlad Mihalcea N+1</w:t>
            </w:r>
          </w:p>
        </w:tc>
      </w:tr>
      <w:tr>
        <w:tc>
          <w:tcPr>
            <w:tcW w:type="dxa" w:w="9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Courier New" w:cs="Courier New" w:eastAsia="Courier New" w:hAnsi="Courier New"/>
                <w:color w:val="1E3A5F"/>
                <w:sz w:val="17"/>
                <w:szCs w:val="17"/>
              </w:rPr>
              <w:t xml:space="preserve">DAT-002</w:t>
            </w:r>
          </w:p>
        </w:tc>
        <w:tc>
          <w:tcPr>
            <w:tcW w:type="dxa" w:w="700"/>
            <w:tcBorders>
              <w:top w:val="single" w:color="DDE1E7" w:sz="4"/>
              <w:left w:val="single" w:color="DDE1E7" w:sz="4"/>
              <w:bottom w:val="single" w:color="DDE1E7" w:sz="4"/>
              <w:right w:val="single" w:color="DDE1E7" w:sz="4"/>
            </w:tcBorders>
            <w:shd w:fill="FEF9E7" w:val="clear"/>
            <w:tcMar>
              <w:top w:type="dxa" w:w="80"/>
              <w:left w:type="dxa" w:w="100"/>
              <w:bottom w:type="dxa" w:w="80"/>
              <w:right w:type="dxa" w:w="100"/>
            </w:tcMar>
          </w:tcPr>
          <w:p>
            <w:pPr>
              <w:jc w:val="center"/>
            </w:pPr>
            <w:r>
              <w:rPr>
                <w:rFonts w:ascii="Arial" w:cs="Arial" w:eastAsia="Arial" w:hAnsi="Arial"/>
                <w:b/>
                <w:bCs/>
                <w:color w:val="9B7D0A"/>
                <w:sz w:val="17"/>
                <w:szCs w:val="17"/>
              </w:rPr>
              <w:t xml:space="preserve">HIGH</w:t>
            </w:r>
          </w:p>
        </w:tc>
        <w:tc>
          <w:tcPr>
            <w:tcW w:type="dxa" w:w="32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sz w:val="18"/>
                <w:szCs w:val="18"/>
              </w:rPr>
              <w:t xml:space="preserve">@Transactional(readOnly=false) on query-only service method</w:t>
            </w:r>
          </w:p>
        </w:tc>
        <w:tc>
          <w:tcPr>
            <w:tcW w:type="dxa" w:w="23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i/>
                <w:iCs/>
                <w:color w:val="8A96A3"/>
                <w:sz w:val="17"/>
                <w:szCs w:val="17"/>
              </w:rPr>
              <w:t xml:space="preserve">AST: method + annotation</w:t>
            </w:r>
          </w:p>
        </w:tc>
        <w:tc>
          <w:tcPr>
            <w:tcW w:type="dxa" w:w="12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Arial" w:cs="Arial" w:eastAsia="Arial" w:hAnsi="Arial"/>
                <w:color w:val="8A96A3"/>
                <w:sz w:val="16"/>
                <w:szCs w:val="16"/>
              </w:rPr>
              <w:t xml:space="preserve">Spring Data Docs</w:t>
            </w:r>
          </w:p>
        </w:tc>
      </w:tr>
      <w:tr>
        <w:tc>
          <w:tcPr>
            <w:tcW w:type="dxa" w:w="9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Courier New" w:cs="Courier New" w:eastAsia="Courier New" w:hAnsi="Courier New"/>
                <w:color w:val="1E3A5F"/>
                <w:sz w:val="17"/>
                <w:szCs w:val="17"/>
              </w:rPr>
              <w:t xml:space="preserve">MSG-001</w:t>
            </w:r>
          </w:p>
        </w:tc>
        <w:tc>
          <w:tcPr>
            <w:tcW w:type="dxa" w:w="700"/>
            <w:tcBorders>
              <w:top w:val="single" w:color="DDE1E7" w:sz="4"/>
              <w:left w:val="single" w:color="DDE1E7" w:sz="4"/>
              <w:bottom w:val="single" w:color="DDE1E7" w:sz="4"/>
              <w:right w:val="single" w:color="DDE1E7" w:sz="4"/>
            </w:tcBorders>
            <w:shd w:fill="FEF9E7" w:val="clear"/>
            <w:tcMar>
              <w:top w:type="dxa" w:w="80"/>
              <w:left w:type="dxa" w:w="100"/>
              <w:bottom w:type="dxa" w:w="80"/>
              <w:right w:type="dxa" w:w="100"/>
            </w:tcMar>
          </w:tcPr>
          <w:p>
            <w:pPr>
              <w:jc w:val="center"/>
            </w:pPr>
            <w:r>
              <w:rPr>
                <w:rFonts w:ascii="Arial" w:cs="Arial" w:eastAsia="Arial" w:hAnsi="Arial"/>
                <w:b/>
                <w:bCs/>
                <w:color w:val="9B7D0A"/>
                <w:sz w:val="17"/>
                <w:szCs w:val="17"/>
              </w:rPr>
              <w:t xml:space="preserve">HIGH</w:t>
            </w:r>
          </w:p>
        </w:tc>
        <w:tc>
          <w:tcPr>
            <w:tcW w:type="dxa" w:w="32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sz w:val="18"/>
                <w:szCs w:val="18"/>
              </w:rPr>
              <w:t xml:space="preserve">Kafka producer missing idempotent=true configuration</w:t>
            </w:r>
          </w:p>
        </w:tc>
        <w:tc>
          <w:tcPr>
            <w:tcW w:type="dxa" w:w="23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i/>
                <w:iCs/>
                <w:color w:val="8A96A3"/>
                <w:sz w:val="17"/>
                <w:szCs w:val="17"/>
              </w:rPr>
              <w:t xml:space="preserve">Properties file analysis</w:t>
            </w:r>
          </w:p>
        </w:tc>
        <w:tc>
          <w:tcPr>
            <w:tcW w:type="dxa" w:w="12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Arial" w:cs="Arial" w:eastAsia="Arial" w:hAnsi="Arial"/>
                <w:color w:val="8A96A3"/>
                <w:sz w:val="16"/>
                <w:szCs w:val="16"/>
              </w:rPr>
              <w:t xml:space="preserve">Kafka Docs 3.x</w:t>
            </w:r>
          </w:p>
        </w:tc>
      </w:tr>
      <w:tr>
        <w:tc>
          <w:tcPr>
            <w:tcW w:type="dxa" w:w="9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Courier New" w:cs="Courier New" w:eastAsia="Courier New" w:hAnsi="Courier New"/>
                <w:color w:val="1E3A5F"/>
                <w:sz w:val="17"/>
                <w:szCs w:val="17"/>
              </w:rPr>
              <w:t xml:space="preserve">MSG-002</w:t>
            </w:r>
          </w:p>
        </w:tc>
        <w:tc>
          <w:tcPr>
            <w:tcW w:type="dxa" w:w="700"/>
            <w:tcBorders>
              <w:top w:val="single" w:color="DDE1E7" w:sz="4"/>
              <w:left w:val="single" w:color="DDE1E7" w:sz="4"/>
              <w:bottom w:val="single" w:color="DDE1E7" w:sz="4"/>
              <w:right w:val="single" w:color="DDE1E7" w:sz="4"/>
            </w:tcBorders>
            <w:shd w:fill="FEF9E7" w:val="clear"/>
            <w:tcMar>
              <w:top w:type="dxa" w:w="80"/>
              <w:left w:type="dxa" w:w="100"/>
              <w:bottom w:type="dxa" w:w="80"/>
              <w:right w:type="dxa" w:w="100"/>
            </w:tcMar>
          </w:tcPr>
          <w:p>
            <w:pPr>
              <w:jc w:val="center"/>
            </w:pPr>
            <w:r>
              <w:rPr>
                <w:rFonts w:ascii="Arial" w:cs="Arial" w:eastAsia="Arial" w:hAnsi="Arial"/>
                <w:b/>
                <w:bCs/>
                <w:color w:val="9B7D0A"/>
                <w:sz w:val="17"/>
                <w:szCs w:val="17"/>
              </w:rPr>
              <w:t xml:space="preserve">HIGH</w:t>
            </w:r>
          </w:p>
        </w:tc>
        <w:tc>
          <w:tcPr>
            <w:tcW w:type="dxa" w:w="32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sz w:val="18"/>
                <w:szCs w:val="18"/>
              </w:rPr>
              <w:t xml:space="preserve">No dead-letter-queue binding for @RabbitListener</w:t>
            </w:r>
          </w:p>
        </w:tc>
        <w:tc>
          <w:tcPr>
            <w:tcW w:type="dxa" w:w="23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i/>
                <w:iCs/>
                <w:color w:val="8A96A3"/>
                <w:sz w:val="17"/>
                <w:szCs w:val="17"/>
              </w:rPr>
              <w:t xml:space="preserve">AST: RabbitListenerContainerFactory</w:t>
            </w:r>
          </w:p>
        </w:tc>
        <w:tc>
          <w:tcPr>
            <w:tcW w:type="dxa" w:w="12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Arial" w:cs="Arial" w:eastAsia="Arial" w:hAnsi="Arial"/>
                <w:color w:val="8A96A3"/>
                <w:sz w:val="16"/>
                <w:szCs w:val="16"/>
              </w:rPr>
              <w:t xml:space="preserve">Spring AMQP Docs</w:t>
            </w:r>
          </w:p>
        </w:tc>
      </w:tr>
      <w:tr>
        <w:tc>
          <w:tcPr>
            <w:tcW w:type="dxa" w:w="9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Courier New" w:cs="Courier New" w:eastAsia="Courier New" w:hAnsi="Courier New"/>
                <w:color w:val="1E3A5F"/>
                <w:sz w:val="17"/>
                <w:szCs w:val="17"/>
              </w:rPr>
              <w:t xml:space="preserve">CON-001</w:t>
            </w:r>
          </w:p>
        </w:tc>
        <w:tc>
          <w:tcPr>
            <w:tcW w:type="dxa" w:w="700"/>
            <w:tcBorders>
              <w:top w:val="single" w:color="DDE1E7" w:sz="4"/>
              <w:left w:val="single" w:color="DDE1E7" w:sz="4"/>
              <w:bottom w:val="single" w:color="DDE1E7" w:sz="4"/>
              <w:right w:val="single" w:color="DDE1E7" w:sz="4"/>
            </w:tcBorders>
            <w:shd w:fill="FEF9E7" w:val="clear"/>
            <w:tcMar>
              <w:top w:type="dxa" w:w="80"/>
              <w:left w:type="dxa" w:w="100"/>
              <w:bottom w:type="dxa" w:w="80"/>
              <w:right w:type="dxa" w:w="100"/>
            </w:tcMar>
          </w:tcPr>
          <w:p>
            <w:pPr>
              <w:jc w:val="center"/>
            </w:pPr>
            <w:r>
              <w:rPr>
                <w:rFonts w:ascii="Arial" w:cs="Arial" w:eastAsia="Arial" w:hAnsi="Arial"/>
                <w:b/>
                <w:bCs/>
                <w:color w:val="9B7D0A"/>
                <w:sz w:val="17"/>
                <w:szCs w:val="17"/>
              </w:rPr>
              <w:t xml:space="preserve">HIGH</w:t>
            </w:r>
          </w:p>
        </w:tc>
        <w:tc>
          <w:tcPr>
            <w:tcW w:type="dxa" w:w="32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sz w:val="18"/>
                <w:szCs w:val="18"/>
              </w:rPr>
              <w:t xml:space="preserve">Blocking call (Thread.sleep / JDBC) on Project Reactor scheduler</w:t>
            </w:r>
          </w:p>
        </w:tc>
        <w:tc>
          <w:tcPr>
            <w:tcW w:type="dxa" w:w="23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i/>
                <w:iCs/>
                <w:color w:val="8A96A3"/>
                <w:sz w:val="17"/>
                <w:szCs w:val="17"/>
              </w:rPr>
              <w:t xml:space="preserve">AST: operator chain analysis</w:t>
            </w:r>
          </w:p>
        </w:tc>
        <w:tc>
          <w:tcPr>
            <w:tcW w:type="dxa" w:w="12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Arial" w:cs="Arial" w:eastAsia="Arial" w:hAnsi="Arial"/>
                <w:color w:val="8A96A3"/>
                <w:sz w:val="16"/>
                <w:szCs w:val="16"/>
              </w:rPr>
              <w:t xml:space="preserve">Reactor Docs</w:t>
            </w:r>
          </w:p>
        </w:tc>
      </w:tr>
      <w:tr>
        <w:tc>
          <w:tcPr>
            <w:tcW w:type="dxa" w:w="9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Courier New" w:cs="Courier New" w:eastAsia="Courier New" w:hAnsi="Courier New"/>
                <w:color w:val="1E3A5F"/>
                <w:sz w:val="17"/>
                <w:szCs w:val="17"/>
              </w:rPr>
              <w:t xml:space="preserve">TST-001</w:t>
            </w:r>
          </w:p>
        </w:tc>
        <w:tc>
          <w:tcPr>
            <w:tcW w:type="dxa" w:w="700"/>
            <w:tcBorders>
              <w:top w:val="single" w:color="DDE1E7" w:sz="4"/>
              <w:left w:val="single" w:color="DDE1E7" w:sz="4"/>
              <w:bottom w:val="single" w:color="DDE1E7" w:sz="4"/>
              <w:right w:val="single" w:color="DDE1E7" w:sz="4"/>
            </w:tcBorders>
            <w:shd w:fill="D5F5E3" w:val="clear"/>
            <w:tcMar>
              <w:top w:type="dxa" w:w="80"/>
              <w:left w:type="dxa" w:w="100"/>
              <w:bottom w:type="dxa" w:w="80"/>
              <w:right w:type="dxa" w:w="100"/>
            </w:tcMar>
          </w:tcPr>
          <w:p>
            <w:pPr>
              <w:jc w:val="center"/>
            </w:pPr>
            <w:r>
              <w:rPr>
                <w:rFonts w:ascii="Arial" w:cs="Arial" w:eastAsia="Arial" w:hAnsi="Arial"/>
                <w:b/>
                <w:bCs/>
                <w:color w:val="1A7A4A"/>
                <w:sz w:val="17"/>
                <w:szCs w:val="17"/>
              </w:rPr>
              <w:t xml:space="preserve">MED</w:t>
            </w:r>
          </w:p>
        </w:tc>
        <w:tc>
          <w:tcPr>
            <w:tcW w:type="dxa" w:w="32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sz w:val="18"/>
                <w:szCs w:val="18"/>
              </w:rPr>
              <w:t xml:space="preserve">Service class below 70% line coverage threshold</w:t>
            </w:r>
          </w:p>
        </w:tc>
        <w:tc>
          <w:tcPr>
            <w:tcW w:type="dxa" w:w="23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i/>
                <w:iCs/>
                <w:color w:val="8A96A3"/>
                <w:sz w:val="17"/>
                <w:szCs w:val="17"/>
              </w:rPr>
              <w:t xml:space="preserve">JaCoCo XML report</w:t>
            </w:r>
          </w:p>
        </w:tc>
        <w:tc>
          <w:tcPr>
            <w:tcW w:type="dxa" w:w="12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Arial" w:cs="Arial" w:eastAsia="Arial" w:hAnsi="Arial"/>
                <w:color w:val="8A96A3"/>
                <w:sz w:val="16"/>
                <w:szCs w:val="16"/>
              </w:rPr>
              <w:t xml:space="preserve">Engineering Standard</w:t>
            </w:r>
          </w:p>
        </w:tc>
      </w:tr>
      <w:tr>
        <w:tc>
          <w:tcPr>
            <w:tcW w:type="dxa" w:w="9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Courier New" w:cs="Courier New" w:eastAsia="Courier New" w:hAnsi="Courier New"/>
                <w:color w:val="1E3A5F"/>
                <w:sz w:val="17"/>
                <w:szCs w:val="17"/>
              </w:rPr>
              <w:t xml:space="preserve">DEP-001</w:t>
            </w:r>
          </w:p>
        </w:tc>
        <w:tc>
          <w:tcPr>
            <w:tcW w:type="dxa" w:w="700"/>
            <w:tcBorders>
              <w:top w:val="single" w:color="DDE1E7" w:sz="4"/>
              <w:left w:val="single" w:color="DDE1E7" w:sz="4"/>
              <w:bottom w:val="single" w:color="DDE1E7" w:sz="4"/>
              <w:right w:val="single" w:color="DDE1E7" w:sz="4"/>
            </w:tcBorders>
            <w:shd w:fill="FADBD8" w:val="clear"/>
            <w:tcMar>
              <w:top w:type="dxa" w:w="80"/>
              <w:left w:type="dxa" w:w="100"/>
              <w:bottom w:type="dxa" w:w="80"/>
              <w:right w:type="dxa" w:w="100"/>
            </w:tcMar>
          </w:tcPr>
          <w:p>
            <w:pPr>
              <w:jc w:val="center"/>
            </w:pPr>
            <w:r>
              <w:rPr>
                <w:rFonts w:ascii="Arial" w:cs="Arial" w:eastAsia="Arial" w:hAnsi="Arial"/>
                <w:b/>
                <w:bCs/>
                <w:color w:val="C0392B"/>
                <w:sz w:val="17"/>
                <w:szCs w:val="17"/>
              </w:rPr>
              <w:t xml:space="preserve">CRIT</w:t>
            </w:r>
          </w:p>
        </w:tc>
        <w:tc>
          <w:tcPr>
            <w:tcW w:type="dxa" w:w="320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sz w:val="18"/>
                <w:szCs w:val="18"/>
              </w:rPr>
              <w:t xml:space="preserve">Dependency with known CVE (CVSS ≥ 9.0)</w:t>
            </w:r>
          </w:p>
        </w:tc>
        <w:tc>
          <w:tcPr>
            <w:tcW w:type="dxa" w:w="2360"/>
            <w:tcBorders>
              <w:top w:val="single" w:color="DDE1E7" w:sz="4"/>
              <w:left w:val="single" w:color="DDE1E7" w:sz="4"/>
              <w:bottom w:val="single" w:color="DDE1E7" w:sz="4"/>
              <w:right w:val="single" w:color="DDE1E7" w:sz="4"/>
            </w:tcBorders>
            <w:shd w:fill="F4F6F9" w:val="clear"/>
            <w:tcMar>
              <w:top w:type="dxa" w:w="80"/>
              <w:left w:type="dxa" w:w="140"/>
              <w:bottom w:type="dxa" w:w="80"/>
              <w:right w:type="dxa" w:w="140"/>
            </w:tcMar>
          </w:tcPr>
          <w:p>
            <w:r>
              <w:rPr>
                <w:rFonts w:ascii="Arial" w:cs="Arial" w:eastAsia="Arial" w:hAnsi="Arial"/>
                <w:i/>
                <w:iCs/>
                <w:color w:val="8A96A3"/>
                <w:sz w:val="17"/>
                <w:szCs w:val="17"/>
              </w:rPr>
              <w:t xml:space="preserve">NVD CVE feed + SBOM</w:t>
            </w:r>
          </w:p>
        </w:tc>
        <w:tc>
          <w:tcPr>
            <w:tcW w:type="dxa" w:w="1200"/>
            <w:tcBorders>
              <w:top w:val="single" w:color="DDE1E7" w:sz="4"/>
              <w:left w:val="single" w:color="DDE1E7" w:sz="4"/>
              <w:bottom w:val="single" w:color="DDE1E7" w:sz="4"/>
              <w:right w:val="single" w:color="DDE1E7" w:sz="4"/>
            </w:tcBorders>
            <w:shd w:fill="F4F6F9" w:val="clear"/>
            <w:tcMar>
              <w:top w:type="dxa" w:w="80"/>
              <w:left w:type="dxa" w:w="100"/>
              <w:bottom w:type="dxa" w:w="80"/>
              <w:right w:type="dxa" w:w="100"/>
            </w:tcMar>
          </w:tcPr>
          <w:p>
            <w:r>
              <w:rPr>
                <w:rFonts w:ascii="Arial" w:cs="Arial" w:eastAsia="Arial" w:hAnsi="Arial"/>
                <w:color w:val="8A96A3"/>
                <w:sz w:val="16"/>
                <w:szCs w:val="16"/>
              </w:rPr>
              <w:t xml:space="preserve">NVD / OSS Index</w:t>
            </w:r>
          </w:p>
        </w:tc>
      </w:tr>
      <w:tr>
        <w:tc>
          <w:tcPr>
            <w:tcW w:type="dxa" w:w="9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Courier New" w:cs="Courier New" w:eastAsia="Courier New" w:hAnsi="Courier New"/>
                <w:color w:val="1E3A5F"/>
                <w:sz w:val="17"/>
                <w:szCs w:val="17"/>
              </w:rPr>
              <w:t xml:space="preserve">DES-001</w:t>
            </w:r>
          </w:p>
        </w:tc>
        <w:tc>
          <w:tcPr>
            <w:tcW w:type="dxa" w:w="700"/>
            <w:tcBorders>
              <w:top w:val="single" w:color="DDE1E7" w:sz="4"/>
              <w:left w:val="single" w:color="DDE1E7" w:sz="4"/>
              <w:bottom w:val="single" w:color="DDE1E7" w:sz="4"/>
              <w:right w:val="single" w:color="DDE1E7" w:sz="4"/>
            </w:tcBorders>
            <w:shd w:fill="D5F5E3" w:val="clear"/>
            <w:tcMar>
              <w:top w:type="dxa" w:w="80"/>
              <w:left w:type="dxa" w:w="100"/>
              <w:bottom w:type="dxa" w:w="80"/>
              <w:right w:type="dxa" w:w="100"/>
            </w:tcMar>
          </w:tcPr>
          <w:p>
            <w:pPr>
              <w:jc w:val="center"/>
            </w:pPr>
            <w:r>
              <w:rPr>
                <w:rFonts w:ascii="Arial" w:cs="Arial" w:eastAsia="Arial" w:hAnsi="Arial"/>
                <w:b/>
                <w:bCs/>
                <w:color w:val="1A7A4A"/>
                <w:sz w:val="17"/>
                <w:szCs w:val="17"/>
              </w:rPr>
              <w:t xml:space="preserve">MED</w:t>
            </w:r>
          </w:p>
        </w:tc>
        <w:tc>
          <w:tcPr>
            <w:tcW w:type="dxa" w:w="320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sz w:val="18"/>
                <w:szCs w:val="18"/>
              </w:rPr>
              <w:t xml:space="preserve">Class with &gt;10 public methods and &gt;7 injected dependencies</w:t>
            </w:r>
          </w:p>
        </w:tc>
        <w:tc>
          <w:tcPr>
            <w:tcW w:type="dxa" w:w="2360"/>
            <w:tcBorders>
              <w:top w:val="single" w:color="DDE1E7" w:sz="4"/>
              <w:left w:val="single" w:color="DDE1E7" w:sz="4"/>
              <w:bottom w:val="single" w:color="DDE1E7" w:sz="4"/>
              <w:right w:val="single" w:color="DDE1E7" w:sz="4"/>
            </w:tcBorders>
            <w:shd w:fill="FFFFFF" w:val="clear"/>
            <w:tcMar>
              <w:top w:type="dxa" w:w="80"/>
              <w:left w:type="dxa" w:w="140"/>
              <w:bottom w:type="dxa" w:w="80"/>
              <w:right w:type="dxa" w:w="140"/>
            </w:tcMar>
          </w:tcPr>
          <w:p>
            <w:r>
              <w:rPr>
                <w:rFonts w:ascii="Arial" w:cs="Arial" w:eastAsia="Arial" w:hAnsi="Arial"/>
                <w:i/>
                <w:iCs/>
                <w:color w:val="8A96A3"/>
                <w:sz w:val="17"/>
                <w:szCs w:val="17"/>
              </w:rPr>
              <w:t xml:space="preserve">AST: class metric analysis</w:t>
            </w:r>
          </w:p>
        </w:tc>
        <w:tc>
          <w:tcPr>
            <w:tcW w:type="dxa" w:w="1200"/>
            <w:tcBorders>
              <w:top w:val="single" w:color="DDE1E7" w:sz="4"/>
              <w:left w:val="single" w:color="DDE1E7" w:sz="4"/>
              <w:bottom w:val="single" w:color="DDE1E7" w:sz="4"/>
              <w:right w:val="single" w:color="DDE1E7" w:sz="4"/>
            </w:tcBorders>
            <w:shd w:fill="FFFFFF" w:val="clear"/>
            <w:tcMar>
              <w:top w:type="dxa" w:w="80"/>
              <w:left w:type="dxa" w:w="100"/>
              <w:bottom w:type="dxa" w:w="80"/>
              <w:right w:type="dxa" w:w="100"/>
            </w:tcMar>
          </w:tcPr>
          <w:p>
            <w:r>
              <w:rPr>
                <w:rFonts w:ascii="Arial" w:cs="Arial" w:eastAsia="Arial" w:hAnsi="Arial"/>
                <w:color w:val="8A96A3"/>
                <w:sz w:val="16"/>
                <w:szCs w:val="16"/>
              </w:rPr>
              <w:t xml:space="preserve">SOLID SRP</w:t>
            </w:r>
          </w:p>
        </w:tc>
      </w:tr>
    </w:tbl>
    <w:p>
      <w:r>
        <w:br w:type="page"/>
      </w:r>
    </w:p>
    <w:p>
      <w:pPr>
        <w:pStyle w:val="Heading1"/>
        <w:shd w:fill="1E3A5F" w:val="clear"/>
        <w:spacing w:after="240" w:before="480"/>
      </w:pPr>
      <w:r>
        <w:rPr>
          <w:rFonts w:ascii="Arial" w:cs="Arial" w:eastAsia="Arial" w:hAnsi="Arial"/>
          <w:b/>
          <w:bCs/>
          <w:color w:val="FFFFFF"/>
          <w:sz w:val="36"/>
          <w:szCs w:val="36"/>
        </w:rPr>
        <w:t xml:space="preserve">6.  AI Model Design</w:t>
      </w:r>
    </w:p>
    <w:p>
      <w:pPr>
        <w:pStyle w:val="Heading2"/>
        <w:pBdr>
          <w:bottom w:val="single" w:color="2E6DA4" w:sz="6"/>
        </w:pBdr>
        <w:spacing w:after="180" w:before="360"/>
      </w:pPr>
      <w:r>
        <w:rPr>
          <w:rFonts w:ascii="Arial" w:cs="Arial" w:eastAsia="Arial" w:hAnsi="Arial"/>
          <w:b/>
          <w:bCs/>
          <w:color w:val="1E3A5F"/>
          <w:sz w:val="28"/>
          <w:szCs w:val="28"/>
        </w:rPr>
        <w:t xml:space="preserve">6.1  Model Selection Rationale</w:t>
      </w:r>
    </w:p>
    <w:p>
      <w:pPr>
        <w:spacing w:after="80" w:before="80"/>
      </w:pPr>
      <w:r>
        <w:rPr>
          <w:rFonts w:ascii="Arial" w:cs="Arial" w:eastAsia="Arial" w:hAnsi="Arial"/>
          <w:color w:val="1C1C1C"/>
          <w:sz w:val="22"/>
          <w:szCs w:val="22"/>
        </w:rPr>
        <w:t xml:space="preserve">JMCRA uses a two-tier model strategy to balance accuracy, latency, and cost: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Tier</w:t>
            </w:r>
          </w:p>
        </w:tc>
        <w:tc>
          <w:tcPr>
            <w:tcW w:type="dxa" w:w="2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Model</w:t>
            </w:r>
          </w:p>
        </w:tc>
        <w:tc>
          <w:tcPr>
            <w:tcW w:type="dxa" w:w="248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Use Case</w:t>
            </w:r>
          </w:p>
        </w:tc>
        <w:tc>
          <w:tcPr>
            <w:tcW w:type="dxa" w:w="248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Latency Budget</w:t>
            </w:r>
          </w:p>
        </w:tc>
      </w:tr>
      <w:tr>
        <w:tc>
          <w:tcPr>
            <w:tcW w:type="dxa" w:w="20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C1C1C"/>
                <w:sz w:val="19"/>
                <w:szCs w:val="19"/>
              </w:rPr>
              <w:t xml:space="preserve">Fast (Tier 1)</w:t>
            </w:r>
          </w:p>
        </w:tc>
        <w:tc>
          <w:tcPr>
            <w:tcW w:type="dxa" w:w="24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Courier New" w:cs="Courier New" w:eastAsia="Courier New" w:hAnsi="Courier New"/>
                <w:color w:val="1E3A5F"/>
                <w:sz w:val="18"/>
                <w:szCs w:val="18"/>
              </w:rPr>
              <w:t xml:space="preserve">Claude Haiku / GPT-4o-mini</w:t>
            </w:r>
          </w:p>
        </w:tc>
        <w:tc>
          <w:tcPr>
            <w:tcW w:type="dxa" w:w="248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18"/>
                <w:szCs w:val="18"/>
              </w:rPr>
              <w:t xml:space="preserve">Pattern classification, severity labelling, quick-win rules</w:t>
            </w:r>
          </w:p>
        </w:tc>
        <w:tc>
          <w:tcPr>
            <w:tcW w:type="dxa" w:w="248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2E6DA4"/>
                <w:sz w:val="18"/>
                <w:szCs w:val="18"/>
              </w:rPr>
              <w:t xml:space="preserve">&lt; 2 s per file</w:t>
            </w:r>
          </w:p>
        </w:tc>
      </w:tr>
      <w:tr>
        <w:tc>
          <w:tcPr>
            <w:tcW w:type="dxa" w:w="20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19"/>
                <w:szCs w:val="19"/>
              </w:rPr>
              <w:t xml:space="preserve">Deep (Tier 2)</w:t>
            </w:r>
          </w:p>
        </w:tc>
        <w:tc>
          <w:tcPr>
            <w:tcW w:type="dxa" w:w="24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Courier New" w:cs="Courier New" w:eastAsia="Courier New" w:hAnsi="Courier New"/>
                <w:color w:val="1E3A5F"/>
                <w:sz w:val="18"/>
                <w:szCs w:val="18"/>
              </w:rPr>
              <w:t xml:space="preserve">Claude Sonnet / GPT-4o</w:t>
            </w:r>
          </w:p>
        </w:tc>
        <w:tc>
          <w:tcPr>
            <w:tcW w:type="dxa" w:w="248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8"/>
                <w:szCs w:val="18"/>
              </w:rPr>
              <w:t xml:space="preserve">Complex reasoning: N+1 detection, architecture anti-patterns, context-window contract diff</w:t>
            </w:r>
          </w:p>
        </w:tc>
        <w:tc>
          <w:tcPr>
            <w:tcW w:type="dxa" w:w="248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2E6DA4"/>
                <w:sz w:val="18"/>
                <w:szCs w:val="18"/>
              </w:rPr>
              <w:t xml:space="preserve">&lt; 15 s per domain</w:t>
            </w:r>
          </w:p>
        </w:tc>
      </w:tr>
    </w:tbl>
    <w:p>
      <w:pPr>
        <w:spacing w:after="0" w:before="160"/>
      </w:pPr>
    </w:p>
    <w:p>
      <w:pPr>
        <w:pStyle w:val="Heading2"/>
        <w:pBdr>
          <w:bottom w:val="single" w:color="2E6DA4" w:sz="6"/>
        </w:pBdr>
        <w:spacing w:after="180" w:before="360"/>
      </w:pPr>
      <w:r>
        <w:rPr>
          <w:rFonts w:ascii="Arial" w:cs="Arial" w:eastAsia="Arial" w:hAnsi="Arial"/>
          <w:b/>
          <w:bCs/>
          <w:color w:val="1E3A5F"/>
          <w:sz w:val="28"/>
          <w:szCs w:val="28"/>
        </w:rPr>
        <w:t xml:space="preserve">6.2  Prompt Architecture</w:t>
      </w:r>
    </w:p>
    <w:p>
      <w:pPr>
        <w:spacing w:after="80" w:before="80"/>
      </w:pPr>
      <w:r>
        <w:rPr>
          <w:rFonts w:ascii="Arial" w:cs="Arial" w:eastAsia="Arial" w:hAnsi="Arial"/>
          <w:color w:val="1C1C1C"/>
          <w:sz w:val="22"/>
          <w:szCs w:val="22"/>
        </w:rPr>
        <w:t xml:space="preserve">All LLM prompts follow a three-part structure. Prompts are stored as versioned Markdown templates in prompts/  and loaded at runtime. No prompt literals in Java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1B2A3B" w:val="clear"/>
            <w:tcMar>
              <w:top w:type="dxa" w:w="160"/>
              <w:left w:type="dxa" w:w="200"/>
              <w:bottom w:type="dxa" w:w="160"/>
              <w:right w:type="dxa" w:w="200"/>
            </w:tcMar>
          </w:tcPr>
          <w:p>
            <w:pPr>
              <w:spacing w:after="20" w:before="20"/>
            </w:pPr>
            <w:r>
              <w:rPr>
                <w:rFonts w:ascii="Courier New" w:cs="Courier New" w:eastAsia="Courier New" w:hAnsi="Courier New"/>
                <w:color w:val="C5D8F5"/>
                <w:sz w:val="18"/>
                <w:szCs w:val="18"/>
              </w:rPr>
              <w:t xml:space="preserve">## SYSTEM (static per rule domain)</w:t>
            </w:r>
          </w:p>
          <w:p>
            <w:pPr>
              <w:spacing w:after="20" w:before="20"/>
            </w:pPr>
            <w:r>
              <w:rPr>
                <w:rFonts w:ascii="Courier New" w:cs="Courier New" w:eastAsia="Courier New" w:hAnsi="Courier New"/>
                <w:color w:val="C5D8F5"/>
                <w:sz w:val="18"/>
                <w:szCs w:val="18"/>
              </w:rPr>
              <w:t xml:space="preserve">You are JMCRA, an expert Java microservice code reviewer.</w:t>
            </w:r>
          </w:p>
          <w:p>
            <w:pPr>
              <w:spacing w:after="20" w:before="20"/>
            </w:pPr>
            <w:r>
              <w:rPr>
                <w:rFonts w:ascii="Courier New" w:cs="Courier New" w:eastAsia="Courier New" w:hAnsi="Courier New"/>
                <w:color w:val="C5D8F5"/>
                <w:sz w:val="18"/>
                <w:szCs w:val="18"/>
              </w:rPr>
              <w:t xml:space="preserve">Focus domain: {DOMAIN_NAME}. Output ONLY valid JSON matching FindingSchema v1.</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USER (dynamic per evaluation)</w:t>
            </w:r>
          </w:p>
          <w:p>
            <w:pPr>
              <w:spacing w:after="20" w:before="20"/>
            </w:pPr>
            <w:r>
              <w:rPr>
                <w:rFonts w:ascii="Courier New" w:cs="Courier New" w:eastAsia="Courier New" w:hAnsi="Courier New"/>
                <w:color w:val="C5D8F5"/>
                <w:sz w:val="18"/>
                <w:szCs w:val="18"/>
              </w:rPr>
              <w:t xml:space="preserve">### Context</w:t>
            </w:r>
          </w:p>
          <w:p>
            <w:pPr>
              <w:spacing w:after="20" w:before="20"/>
            </w:pPr>
            <w:r>
              <w:rPr>
                <w:rFonts w:ascii="Courier New" w:cs="Courier New" w:eastAsia="Courier New" w:hAnsi="Courier New"/>
                <w:color w:val="C5D8F5"/>
                <w:sz w:val="18"/>
                <w:szCs w:val="18"/>
              </w:rPr>
              <w:t xml:space="preserve">Service: {SERVICE_NAME}  |  Java: {JAVA_VERSION}  |  Framework: {FRAMEWORK}</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Code Under Review</w:t>
            </w:r>
          </w:p>
          <w:p>
            <w:pPr>
              <w:spacing w:after="20" w:before="20"/>
            </w:pPr>
            <w:r>
              <w:rPr>
                <w:rFonts w:ascii="Courier New" w:cs="Courier New" w:eastAsia="Courier New" w:hAnsi="Courier New"/>
                <w:color w:val="C5D8F5"/>
                <w:sz w:val="18"/>
                <w:szCs w:val="18"/>
              </w:rPr>
              <w:t xml:space="preserve">```java</w:t>
            </w:r>
          </w:p>
          <w:p>
            <w:pPr>
              <w:spacing w:after="20" w:before="20"/>
            </w:pPr>
            <w:r>
              <w:rPr>
                <w:rFonts w:ascii="Courier New" w:cs="Courier New" w:eastAsia="Courier New" w:hAnsi="Courier New"/>
                <w:color w:val="C5D8F5"/>
                <w:sz w:val="18"/>
                <w:szCs w:val="18"/>
              </w:rPr>
              <w:t xml:space="preserve">{CODE_SNIPPET}   // max 150 lines, truncated with ellipsis</w:t>
            </w:r>
          </w:p>
          <w:p>
            <w:pPr>
              <w:spacing w:after="20" w:before="20"/>
            </w:pPr>
            <w:r>
              <w:rPr>
                <w:rFonts w:ascii="Courier New" w:cs="Courier New" w:eastAsia="Courier New" w:hAnsi="Courier New"/>
                <w:color w:val="C5D8F5"/>
                <w:sz w:val="18"/>
                <w:szCs w:val="18"/>
              </w:rPr>
              <w:t xml:space="preserve">```</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Task</w:t>
            </w:r>
          </w:p>
          <w:p>
            <w:pPr>
              <w:spacing w:after="20" w:before="20"/>
            </w:pPr>
            <w:r>
              <w:rPr>
                <w:rFonts w:ascii="Courier New" w:cs="Courier New" w:eastAsia="Courier New" w:hAnsi="Courier New"/>
                <w:color w:val="C5D8F5"/>
                <w:sz w:val="18"/>
                <w:szCs w:val="18"/>
              </w:rPr>
              <w:t xml:space="preserve">Evaluate rule {RULE_ID}: {RULE_DESCRIPTION}.</w:t>
            </w:r>
          </w:p>
          <w:p>
            <w:pPr>
              <w:spacing w:after="20" w:before="20"/>
            </w:pPr>
            <w:r>
              <w:rPr>
                <w:rFonts w:ascii="Courier New" w:cs="Courier New" w:eastAsia="Courier New" w:hAnsi="Courier New"/>
                <w:color w:val="C5D8F5"/>
                <w:sz w:val="18"/>
                <w:szCs w:val="18"/>
              </w:rPr>
              <w:t xml:space="preserve">Return findings as JSON array. Empty array if no violation found.</w:t>
            </w:r>
          </w:p>
        </w:tc>
      </w:tr>
    </w:tbl>
    <w:p>
      <w:pPr>
        <w:spacing w:after="0" w:before="120"/>
      </w:pPr>
    </w:p>
    <w:p>
      <w:pPr>
        <w:pStyle w:val="Heading2"/>
        <w:pBdr>
          <w:bottom w:val="single" w:color="2E6DA4" w:sz="6"/>
        </w:pBdr>
        <w:spacing w:after="180" w:before="360"/>
      </w:pPr>
      <w:r>
        <w:rPr>
          <w:rFonts w:ascii="Arial" w:cs="Arial" w:eastAsia="Arial" w:hAnsi="Arial"/>
          <w:b/>
          <w:bCs/>
          <w:color w:val="1E3A5F"/>
          <w:sz w:val="28"/>
          <w:szCs w:val="28"/>
        </w:rPr>
        <w:t xml:space="preserve">6.3  Hallucination Mitigation</w:t>
      </w:r>
    </w:p>
    <w:p>
      <w:pPr>
        <w:pStyle w:val="ListParagraph"/>
        <w:numPr>
          <w:ilvl w:val="0"/>
          <w:numId w:val="2"/>
        </w:numPr>
        <w:spacing w:after="60" w:before="60"/>
      </w:pPr>
      <w:r>
        <w:rPr>
          <w:rFonts w:ascii="Arial" w:cs="Arial" w:eastAsia="Arial" w:hAnsi="Arial"/>
          <w:color w:val="1C1C1C"/>
          <w:sz w:val="22"/>
          <w:szCs w:val="22"/>
        </w:rPr>
        <w:t xml:space="preserve">LLM findings are cross-validated against the deterministic AST evaluator — LLM-only findings with no AST evidence are tagged confidence &lt; 0.5.</w:t>
      </w:r>
    </w:p>
    <w:p>
      <w:pPr>
        <w:pStyle w:val="ListParagraph"/>
        <w:numPr>
          <w:ilvl w:val="0"/>
          <w:numId w:val="2"/>
        </w:numPr>
        <w:spacing w:after="60" w:before="60"/>
      </w:pPr>
      <w:r>
        <w:rPr>
          <w:rFonts w:ascii="Arial" w:cs="Arial" w:eastAsia="Arial" w:hAnsi="Arial"/>
          <w:color w:val="1C1C1C"/>
          <w:sz w:val="22"/>
          <w:szCs w:val="22"/>
        </w:rPr>
        <w:t xml:space="preserve">JSON schema validation is enforced on every LLM response; malformed output triggers a retry (max 2).</w:t>
      </w:r>
    </w:p>
    <w:p>
      <w:pPr>
        <w:pStyle w:val="ListParagraph"/>
        <w:numPr>
          <w:ilvl w:val="0"/>
          <w:numId w:val="2"/>
        </w:numPr>
        <w:spacing w:after="60" w:before="60"/>
      </w:pPr>
      <w:r>
        <w:rPr>
          <w:rFonts w:ascii="Arial" w:cs="Arial" w:eastAsia="Arial" w:hAnsi="Arial"/>
          <w:color w:val="1C1C1C"/>
          <w:sz w:val="22"/>
          <w:szCs w:val="22"/>
        </w:rPr>
        <w:t xml:space="preserve">Line numbers from LLM output are verified against the actual file before inclusion in a Finding.</w:t>
      </w:r>
    </w:p>
    <w:p>
      <w:pPr>
        <w:pStyle w:val="ListParagraph"/>
        <w:numPr>
          <w:ilvl w:val="0"/>
          <w:numId w:val="2"/>
        </w:numPr>
        <w:spacing w:after="60" w:before="60"/>
      </w:pPr>
      <w:r>
        <w:rPr>
          <w:rFonts w:ascii="Arial" w:cs="Arial" w:eastAsia="Arial" w:hAnsi="Arial"/>
          <w:color w:val="1C1C1C"/>
          <w:sz w:val="22"/>
          <w:szCs w:val="22"/>
        </w:rPr>
        <w:t xml:space="preserve">LLM is never used as the sole authority for CRITICAL severity findings.</w:t>
      </w:r>
    </w:p>
    <w:p>
      <w:r>
        <w:br w:type="page"/>
      </w:r>
    </w:p>
    <w:p>
      <w:pPr>
        <w:pStyle w:val="Heading1"/>
        <w:shd w:fill="1E3A5F" w:val="clear"/>
        <w:spacing w:after="240" w:before="480"/>
      </w:pPr>
      <w:r>
        <w:rPr>
          <w:rFonts w:ascii="Arial" w:cs="Arial" w:eastAsia="Arial" w:hAnsi="Arial"/>
          <w:b/>
          <w:bCs/>
          <w:color w:val="FFFFFF"/>
          <w:sz w:val="36"/>
          <w:szCs w:val="36"/>
        </w:rPr>
        <w:t xml:space="preserve">7.  Test Specification</w:t>
      </w:r>
    </w:p>
    <w:p>
      <w:pPr>
        <w:pStyle w:val="Heading2"/>
        <w:pBdr>
          <w:bottom w:val="single" w:color="2E6DA4" w:sz="6"/>
        </w:pBdr>
        <w:spacing w:after="180" w:before="360"/>
      </w:pPr>
      <w:r>
        <w:rPr>
          <w:rFonts w:ascii="Arial" w:cs="Arial" w:eastAsia="Arial" w:hAnsi="Arial"/>
          <w:b/>
          <w:bCs/>
          <w:color w:val="1E3A5F"/>
          <w:sz w:val="28"/>
          <w:szCs w:val="28"/>
        </w:rPr>
        <w:t xml:space="preserve">7.1  Test Pyramid</w:t>
      </w:r>
    </w:p>
    <w:p>
      <w:pPr>
        <w:spacing w:after="80" w:before="80"/>
      </w:pPr>
      <w:r>
        <w:rPr>
          <w:rFonts w:ascii="Arial" w:cs="Arial" w:eastAsia="Arial" w:hAnsi="Arial"/>
          <w:color w:val="1C1C1C"/>
          <w:sz w:val="22"/>
          <w:szCs w:val="22"/>
        </w:rPr>
        <w:t xml:space="preserve">Every level of the test pyramid has a MANDATORY minimum target that gates the CD pipeline.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160"/>
        <w:gridCol w:w="2000"/>
      </w:tblGrid>
      <w:tr>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3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2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Framework</w:t>
            </w:r>
          </w:p>
        </w:tc>
        <w:tc>
          <w:tcPr>
            <w:tcW w:type="dxa" w:w="2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Coverage Gate</w:t>
            </w:r>
          </w:p>
        </w:tc>
      </w:tr>
      <w:tr>
        <w:tc>
          <w:tcPr>
            <w:tcW w:type="dxa" w:w="22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C1C1C"/>
                <w:sz w:val="19"/>
                <w:szCs w:val="19"/>
              </w:rPr>
              <w:t xml:space="preserve">Unit (Rule)</w:t>
            </w:r>
          </w:p>
        </w:tc>
        <w:tc>
          <w:tcPr>
            <w:tcW w:type="dxa" w:w="30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19"/>
                <w:szCs w:val="19"/>
              </w:rPr>
              <w:t xml:space="preserve">Each RuleEvaluator in isolation with synthetic AST fixtures</w:t>
            </w:r>
          </w:p>
        </w:tc>
        <w:tc>
          <w:tcPr>
            <w:tcW w:type="dxa" w:w="21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i/>
                <w:iCs/>
                <w:color w:val="8A96A3"/>
                <w:sz w:val="18"/>
                <w:szCs w:val="18"/>
              </w:rPr>
              <w:t xml:space="preserve">JUnit 5 + AssertJ</w:t>
            </w:r>
          </w:p>
        </w:tc>
        <w:tc>
          <w:tcPr>
            <w:tcW w:type="dxa" w:w="20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A7A4A"/>
                <w:sz w:val="18"/>
                <w:szCs w:val="18"/>
              </w:rPr>
              <w:t xml:space="preserve">100% rule coverage</w:t>
            </w:r>
          </w:p>
        </w:tc>
      </w:tr>
      <w:tr>
        <w:tc>
          <w:tcPr>
            <w:tcW w:type="dxa" w:w="22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19"/>
                <w:szCs w:val="19"/>
              </w:rPr>
              <w:t xml:space="preserve">Integration</w:t>
            </w:r>
          </w:p>
        </w:tc>
        <w:tc>
          <w:tcPr>
            <w:tcW w:type="dxa" w:w="30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9"/>
                <w:szCs w:val="19"/>
              </w:rPr>
              <w:t xml:space="preserve">Full 6-stage pipeline against 10 canonical Java projects</w:t>
            </w:r>
          </w:p>
        </w:tc>
        <w:tc>
          <w:tcPr>
            <w:tcW w:type="dxa" w:w="21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i/>
                <w:iCs/>
                <w:color w:val="8A96A3"/>
                <w:sz w:val="18"/>
                <w:szCs w:val="18"/>
              </w:rPr>
              <w:t xml:space="preserve">Testcontainers + WireMock</w:t>
            </w:r>
          </w:p>
        </w:tc>
        <w:tc>
          <w:tcPr>
            <w:tcW w:type="dxa" w:w="20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A7A4A"/>
                <w:sz w:val="18"/>
                <w:szCs w:val="18"/>
              </w:rPr>
              <w:t xml:space="preserve">≥ 85% line</w:t>
            </w:r>
          </w:p>
        </w:tc>
      </w:tr>
      <w:tr>
        <w:tc>
          <w:tcPr>
            <w:tcW w:type="dxa" w:w="22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C1C1C"/>
                <w:sz w:val="19"/>
                <w:szCs w:val="19"/>
              </w:rPr>
              <w:t xml:space="preserve">Contract</w:t>
            </w:r>
          </w:p>
        </w:tc>
        <w:tc>
          <w:tcPr>
            <w:tcW w:type="dxa" w:w="30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19"/>
                <w:szCs w:val="19"/>
              </w:rPr>
              <w:t xml:space="preserve">FindingReport JSON schema validated against consumer expectations</w:t>
            </w:r>
          </w:p>
        </w:tc>
        <w:tc>
          <w:tcPr>
            <w:tcW w:type="dxa" w:w="21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i/>
                <w:iCs/>
                <w:color w:val="8A96A3"/>
                <w:sz w:val="18"/>
                <w:szCs w:val="18"/>
              </w:rPr>
              <w:t xml:space="preserve">Pact JVM</w:t>
            </w:r>
          </w:p>
        </w:tc>
        <w:tc>
          <w:tcPr>
            <w:tcW w:type="dxa" w:w="20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A7A4A"/>
                <w:sz w:val="18"/>
                <w:szCs w:val="18"/>
              </w:rPr>
              <w:t xml:space="preserve">All contracts green</w:t>
            </w:r>
          </w:p>
        </w:tc>
      </w:tr>
      <w:tr>
        <w:tc>
          <w:tcPr>
            <w:tcW w:type="dxa" w:w="22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19"/>
                <w:szCs w:val="19"/>
              </w:rPr>
              <w:t xml:space="preserve">Acceptance</w:t>
            </w:r>
          </w:p>
        </w:tc>
        <w:tc>
          <w:tcPr>
            <w:tcW w:type="dxa" w:w="30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9"/>
                <w:szCs w:val="19"/>
              </w:rPr>
              <w:t xml:space="preserve">End-to-end on real open-source Spring Boot repos (GitHub API sandbox)</w:t>
            </w:r>
          </w:p>
        </w:tc>
        <w:tc>
          <w:tcPr>
            <w:tcW w:type="dxa" w:w="21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i/>
                <w:iCs/>
                <w:color w:val="8A96A3"/>
                <w:sz w:val="18"/>
                <w:szCs w:val="18"/>
              </w:rPr>
              <w:t xml:space="preserve">JUnit 5 + REST-assured</w:t>
            </w:r>
          </w:p>
        </w:tc>
        <w:tc>
          <w:tcPr>
            <w:tcW w:type="dxa" w:w="20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A7A4A"/>
                <w:sz w:val="18"/>
                <w:szCs w:val="18"/>
              </w:rPr>
              <w:t xml:space="preserve">All P0 rules triggered</w:t>
            </w:r>
          </w:p>
        </w:tc>
      </w:tr>
      <w:tr>
        <w:tc>
          <w:tcPr>
            <w:tcW w:type="dxa" w:w="22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C1C1C"/>
                <w:sz w:val="19"/>
                <w:szCs w:val="19"/>
              </w:rPr>
              <w:t xml:space="preserve">Performance</w:t>
            </w:r>
          </w:p>
        </w:tc>
        <w:tc>
          <w:tcPr>
            <w:tcW w:type="dxa" w:w="30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19"/>
                <w:szCs w:val="19"/>
              </w:rPr>
              <w:t xml:space="preserve">1,000-file repository scanned; P99 &lt; 180 s</w:t>
            </w:r>
          </w:p>
        </w:tc>
        <w:tc>
          <w:tcPr>
            <w:tcW w:type="dxa" w:w="21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i/>
                <w:iCs/>
                <w:color w:val="8A96A3"/>
                <w:sz w:val="18"/>
                <w:szCs w:val="18"/>
              </w:rPr>
              <w:t xml:space="preserve">Gatling</w:t>
            </w:r>
          </w:p>
        </w:tc>
        <w:tc>
          <w:tcPr>
            <w:tcW w:type="dxa" w:w="20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A7A4A"/>
                <w:sz w:val="18"/>
                <w:szCs w:val="18"/>
              </w:rPr>
              <w:t xml:space="preserve">P99 latency gate</w:t>
            </w:r>
          </w:p>
        </w:tc>
      </w:tr>
      <w:tr>
        <w:tc>
          <w:tcPr>
            <w:tcW w:type="dxa" w:w="22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19"/>
                <w:szCs w:val="19"/>
              </w:rPr>
              <w:t xml:space="preserve">Adversarial</w:t>
            </w:r>
          </w:p>
        </w:tc>
        <w:tc>
          <w:tcPr>
            <w:tcW w:type="dxa" w:w="30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9"/>
                <w:szCs w:val="19"/>
              </w:rPr>
              <w:t xml:space="preserve">50 crafted evasion samples per CRIT rule</w:t>
            </w:r>
          </w:p>
        </w:tc>
        <w:tc>
          <w:tcPr>
            <w:tcW w:type="dxa" w:w="21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i/>
                <w:iCs/>
                <w:color w:val="8A96A3"/>
                <w:sz w:val="18"/>
                <w:szCs w:val="18"/>
              </w:rPr>
              <w:t xml:space="preserve">Custom harness</w:t>
            </w:r>
          </w:p>
        </w:tc>
        <w:tc>
          <w:tcPr>
            <w:tcW w:type="dxa" w:w="20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A7A4A"/>
                <w:sz w:val="18"/>
                <w:szCs w:val="18"/>
              </w:rPr>
              <w:t xml:space="preserve">≥ 90% detection rate</w:t>
            </w:r>
          </w:p>
        </w:tc>
      </w:tr>
    </w:tbl>
    <w:p>
      <w:pPr>
        <w:spacing w:after="0" w:before="160"/>
      </w:pPr>
    </w:p>
    <w:p>
      <w:pPr>
        <w:pStyle w:val="Heading2"/>
        <w:pBdr>
          <w:bottom w:val="single" w:color="2E6DA4" w:sz="6"/>
        </w:pBdr>
        <w:spacing w:after="180" w:before="360"/>
      </w:pPr>
      <w:r>
        <w:rPr>
          <w:rFonts w:ascii="Arial" w:cs="Arial" w:eastAsia="Arial" w:hAnsi="Arial"/>
          <w:b/>
          <w:bCs/>
          <w:color w:val="1E3A5F"/>
          <w:sz w:val="28"/>
          <w:szCs w:val="28"/>
        </w:rPr>
        <w:t xml:space="preserve">7.2  Acceptance Test Format</w:t>
      </w:r>
    </w:p>
    <w:p>
      <w:pPr>
        <w:spacing w:after="80" w:before="80"/>
      </w:pPr>
      <w:r>
        <w:rPr>
          <w:rFonts w:ascii="Arial" w:cs="Arial" w:eastAsia="Arial" w:hAnsi="Arial"/>
          <w:color w:val="1C1C1C"/>
          <w:sz w:val="22"/>
          <w:szCs w:val="22"/>
        </w:rPr>
        <w:t xml:space="preserve">Each rule MUST have at least one SHOULD_FIND and one SHOULD_NOT_FIND test case. Test cases are co-located with the rule catalog in tests/rules/&lt;RULE_ID&gt;/. Every test class carries a @RuleContractTest annotation with a Spec Clause ID (SPC-NNN) as mandated by Section 7A.</w:t>
      </w:r>
    </w:p>
    <w:p>
      <w:pPr>
        <w:spacing w:after="80" w:before="80"/>
      </w:pPr>
      <w:r>
        <w:rPr>
          <w:rFonts w:ascii="Arial" w:cs="Arial" w:eastAsia="Arial" w:hAnsi="Arial"/>
          <w:color w:val="1C1C1C"/>
          <w:sz w:val="22"/>
          <w:szCs w:val="22"/>
        </w:rPr>
        <w:t xml:space="preserve">See Section 7A for the full five-step spec-to-test encoding process, pipeline stage contract tests, schema oracle tests, spec drift detection, and the mandatory test-first development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1B2A3B" w:val="clear"/>
            <w:tcMar>
              <w:top w:type="dxa" w:w="160"/>
              <w:left w:type="dxa" w:w="200"/>
              <w:bottom w:type="dxa" w:w="160"/>
              <w:right w:type="dxa" w:w="200"/>
            </w:tcMar>
          </w:tcPr>
          <w:p>
            <w:pPr>
              <w:spacing w:after="20" w:before="20"/>
            </w:pPr>
            <w:r>
              <w:rPr>
                <w:rFonts w:ascii="Courier New" w:cs="Courier New" w:eastAsia="Courier New" w:hAnsi="Courier New"/>
                <w:color w:val="C5D8F5"/>
                <w:sz w:val="18"/>
                <w:szCs w:val="18"/>
              </w:rPr>
              <w:t xml:space="preserve">// Minimum bar — full format in Section 7A</w:t>
            </w:r>
          </w:p>
          <w:p>
            <w:pPr>
              <w:spacing w:after="20" w:before="20"/>
            </w:pPr>
            <w:r>
              <w:rPr>
                <w:rFonts w:ascii="Courier New" w:cs="Courier New" w:eastAsia="Courier New" w:hAnsi="Courier New"/>
                <w:color w:val="C5D8F5"/>
                <w:sz w:val="18"/>
                <w:szCs w:val="18"/>
              </w:rPr>
              <w:t xml:space="preserve">@RuleContractTest(specClause = "SPC-042", ruleId = "SEC-001")</w:t>
            </w:r>
          </w:p>
          <w:p>
            <w:pPr>
              <w:spacing w:after="20" w:before="20"/>
            </w:pPr>
            <w:r>
              <w:rPr>
                <w:rFonts w:ascii="Courier New" w:cs="Courier New" w:eastAsia="Courier New" w:hAnsi="Courier New"/>
                <w:color w:val="C5D8F5"/>
                <w:sz w:val="18"/>
                <w:szCs w:val="18"/>
              </w:rPr>
              <w:t xml:space="preserve">class HardcodedCredentialContractTest {</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@ShouldFind(severity = CRITICAL, minConfidence = 0.90)</w:t>
            </w:r>
          </w:p>
          <w:p>
            <w:pPr>
              <w:spacing w:after="20" w:before="20"/>
            </w:pPr>
            <w:r>
              <w:rPr>
                <w:rFonts w:ascii="Courier New" w:cs="Courier New" w:eastAsia="Courier New" w:hAnsi="Courier New"/>
                <w:color w:val="C5D8F5"/>
                <w:sz w:val="18"/>
                <w:szCs w:val="18"/>
              </w:rPr>
              <w:t xml:space="preserve">    @SpecEvidence("String literal with entropy &gt; 3.5 bits/char")</w:t>
            </w:r>
          </w:p>
          <w:p>
            <w:pPr>
              <w:spacing w:after="20" w:before="20"/>
            </w:pPr>
            <w:r>
              <w:rPr>
                <w:rFonts w:ascii="Courier New" w:cs="Courier New" w:eastAsia="Courier New" w:hAnsi="Courier New"/>
                <w:color w:val="C5D8F5"/>
                <w:sz w:val="18"/>
                <w:szCs w:val="18"/>
              </w:rPr>
              <w:t xml:space="preserve">    static final String INLINE_SECRET =</w:t>
            </w:r>
          </w:p>
          <w:p>
            <w:pPr>
              <w:spacing w:after="20" w:before="20"/>
            </w:pPr>
            <w:r>
              <w:rPr>
                <w:rFonts w:ascii="Courier New" w:cs="Courier New" w:eastAsia="Courier New" w:hAnsi="Courier New"/>
                <w:color w:val="C5D8F5"/>
                <w:sz w:val="18"/>
                <w:szCs w:val="18"/>
              </w:rPr>
              <w:t xml:space="preserve">        "private static final String DB_PASS = \"s3cr3t-prod\";";</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@ShouldNotFind</w:t>
            </w:r>
          </w:p>
          <w:p>
            <w:pPr>
              <w:spacing w:after="20" w:before="20"/>
            </w:pPr>
            <w:r>
              <w:rPr>
                <w:rFonts w:ascii="Courier New" w:cs="Courier New" w:eastAsia="Courier New" w:hAnsi="Courier New"/>
                <w:color w:val="C5D8F5"/>
                <w:sz w:val="18"/>
                <w:szCs w:val="18"/>
              </w:rPr>
              <w:t xml:space="preserve">    @SpecEvidence("@Value injection — correct externalisation pattern")</w:t>
            </w:r>
          </w:p>
          <w:p>
            <w:pPr>
              <w:spacing w:after="20" w:before="20"/>
            </w:pPr>
            <w:r>
              <w:rPr>
                <w:rFonts w:ascii="Courier New" w:cs="Courier New" w:eastAsia="Courier New" w:hAnsi="Courier New"/>
                <w:color w:val="C5D8F5"/>
                <w:sz w:val="18"/>
                <w:szCs w:val="18"/>
              </w:rPr>
              <w:t xml:space="preserve">    static final String SPRING_VALUE =</w:t>
            </w:r>
          </w:p>
          <w:p>
            <w:pPr>
              <w:spacing w:after="20" w:before="20"/>
            </w:pPr>
            <w:r>
              <w:rPr>
                <w:rFonts w:ascii="Courier New" w:cs="Courier New" w:eastAsia="Courier New" w:hAnsi="Courier New"/>
                <w:color w:val="C5D8F5"/>
                <w:sz w:val="18"/>
                <w:szCs w:val="18"/>
              </w:rPr>
              <w:t xml:space="preserve">        "@Value(\"${db.password}\") private String dbPassword;";</w:t>
            </w:r>
          </w:p>
          <w:p>
            <w:pPr>
              <w:spacing w:after="20" w:before="20"/>
            </w:pPr>
            <w:r>
              <w:rPr>
                <w:rFonts w:ascii="Courier New" w:cs="Courier New" w:eastAsia="Courier New" w:hAnsi="Courier New"/>
                <w:color w:val="C5D8F5"/>
                <w:sz w:val="18"/>
                <w:szCs w:val="18"/>
              </w:rPr>
              <w:t xml:space="preserve">}</w:t>
            </w:r>
          </w:p>
        </w:tc>
      </w:tr>
    </w:tbl>
    <w:p>
      <w:r>
        <w:br w:type="page"/>
      </w:r>
    </w:p>
    <w:p>
      <w:pPr>
        <w:pStyle w:val="Heading1"/>
        <w:shd w:fill="1E3A5F" w:val="clear"/>
        <w:spacing w:after="240" w:before="480"/>
      </w:pPr>
      <w:r>
        <w:rPr>
          <w:rFonts w:ascii="Arial" w:cs="Arial" w:eastAsia="Arial" w:hAnsi="Arial"/>
          <w:b/>
          <w:bCs/>
          <w:color w:val="FFFFFF"/>
          <w:sz w:val="36"/>
          <w:szCs w:val="36"/>
        </w:rPr>
        <w:t xml:space="preserve">7A.  Spec-to-Test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D6E4F0" w:val="clear"/>
            <w:tcMar>
              <w:top w:type="dxa" w:w="200"/>
              <w:left w:type="dxa" w:w="280"/>
              <w:bottom w:type="dxa" w:w="200"/>
              <w:right w:type="dxa" w:w="280"/>
            </w:tcMar>
          </w:tcPr>
          <w:p>
            <w:pPr>
              <w:spacing w:after="100" w:before="0"/>
            </w:pPr>
            <w:r>
              <w:rPr>
                <w:rFonts w:ascii="Arial" w:cs="Arial" w:eastAsia="Arial" w:hAnsi="Arial"/>
                <w:i/>
                <w:iCs/>
                <w:color w:val="1E3A5F"/>
                <w:sz w:val="22"/>
                <w:szCs w:val="22"/>
              </w:rPr>
              <w:t xml:space="preserve">"The spec document is the blueprint. The safety net is the test suite that catches the moment your code drifts away from it."</w:t>
            </w:r>
          </w:p>
          <w:p>
            <w:r>
              <w:rPr>
                <w:rFonts w:ascii="Arial" w:cs="Arial" w:eastAsia="Arial" w:hAnsi="Arial"/>
                <w:color w:val="8A96A3"/>
                <w:sz w:val="19"/>
                <w:szCs w:val="19"/>
              </w:rPr>
              <w:t xml:space="preserve">— Julias Shaw, via Martin Fowler's Fragments (March 26, 2026)</w:t>
            </w:r>
          </w:p>
        </w:tc>
      </w:tr>
    </w:tbl>
    <w:p>
      <w:pPr>
        <w:spacing w:after="0" w:before="200"/>
      </w:pPr>
    </w:p>
    <w:p>
      <w:pPr>
        <w:spacing w:after="80" w:before="80"/>
      </w:pPr>
      <w:r>
        <w:rPr>
          <w:rFonts w:ascii="Arial" w:cs="Arial" w:eastAsia="Arial" w:hAnsi="Arial"/>
          <w:color w:val="1C1C1C"/>
          <w:sz w:val="22"/>
          <w:szCs w:val="22"/>
        </w:rPr>
        <w:t xml:space="preserve">The original JMCRA spec (Sections 1–7) defines what the agent must do. This section defines how those specifications are encoded into automated, executable tests so that implementation drift is caught immediately. Every behavioural claim in this document MUST have a corresponding test. A spec clause with no test is considered unimplemented.</w:t>
      </w:r>
    </w:p>
    <w:p>
      <w:pPr>
        <w:pStyle w:val="Heading2"/>
        <w:pBdr>
          <w:bottom w:val="single" w:color="2E6DA4" w:sz="6"/>
        </w:pBdr>
        <w:spacing w:after="180" w:before="360"/>
      </w:pPr>
      <w:r>
        <w:rPr>
          <w:rFonts w:ascii="Arial" w:cs="Arial" w:eastAsia="Arial" w:hAnsi="Arial"/>
          <w:b/>
          <w:bCs/>
          <w:color w:val="1E3A5F"/>
          <w:sz w:val="28"/>
          <w:szCs w:val="28"/>
        </w:rPr>
        <w:t xml:space="preserve">7A.1  The Five-Step Spec-to-Test Checklist</w:t>
      </w:r>
    </w:p>
    <w:p>
      <w:pPr>
        <w:spacing w:after="80" w:before="80"/>
      </w:pPr>
      <w:r>
        <w:rPr>
          <w:rFonts w:ascii="Arial" w:cs="Arial" w:eastAsia="Arial" w:hAnsi="Arial"/>
          <w:color w:val="1C1C1C"/>
          <w:sz w:val="22"/>
          <w:szCs w:val="22"/>
        </w:rPr>
        <w:t xml:space="preserve">Based on the Shaw framework, every specification clause in JMCRA follows these five encoding steps before any implementation work begins on that clause: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760"/>
        <w:gridCol w:w="3200"/>
      </w:tblGrid>
      <w:tr>
        <w:tc>
          <w:tcPr>
            <w:tcW w:type="dxa" w:w="6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Step</w:t>
            </w:r>
          </w:p>
        </w:tc>
        <w:tc>
          <w:tcPr>
            <w:tcW w:type="dxa" w:w="18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Action</w:t>
            </w:r>
          </w:p>
        </w:tc>
        <w:tc>
          <w:tcPr>
            <w:tcW w:type="dxa" w:w="37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What to Produce</w:t>
            </w:r>
          </w:p>
        </w:tc>
        <w:tc>
          <w:tcPr>
            <w:tcW w:type="dxa" w:w="3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JMCRA Application</w:t>
            </w:r>
          </w:p>
        </w:tc>
      </w:tr>
      <w:tr>
        <w:tc>
          <w:tcPr>
            <w:tcW w:type="dxa" w:w="600"/>
            <w:tcBorders>
              <w:top w:val="single" w:color="DDE1E7" w:sz="4"/>
              <w:left w:val="single" w:color="DDE1E7" w:sz="4"/>
              <w:bottom w:val="single" w:color="DDE1E7" w:sz="4"/>
              <w:right w:val="single" w:color="DDE1E7" w:sz="4"/>
            </w:tcBorders>
            <w:shd w:fill="D6E4F0" w:val="clear"/>
            <w:tcMar>
              <w:top w:type="dxa" w:w="90"/>
              <w:left w:type="dxa" w:w="120"/>
              <w:bottom w:type="dxa" w:w="90"/>
              <w:right w:type="dxa" w:w="120"/>
            </w:tcMar>
          </w:tcPr>
          <w:p>
            <w:pPr>
              <w:jc w:val="center"/>
            </w:pPr>
            <w:r>
              <w:rPr>
                <w:rFonts w:ascii="Arial" w:cs="Arial" w:eastAsia="Arial" w:hAnsi="Arial"/>
                <w:b/>
                <w:bCs/>
                <w:color w:val="1E3A5F"/>
                <w:sz w:val="22"/>
                <w:szCs w:val="22"/>
              </w:rPr>
              <w:t xml:space="preserve">1</w:t>
            </w:r>
          </w:p>
        </w:tc>
        <w:tc>
          <w:tcPr>
            <w:tcW w:type="dxa" w:w="18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b/>
                <w:bCs/>
                <w:color w:val="1C1C1C"/>
                <w:sz w:val="19"/>
                <w:szCs w:val="19"/>
              </w:rPr>
              <w:t xml:space="preserve">Extract Claims</w:t>
            </w:r>
          </w:p>
        </w:tc>
        <w:tc>
          <w:tcPr>
            <w:tcW w:type="dxa" w:w="376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sz w:val="19"/>
                <w:szCs w:val="19"/>
              </w:rPr>
              <w:t xml:space="preserve">Pull every testable behavioural sentence from the spec. Mark it with a Spec Clause ID (SPC-NNN).</w:t>
            </w:r>
          </w:p>
        </w:tc>
        <w:tc>
          <w:tcPr>
            <w:tcW w:type="dxa" w:w="32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i/>
                <w:iCs/>
                <w:color w:val="8A96A3"/>
                <w:sz w:val="18"/>
                <w:szCs w:val="18"/>
              </w:rPr>
              <w:t xml:space="preserve">Every rule in the Rule Catalog (Section 5) becomes ≥1 SPC ID. Every pipeline stage contract (Section 4) becomes ≥1 SPC ID.</w:t>
            </w:r>
          </w:p>
        </w:tc>
      </w:tr>
      <w:tr>
        <w:tc>
          <w:tcPr>
            <w:tcW w:type="dxa" w:w="600"/>
            <w:tcBorders>
              <w:top w:val="single" w:color="DDE1E7" w:sz="4"/>
              <w:left w:val="single" w:color="DDE1E7" w:sz="4"/>
              <w:bottom w:val="single" w:color="DDE1E7" w:sz="4"/>
              <w:right w:val="single" w:color="DDE1E7" w:sz="4"/>
            </w:tcBorders>
            <w:shd w:fill="FFFFFF" w:val="clear"/>
            <w:tcMar>
              <w:top w:type="dxa" w:w="90"/>
              <w:left w:type="dxa" w:w="120"/>
              <w:bottom w:type="dxa" w:w="90"/>
              <w:right w:type="dxa" w:w="120"/>
            </w:tcMar>
          </w:tcPr>
          <w:p>
            <w:pPr>
              <w:jc w:val="center"/>
            </w:pPr>
            <w:r>
              <w:rPr>
                <w:rFonts w:ascii="Arial" w:cs="Arial" w:eastAsia="Arial" w:hAnsi="Arial"/>
                <w:b/>
                <w:bCs/>
                <w:color w:val="1E3A5F"/>
                <w:sz w:val="22"/>
                <w:szCs w:val="22"/>
              </w:rPr>
              <w:t xml:space="preserve">2</w:t>
            </w:r>
          </w:p>
        </w:tc>
        <w:tc>
          <w:tcPr>
            <w:tcW w:type="dxa" w:w="18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19"/>
                <w:szCs w:val="19"/>
              </w:rPr>
              <w:t xml:space="preserve">Define the Oracle</w:t>
            </w:r>
          </w:p>
        </w:tc>
        <w:tc>
          <w:tcPr>
            <w:tcW w:type="dxa" w:w="37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9"/>
                <w:szCs w:val="19"/>
              </w:rPr>
              <w:t xml:space="preserve">For each claim, write the precise pass/fail condition before writing any test code.</w:t>
            </w:r>
          </w:p>
        </w:tc>
        <w:tc>
          <w:tcPr>
            <w:tcW w:type="dxa" w:w="32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i/>
                <w:iCs/>
                <w:color w:val="8A96A3"/>
                <w:sz w:val="18"/>
                <w:szCs w:val="18"/>
              </w:rPr>
              <w:t xml:space="preserve">Finding JSON must match FindingSchema v1. Severity must match rule defaultSeverity. Line numbers must be within ±0 of actual source.</w:t>
            </w:r>
          </w:p>
        </w:tc>
      </w:tr>
      <w:tr>
        <w:tc>
          <w:tcPr>
            <w:tcW w:type="dxa" w:w="600"/>
            <w:tcBorders>
              <w:top w:val="single" w:color="DDE1E7" w:sz="4"/>
              <w:left w:val="single" w:color="DDE1E7" w:sz="4"/>
              <w:bottom w:val="single" w:color="DDE1E7" w:sz="4"/>
              <w:right w:val="single" w:color="DDE1E7" w:sz="4"/>
            </w:tcBorders>
            <w:shd w:fill="D6E4F0" w:val="clear"/>
            <w:tcMar>
              <w:top w:type="dxa" w:w="90"/>
              <w:left w:type="dxa" w:w="120"/>
              <w:bottom w:type="dxa" w:w="90"/>
              <w:right w:type="dxa" w:w="120"/>
            </w:tcMar>
          </w:tcPr>
          <w:p>
            <w:pPr>
              <w:jc w:val="center"/>
            </w:pPr>
            <w:r>
              <w:rPr>
                <w:rFonts w:ascii="Arial" w:cs="Arial" w:eastAsia="Arial" w:hAnsi="Arial"/>
                <w:b/>
                <w:bCs/>
                <w:color w:val="1E3A5F"/>
                <w:sz w:val="22"/>
                <w:szCs w:val="22"/>
              </w:rPr>
              <w:t xml:space="preserve">3</w:t>
            </w:r>
          </w:p>
        </w:tc>
        <w:tc>
          <w:tcPr>
            <w:tcW w:type="dxa" w:w="18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b/>
                <w:bCs/>
                <w:color w:val="1C1C1C"/>
                <w:sz w:val="19"/>
                <w:szCs w:val="19"/>
              </w:rPr>
              <w:t xml:space="preserve">Write Failing Tests First</w:t>
            </w:r>
          </w:p>
        </w:tc>
        <w:tc>
          <w:tcPr>
            <w:tcW w:type="dxa" w:w="376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sz w:val="19"/>
                <w:szCs w:val="19"/>
              </w:rPr>
              <w:t xml:space="preserve">Author tests that assert the oracle condition. Run them — they must fail on a blank implementation.</w:t>
            </w:r>
          </w:p>
        </w:tc>
        <w:tc>
          <w:tcPr>
            <w:tcW w:type="dxa" w:w="32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i/>
                <w:iCs/>
                <w:color w:val="8A96A3"/>
                <w:sz w:val="18"/>
                <w:szCs w:val="18"/>
              </w:rPr>
              <w:t xml:space="preserve">All @RuleAcceptanceTest and @PipelineContractTest classes committed before the RuleEvaluator implementation begins.</w:t>
            </w:r>
          </w:p>
        </w:tc>
      </w:tr>
      <w:tr>
        <w:tc>
          <w:tcPr>
            <w:tcW w:type="dxa" w:w="600"/>
            <w:tcBorders>
              <w:top w:val="single" w:color="DDE1E7" w:sz="4"/>
              <w:left w:val="single" w:color="DDE1E7" w:sz="4"/>
              <w:bottom w:val="single" w:color="DDE1E7" w:sz="4"/>
              <w:right w:val="single" w:color="DDE1E7" w:sz="4"/>
            </w:tcBorders>
            <w:shd w:fill="FFFFFF" w:val="clear"/>
            <w:tcMar>
              <w:top w:type="dxa" w:w="90"/>
              <w:left w:type="dxa" w:w="120"/>
              <w:bottom w:type="dxa" w:w="90"/>
              <w:right w:type="dxa" w:w="120"/>
            </w:tcMar>
          </w:tcPr>
          <w:p>
            <w:pPr>
              <w:jc w:val="center"/>
            </w:pPr>
            <w:r>
              <w:rPr>
                <w:rFonts w:ascii="Arial" w:cs="Arial" w:eastAsia="Arial" w:hAnsi="Arial"/>
                <w:b/>
                <w:bCs/>
                <w:color w:val="1E3A5F"/>
                <w:sz w:val="22"/>
                <w:szCs w:val="22"/>
              </w:rPr>
              <w:t xml:space="preserve">4</w:t>
            </w:r>
          </w:p>
        </w:tc>
        <w:tc>
          <w:tcPr>
            <w:tcW w:type="dxa" w:w="18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19"/>
                <w:szCs w:val="19"/>
              </w:rPr>
              <w:t xml:space="preserve">Encode in CI Gate</w:t>
            </w:r>
          </w:p>
        </w:tc>
        <w:tc>
          <w:tcPr>
            <w:tcW w:type="dxa" w:w="37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9"/>
                <w:szCs w:val="19"/>
              </w:rPr>
              <w:t xml:space="preserve">Tests must run on every commit and block merge if any fail. Not optional, not advisory.</w:t>
            </w:r>
          </w:p>
        </w:tc>
        <w:tc>
          <w:tcPr>
            <w:tcW w:type="dxa" w:w="32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i/>
                <w:iCs/>
                <w:color w:val="8A96A3"/>
                <w:sz w:val="18"/>
                <w:szCs w:val="18"/>
              </w:rPr>
              <w:t xml:space="preserve">GitHub Actions job jmcra-spec-gate is required-status-check on all branches. Merge blocked if any SPC test fails.</w:t>
            </w:r>
          </w:p>
        </w:tc>
      </w:tr>
      <w:tr>
        <w:tc>
          <w:tcPr>
            <w:tcW w:type="dxa" w:w="600"/>
            <w:tcBorders>
              <w:top w:val="single" w:color="DDE1E7" w:sz="4"/>
              <w:left w:val="single" w:color="DDE1E7" w:sz="4"/>
              <w:bottom w:val="single" w:color="DDE1E7" w:sz="4"/>
              <w:right w:val="single" w:color="DDE1E7" w:sz="4"/>
            </w:tcBorders>
            <w:shd w:fill="D6E4F0" w:val="clear"/>
            <w:tcMar>
              <w:top w:type="dxa" w:w="90"/>
              <w:left w:type="dxa" w:w="120"/>
              <w:bottom w:type="dxa" w:w="90"/>
              <w:right w:type="dxa" w:w="120"/>
            </w:tcMar>
          </w:tcPr>
          <w:p>
            <w:pPr>
              <w:jc w:val="center"/>
            </w:pPr>
            <w:r>
              <w:rPr>
                <w:rFonts w:ascii="Arial" w:cs="Arial" w:eastAsia="Arial" w:hAnsi="Arial"/>
                <w:b/>
                <w:bCs/>
                <w:color w:val="1E3A5F"/>
                <w:sz w:val="22"/>
                <w:szCs w:val="22"/>
              </w:rPr>
              <w:t xml:space="preserve">5</w:t>
            </w:r>
          </w:p>
        </w:tc>
        <w:tc>
          <w:tcPr>
            <w:tcW w:type="dxa" w:w="18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b/>
                <w:bCs/>
                <w:color w:val="1C1C1C"/>
                <w:sz w:val="19"/>
                <w:szCs w:val="19"/>
              </w:rPr>
              <w:t xml:space="preserve">Trace Spec to Test</w:t>
            </w:r>
          </w:p>
        </w:tc>
        <w:tc>
          <w:tcPr>
            <w:tcW w:type="dxa" w:w="376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sz w:val="19"/>
                <w:szCs w:val="19"/>
              </w:rPr>
              <w:t xml:space="preserve">Maintain a living traceability matrix mapping each SPC ID to its test class and method.</w:t>
            </w:r>
          </w:p>
        </w:tc>
        <w:tc>
          <w:tcPr>
            <w:tcW w:type="dxa" w:w="3200"/>
            <w:tcBorders>
              <w:top w:val="single" w:color="DDE1E7" w:sz="4"/>
              <w:left w:val="single" w:color="DDE1E7" w:sz="4"/>
              <w:bottom w:val="single" w:color="DDE1E7" w:sz="4"/>
              <w:right w:val="single" w:color="DDE1E7" w:sz="4"/>
            </w:tcBorders>
            <w:shd w:fill="D6E4F0" w:val="clear"/>
            <w:tcMar>
              <w:top w:type="dxa" w:w="90"/>
              <w:left w:type="dxa" w:w="140"/>
              <w:bottom w:type="dxa" w:w="90"/>
              <w:right w:type="dxa" w:w="140"/>
            </w:tcMar>
          </w:tcPr>
          <w:p>
            <w:r>
              <w:rPr>
                <w:rFonts w:ascii="Arial" w:cs="Arial" w:eastAsia="Arial" w:hAnsi="Arial"/>
                <w:i/>
                <w:iCs/>
                <w:color w:val="8A96A3"/>
                <w:sz w:val="18"/>
                <w:szCs w:val="18"/>
              </w:rPr>
              <w:t xml:space="preserve">File: docs/traceability-matrix.csv updated by automated script on every test run. Untested SPC IDs fail the build.</w:t>
            </w:r>
          </w:p>
        </w:tc>
      </w:tr>
    </w:tbl>
    <w:p>
      <w:pPr>
        <w:spacing w:after="0" w:before="200"/>
      </w:pPr>
    </w:p>
    <w:p>
      <w:pPr>
        <w:pStyle w:val="Heading2"/>
        <w:pBdr>
          <w:bottom w:val="single" w:color="2E6DA4" w:sz="6"/>
        </w:pBdr>
        <w:spacing w:after="180" w:before="360"/>
      </w:pPr>
      <w:r>
        <w:rPr>
          <w:rFonts w:ascii="Arial" w:cs="Arial" w:eastAsia="Arial" w:hAnsi="Arial"/>
          <w:b/>
          <w:bCs/>
          <w:color w:val="1E3A5F"/>
          <w:sz w:val="28"/>
          <w:szCs w:val="28"/>
        </w:rPr>
        <w:t xml:space="preserve">7A.2  Executable Rule Contract Tests</w:t>
      </w:r>
    </w:p>
    <w:p>
      <w:pPr>
        <w:spacing w:after="80" w:before="80"/>
      </w:pPr>
      <w:r>
        <w:rPr>
          <w:rFonts w:ascii="Arial" w:cs="Arial" w:eastAsia="Arial" w:hAnsi="Arial"/>
          <w:color w:val="1C1C1C"/>
          <w:sz w:val="22"/>
          <w:szCs w:val="22"/>
        </w:rPr>
        <w:t xml:space="preserve">Each rule gets a self-contained contract test class. The contract is the source of truth. If the test passes but behaviour seems wrong, the test is updated via a formal spec-change PR — never the other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1B2A3B" w:val="clear"/>
            <w:tcMar>
              <w:top w:type="dxa" w:w="160"/>
              <w:left w:type="dxa" w:w="200"/>
              <w:bottom w:type="dxa" w:w="160"/>
              <w:right w:type="dxa" w:w="200"/>
            </w:tcMar>
          </w:tcPr>
          <w:p>
            <w:pPr>
              <w:spacing w:after="20" w:before="20"/>
            </w:pPr>
            <w:r>
              <w:rPr>
                <w:rFonts w:ascii="Courier New" w:cs="Courier New" w:eastAsia="Courier New" w:hAnsi="Courier New"/>
                <w:color w:val="C5D8F5"/>
                <w:sz w:val="18"/>
                <w:szCs w:val="18"/>
              </w:rPr>
              <w:t xml:space="preserve">/**</w:t>
            </w:r>
          </w:p>
          <w:p>
            <w:pPr>
              <w:spacing w:after="20" w:before="20"/>
            </w:pPr>
            <w:r>
              <w:rPr>
                <w:rFonts w:ascii="Courier New" w:cs="Courier New" w:eastAsia="Courier New" w:hAnsi="Courier New"/>
                <w:color w:val="C5D8F5"/>
                <w:sz w:val="18"/>
                <w:szCs w:val="18"/>
              </w:rPr>
              <w:t xml:space="preserve"> * Spec Clause: SPC-042</w:t>
            </w:r>
          </w:p>
          <w:p>
            <w:pPr>
              <w:spacing w:after="20" w:before="20"/>
            </w:pPr>
            <w:r>
              <w:rPr>
                <w:rFonts w:ascii="Courier New" w:cs="Courier New" w:eastAsia="Courier New" w:hAnsi="Courier New"/>
                <w:color w:val="C5D8F5"/>
                <w:sz w:val="18"/>
                <w:szCs w:val="18"/>
              </w:rPr>
              <w:t xml:space="preserve"> * Rule: SEC-001 — Hardcoded credential or API key literal</w:t>
            </w:r>
          </w:p>
          <w:p>
            <w:pPr>
              <w:spacing w:after="20" w:before="20"/>
            </w:pPr>
            <w:r>
              <w:rPr>
                <w:rFonts w:ascii="Courier New" w:cs="Courier New" w:eastAsia="Courier New" w:hAnsi="Courier New"/>
                <w:color w:val="C5D8F5"/>
                <w:sz w:val="18"/>
                <w:szCs w:val="18"/>
              </w:rPr>
              <w:t xml:space="preserve"> * Spec source: Section 5, Rule Catalog row 1</w:t>
            </w:r>
          </w:p>
          <w:p>
            <w:pPr>
              <w:spacing w:after="20" w:before="20"/>
            </w:pPr>
            <w:r>
              <w:rPr>
                <w:rFonts w:ascii="Courier New" w:cs="Courier New" w:eastAsia="Courier New" w:hAnsi="Courier New"/>
                <w:color w:val="C5D8F5"/>
                <w:sz w:val="18"/>
                <w:szCs w:val="18"/>
              </w:rPr>
              <w:t xml:space="preserve"> * Oracle: Finding produced with severity=CRITICAL, confidence≥0.90,</w:t>
            </w:r>
          </w:p>
          <w:p>
            <w:pPr>
              <w:spacing w:after="20" w:before="20"/>
            </w:pPr>
            <w:r>
              <w:rPr>
                <w:rFonts w:ascii="Courier New" w:cs="Courier New" w:eastAsia="Courier New" w:hAnsi="Courier New"/>
                <w:color w:val="C5D8F5"/>
                <w:sz w:val="18"/>
                <w:szCs w:val="18"/>
              </w:rPr>
              <w:t xml:space="preserve"> *          file path and line number matching source exactly.</w:t>
            </w:r>
          </w:p>
          <w:p>
            <w:pPr>
              <w:spacing w:after="20" w:before="20"/>
            </w:pPr>
            <w:r>
              <w:rPr>
                <w:rFonts w:ascii="Courier New" w:cs="Courier New" w:eastAsia="Courier New" w:hAnsi="Courier New"/>
                <w:color w:val="C5D8F5"/>
                <w:sz w:val="18"/>
                <w:szCs w:val="18"/>
              </w:rPr>
              <w:t xml:space="preserve"> */</w:t>
            </w:r>
          </w:p>
          <w:p>
            <w:pPr>
              <w:spacing w:after="20" w:before="20"/>
            </w:pPr>
            <w:r>
              <w:rPr>
                <w:rFonts w:ascii="Courier New" w:cs="Courier New" w:eastAsia="Courier New" w:hAnsi="Courier New"/>
                <w:color w:val="C5D8F5"/>
                <w:sz w:val="18"/>
                <w:szCs w:val="18"/>
              </w:rPr>
              <w:t xml:space="preserve">@RuleContractTest(specClause = "SPC-042", ruleId = "SEC-001")</w:t>
            </w:r>
          </w:p>
          <w:p>
            <w:pPr>
              <w:spacing w:after="20" w:before="20"/>
            </w:pPr>
            <w:r>
              <w:rPr>
                <w:rFonts w:ascii="Courier New" w:cs="Courier New" w:eastAsia="Courier New" w:hAnsi="Courier New"/>
                <w:color w:val="C5D8F5"/>
                <w:sz w:val="18"/>
                <w:szCs w:val="18"/>
              </w:rPr>
              <w:t xml:space="preserve">class HardcodedCredentialContractTest {</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 ── POSITIVE FIXTURES (MUST produce finding) ──────────────────</w:t>
            </w:r>
          </w:p>
          <w:p>
            <w:pPr>
              <w:spacing w:after="20" w:before="20"/>
            </w:pPr>
            <w:r>
              <w:rPr>
                <w:rFonts w:ascii="Courier New" w:cs="Courier New" w:eastAsia="Courier New" w:hAnsi="Courier New"/>
                <w:color w:val="C5D8F5"/>
                <w:sz w:val="18"/>
                <w:szCs w:val="18"/>
              </w:rPr>
              <w:t xml:space="preserve">    @ShouldFind(severity = CRITICAL, minConfidence = 0.90)</w:t>
            </w:r>
          </w:p>
          <w:p>
            <w:pPr>
              <w:spacing w:after="20" w:before="20"/>
            </w:pPr>
            <w:r>
              <w:rPr>
                <w:rFonts w:ascii="Courier New" w:cs="Courier New" w:eastAsia="Courier New" w:hAnsi="Courier New"/>
                <w:color w:val="C5D8F5"/>
                <w:sz w:val="18"/>
                <w:szCs w:val="18"/>
              </w:rPr>
              <w:t xml:space="preserve">    @SpecEvidence("String literal with entropy &gt; 3.5 bits/char")</w:t>
            </w:r>
          </w:p>
          <w:p>
            <w:pPr>
              <w:spacing w:after="20" w:before="20"/>
            </w:pPr>
            <w:r>
              <w:rPr>
                <w:rFonts w:ascii="Courier New" w:cs="Courier New" w:eastAsia="Courier New" w:hAnsi="Courier New"/>
                <w:color w:val="C5D8F5"/>
                <w:sz w:val="18"/>
                <w:szCs w:val="18"/>
              </w:rPr>
              <w:t xml:space="preserve">    static final String INLINE_SECRET =</w:t>
            </w:r>
          </w:p>
          <w:p>
            <w:pPr>
              <w:spacing w:after="20" w:before="20"/>
            </w:pPr>
            <w:r>
              <w:rPr>
                <w:rFonts w:ascii="Courier New" w:cs="Courier New" w:eastAsia="Courier New" w:hAnsi="Courier New"/>
                <w:color w:val="C5D8F5"/>
                <w:sz w:val="18"/>
                <w:szCs w:val="18"/>
              </w:rPr>
              <w:t xml:space="preserve">        "private static final String API_KEY = \"sk-prod-x9f2mZ\";";</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@ShouldFind(severity = CRITICAL, minConfidence = 0.90)</w:t>
            </w:r>
          </w:p>
          <w:p>
            <w:pPr>
              <w:spacing w:after="20" w:before="20"/>
            </w:pPr>
            <w:r>
              <w:rPr>
                <w:rFonts w:ascii="Courier New" w:cs="Courier New" w:eastAsia="Courier New" w:hAnsi="Courier New"/>
                <w:color w:val="C5D8F5"/>
                <w:sz w:val="18"/>
                <w:szCs w:val="18"/>
              </w:rPr>
              <w:t xml:space="preserve">    @SpecEvidence("Password literal in constructor arg")</w:t>
            </w:r>
          </w:p>
          <w:p>
            <w:pPr>
              <w:spacing w:after="20" w:before="20"/>
            </w:pPr>
            <w:r>
              <w:rPr>
                <w:rFonts w:ascii="Courier New" w:cs="Courier New" w:eastAsia="Courier New" w:hAnsi="Courier New"/>
                <w:color w:val="C5D8F5"/>
                <w:sz w:val="18"/>
                <w:szCs w:val="18"/>
              </w:rPr>
              <w:t xml:space="preserve">    static final String CTOR_PASSWORD =</w:t>
            </w:r>
          </w:p>
          <w:p>
            <w:pPr>
              <w:spacing w:after="20" w:before="20"/>
            </w:pPr>
            <w:r>
              <w:rPr>
                <w:rFonts w:ascii="Courier New" w:cs="Courier New" w:eastAsia="Courier New" w:hAnsi="Courier New"/>
                <w:color w:val="C5D8F5"/>
                <w:sz w:val="18"/>
                <w:szCs w:val="18"/>
              </w:rPr>
              <w:t xml:space="preserve">        "new DataSource(\"jdbc:mysql://host/db\", \"admin\", \"hunter2\");";</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@ShouldFind(severity = CRITICAL, minConfidence = 0.85)</w:t>
            </w:r>
          </w:p>
          <w:p>
            <w:pPr>
              <w:spacing w:after="20" w:before="20"/>
            </w:pPr>
            <w:r>
              <w:rPr>
                <w:rFonts w:ascii="Courier New" w:cs="Courier New" w:eastAsia="Courier New" w:hAnsi="Courier New"/>
                <w:color w:val="C5D8F5"/>
                <w:sz w:val="18"/>
                <w:szCs w:val="18"/>
              </w:rPr>
              <w:t xml:space="preserve">    @SpecEvidence("Base64-encoded credential pattern")</w:t>
            </w:r>
          </w:p>
          <w:p>
            <w:pPr>
              <w:spacing w:after="20" w:before="20"/>
            </w:pPr>
            <w:r>
              <w:rPr>
                <w:rFonts w:ascii="Courier New" w:cs="Courier New" w:eastAsia="Courier New" w:hAnsi="Courier New"/>
                <w:color w:val="C5D8F5"/>
                <w:sz w:val="18"/>
                <w:szCs w:val="18"/>
              </w:rPr>
              <w:t xml:space="preserve">    static final String BASE64_SECRET =</w:t>
            </w:r>
          </w:p>
          <w:p>
            <w:pPr>
              <w:spacing w:after="20" w:before="20"/>
            </w:pPr>
            <w:r>
              <w:rPr>
                <w:rFonts w:ascii="Courier New" w:cs="Courier New" w:eastAsia="Courier New" w:hAnsi="Courier New"/>
                <w:color w:val="C5D8F5"/>
                <w:sz w:val="18"/>
                <w:szCs w:val="18"/>
              </w:rPr>
              <w:t xml:space="preserve">        "String token = \"QWxhZGRpbjpvcGVuIHNlc2FtZQ==\";";</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 ── NEGATIVE FIXTURES (MUST NOT produce finding) ───────────────</w:t>
            </w:r>
          </w:p>
          <w:p>
            <w:pPr>
              <w:spacing w:after="20" w:before="20"/>
            </w:pPr>
            <w:r>
              <w:rPr>
                <w:rFonts w:ascii="Courier New" w:cs="Courier New" w:eastAsia="Courier New" w:hAnsi="Courier New"/>
                <w:color w:val="C5D8F5"/>
                <w:sz w:val="18"/>
                <w:szCs w:val="18"/>
              </w:rPr>
              <w:t xml:space="preserve">    @ShouldNotFind</w:t>
            </w:r>
          </w:p>
          <w:p>
            <w:pPr>
              <w:spacing w:after="20" w:before="20"/>
            </w:pPr>
            <w:r>
              <w:rPr>
                <w:rFonts w:ascii="Courier New" w:cs="Courier New" w:eastAsia="Courier New" w:hAnsi="Courier New"/>
                <w:color w:val="C5D8F5"/>
                <w:sz w:val="18"/>
                <w:szCs w:val="18"/>
              </w:rPr>
              <w:t xml:space="preserve">    @SpecEvidence("@Value injection — correct externalisation pattern")</w:t>
            </w:r>
          </w:p>
          <w:p>
            <w:pPr>
              <w:spacing w:after="20" w:before="20"/>
            </w:pPr>
            <w:r>
              <w:rPr>
                <w:rFonts w:ascii="Courier New" w:cs="Courier New" w:eastAsia="Courier New" w:hAnsi="Courier New"/>
                <w:color w:val="C5D8F5"/>
                <w:sz w:val="18"/>
                <w:szCs w:val="18"/>
              </w:rPr>
              <w:t xml:space="preserve">    static final String SPRING_VALUE =</w:t>
            </w:r>
          </w:p>
          <w:p>
            <w:pPr>
              <w:spacing w:after="20" w:before="20"/>
            </w:pPr>
            <w:r>
              <w:rPr>
                <w:rFonts w:ascii="Courier New" w:cs="Courier New" w:eastAsia="Courier New" w:hAnsi="Courier New"/>
                <w:color w:val="C5D8F5"/>
                <w:sz w:val="18"/>
                <w:szCs w:val="18"/>
              </w:rPr>
              <w:t xml:space="preserve">        "@Value(\"${api.key}\") private String apiKey;";</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@ShouldNotFind</w:t>
            </w:r>
          </w:p>
          <w:p>
            <w:pPr>
              <w:spacing w:after="20" w:before="20"/>
            </w:pPr>
            <w:r>
              <w:rPr>
                <w:rFonts w:ascii="Courier New" w:cs="Courier New" w:eastAsia="Courier New" w:hAnsi="Courier New"/>
                <w:color w:val="C5D8F5"/>
                <w:sz w:val="18"/>
                <w:szCs w:val="18"/>
              </w:rPr>
              <w:t xml:space="preserve">    @SpecEvidence("Placeholder string — not an actual secret")</w:t>
            </w:r>
          </w:p>
          <w:p>
            <w:pPr>
              <w:spacing w:after="20" w:before="20"/>
            </w:pPr>
            <w:r>
              <w:rPr>
                <w:rFonts w:ascii="Courier New" w:cs="Courier New" w:eastAsia="Courier New" w:hAnsi="Courier New"/>
                <w:color w:val="C5D8F5"/>
                <w:sz w:val="18"/>
                <w:szCs w:val="18"/>
              </w:rPr>
              <w:t xml:space="preserve">    static final String PLACEHOLDER =</w:t>
            </w:r>
          </w:p>
          <w:p>
            <w:pPr>
              <w:spacing w:after="20" w:before="20"/>
            </w:pPr>
            <w:r>
              <w:rPr>
                <w:rFonts w:ascii="Courier New" w:cs="Courier New" w:eastAsia="Courier New" w:hAnsi="Courier New"/>
                <w:color w:val="C5D8F5"/>
                <w:sz w:val="18"/>
                <w:szCs w:val="18"/>
              </w:rPr>
              <w:t xml:space="preserve">        "String key = \"&lt;INSERT_API_KEY_HERE&gt;\";";</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@ShouldNotFind</w:t>
            </w:r>
          </w:p>
          <w:p>
            <w:pPr>
              <w:spacing w:after="20" w:before="20"/>
            </w:pPr>
            <w:r>
              <w:rPr>
                <w:rFonts w:ascii="Courier New" w:cs="Courier New" w:eastAsia="Courier New" w:hAnsi="Courier New"/>
                <w:color w:val="C5D8F5"/>
                <w:sz w:val="18"/>
                <w:szCs w:val="18"/>
              </w:rPr>
              <w:t xml:space="preserve">    @SpecEvidence("Test-scope mock value — low entropy")</w:t>
            </w:r>
          </w:p>
          <w:p>
            <w:pPr>
              <w:spacing w:after="20" w:before="20"/>
            </w:pPr>
            <w:r>
              <w:rPr>
                <w:rFonts w:ascii="Courier New" w:cs="Courier New" w:eastAsia="Courier New" w:hAnsi="Courier New"/>
                <w:color w:val="C5D8F5"/>
                <w:sz w:val="18"/>
                <w:szCs w:val="18"/>
              </w:rPr>
              <w:t xml:space="preserve">    static final String TEST_VALUE =</w:t>
            </w:r>
          </w:p>
          <w:p>
            <w:pPr>
              <w:spacing w:after="20" w:before="20"/>
            </w:pPr>
            <w:r>
              <w:rPr>
                <w:rFonts w:ascii="Courier New" w:cs="Courier New" w:eastAsia="Courier New" w:hAnsi="Courier New"/>
                <w:color w:val="C5D8F5"/>
                <w:sz w:val="18"/>
                <w:szCs w:val="18"/>
              </w:rPr>
              <w:t xml:space="preserve">        "String mockKey = \"test-key-123\";";</w:t>
            </w:r>
          </w:p>
          <w:p>
            <w:pPr>
              <w:spacing w:after="20" w:before="20"/>
            </w:pPr>
            <w:r>
              <w:rPr>
                <w:rFonts w:ascii="Courier New" w:cs="Courier New" w:eastAsia="Courier New" w:hAnsi="Courier New"/>
                <w:color w:val="C5D8F5"/>
                <w:sz w:val="18"/>
                <w:szCs w:val="18"/>
              </w:rPr>
              <w:t xml:space="preserve">}</w:t>
            </w:r>
          </w:p>
        </w:tc>
      </w:tr>
    </w:tbl>
    <w:p>
      <w:pPr>
        <w:spacing w:after="0" w:before="200"/>
      </w:pPr>
    </w:p>
    <w:p>
      <w:pPr>
        <w:pStyle w:val="Heading2"/>
        <w:pBdr>
          <w:bottom w:val="single" w:color="2E6DA4" w:sz="6"/>
        </w:pBdr>
        <w:spacing w:after="180" w:before="360"/>
      </w:pPr>
      <w:r>
        <w:rPr>
          <w:rFonts w:ascii="Arial" w:cs="Arial" w:eastAsia="Arial" w:hAnsi="Arial"/>
          <w:b/>
          <w:bCs/>
          <w:color w:val="1E3A5F"/>
          <w:sz w:val="28"/>
          <w:szCs w:val="28"/>
        </w:rPr>
        <w:t xml:space="preserve">7A.3  Pipeline Stage Contract Tests</w:t>
      </w:r>
    </w:p>
    <w:p>
      <w:pPr>
        <w:spacing w:after="80" w:before="80"/>
      </w:pPr>
      <w:r>
        <w:rPr>
          <w:rFonts w:ascii="Arial" w:cs="Arial" w:eastAsia="Arial" w:hAnsi="Arial"/>
          <w:color w:val="1C1C1C"/>
          <w:sz w:val="22"/>
          <w:szCs w:val="22"/>
        </w:rPr>
        <w:t xml:space="preserve">Each of the six pipeline stages (Section 4) has a contract test that validates its input/output boundary. These are integration-level tests using synthetic ScanRequest fixtures.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1B2A3B" w:val="clear"/>
            <w:tcMar>
              <w:top w:type="dxa" w:w="160"/>
              <w:left w:type="dxa" w:w="200"/>
              <w:bottom w:type="dxa" w:w="160"/>
              <w:right w:type="dxa" w:w="200"/>
            </w:tcMar>
          </w:tcPr>
          <w:p>
            <w:pPr>
              <w:spacing w:after="20" w:before="20"/>
            </w:pPr>
            <w:r>
              <w:rPr>
                <w:rFonts w:ascii="Courier New" w:cs="Courier New" w:eastAsia="Courier New" w:hAnsi="Courier New"/>
                <w:color w:val="C5D8F5"/>
                <w:sz w:val="18"/>
                <w:szCs w:val="18"/>
              </w:rPr>
              <w:t xml:space="preserve">/**</w:t>
            </w:r>
          </w:p>
          <w:p>
            <w:pPr>
              <w:spacing w:after="20" w:before="20"/>
            </w:pPr>
            <w:r>
              <w:rPr>
                <w:rFonts w:ascii="Courier New" w:cs="Courier New" w:eastAsia="Courier New" w:hAnsi="Courier New"/>
                <w:color w:val="C5D8F5"/>
                <w:sz w:val="18"/>
                <w:szCs w:val="18"/>
              </w:rPr>
              <w:t xml:space="preserve"> * Spec Clause: SPC-007</w:t>
            </w:r>
          </w:p>
          <w:p>
            <w:pPr>
              <w:spacing w:after="20" w:before="20"/>
            </w:pPr>
            <w:r>
              <w:rPr>
                <w:rFonts w:ascii="Courier New" w:cs="Courier New" w:eastAsia="Courier New" w:hAnsi="Courier New"/>
                <w:color w:val="C5D8F5"/>
                <w:sz w:val="18"/>
                <w:szCs w:val="18"/>
              </w:rPr>
              <w:t xml:space="preserve"> * Stage: 1 — Ingest</w:t>
            </w:r>
          </w:p>
          <w:p>
            <w:pPr>
              <w:spacing w:after="20" w:before="20"/>
            </w:pPr>
            <w:r>
              <w:rPr>
                <w:rFonts w:ascii="Courier New" w:cs="Courier New" w:eastAsia="Courier New" w:hAnsi="Courier New"/>
                <w:color w:val="C5D8F5"/>
                <w:sz w:val="18"/>
                <w:szCs w:val="18"/>
              </w:rPr>
              <w:t xml:space="preserve"> * Oracle: HMAC-invalid webhooks rejected with 401.</w:t>
            </w:r>
          </w:p>
          <w:p>
            <w:pPr>
              <w:spacing w:after="20" w:before="20"/>
            </w:pPr>
            <w:r>
              <w:rPr>
                <w:rFonts w:ascii="Courier New" w:cs="Courier New" w:eastAsia="Courier New" w:hAnsi="Courier New"/>
                <w:color w:val="C5D8F5"/>
                <w:sz w:val="18"/>
                <w:szCs w:val="18"/>
              </w:rPr>
              <w:t xml:space="preserve"> *          Valid webhook produces ScanRequest with SHA, branch, delta file list.</w:t>
            </w:r>
          </w:p>
          <w:p>
            <w:pPr>
              <w:spacing w:after="20" w:before="20"/>
            </w:pPr>
            <w:r>
              <w:rPr>
                <w:rFonts w:ascii="Courier New" w:cs="Courier New" w:eastAsia="Courier New" w:hAnsi="Courier New"/>
                <w:color w:val="C5D8F5"/>
                <w:sz w:val="18"/>
                <w:szCs w:val="18"/>
              </w:rPr>
              <w:t xml:space="preserve"> */</w:t>
            </w:r>
          </w:p>
          <w:p>
            <w:pPr>
              <w:spacing w:after="20" w:before="20"/>
            </w:pPr>
            <w:r>
              <w:rPr>
                <w:rFonts w:ascii="Courier New" w:cs="Courier New" w:eastAsia="Courier New" w:hAnsi="Courier New"/>
                <w:color w:val="C5D8F5"/>
                <w:sz w:val="18"/>
                <w:szCs w:val="18"/>
              </w:rPr>
              <w:t xml:space="preserve">@PipelineContractTest(specClause = "SPC-007", stage = Stage.INGEST)</w:t>
            </w:r>
          </w:p>
          <w:p>
            <w:pPr>
              <w:spacing w:after="20" w:before="20"/>
            </w:pPr>
            <w:r>
              <w:rPr>
                <w:rFonts w:ascii="Courier New" w:cs="Courier New" w:eastAsia="Courier New" w:hAnsi="Courier New"/>
                <w:color w:val="C5D8F5"/>
                <w:sz w:val="18"/>
                <w:szCs w:val="18"/>
              </w:rPr>
              <w:t xml:space="preserve">class IngestStageContractTest {</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@Test @SpecOracle("HMAC validation — invalid signature → 401")</w:t>
            </w:r>
          </w:p>
          <w:p>
            <w:pPr>
              <w:spacing w:after="20" w:before="20"/>
            </w:pPr>
            <w:r>
              <w:rPr>
                <w:rFonts w:ascii="Courier New" w:cs="Courier New" w:eastAsia="Courier New" w:hAnsi="Courier New"/>
                <w:color w:val="C5D8F5"/>
                <w:sz w:val="18"/>
                <w:szCs w:val="18"/>
              </w:rPr>
              <w:t xml:space="preserve">    void rejectsInvalidHmacSignature() {</w:t>
            </w:r>
          </w:p>
          <w:p>
            <w:pPr>
              <w:spacing w:after="20" w:before="20"/>
            </w:pPr>
            <w:r>
              <w:rPr>
                <w:rFonts w:ascii="Courier New" w:cs="Courier New" w:eastAsia="Courier New" w:hAnsi="Courier New"/>
                <w:color w:val="C5D8F5"/>
                <w:sz w:val="18"/>
                <w:szCs w:val="18"/>
              </w:rPr>
              <w:t xml:space="preserve">        var response = ingestService.handle(webhookWith(invalidHmac()));</w:t>
            </w:r>
          </w:p>
          <w:p>
            <w:pPr>
              <w:spacing w:after="20" w:before="20"/>
            </w:pPr>
            <w:r>
              <w:rPr>
                <w:rFonts w:ascii="Courier New" w:cs="Courier New" w:eastAsia="Courier New" w:hAnsi="Courier New"/>
                <w:color w:val="C5D8F5"/>
                <w:sz w:val="18"/>
                <w:szCs w:val="18"/>
              </w:rPr>
              <w:t xml:space="preserve">        assertThat(response.statusCode()).isEqualTo(401);</w:t>
            </w:r>
          </w:p>
          <w:p>
            <w:pPr>
              <w:spacing w:after="20" w:before="20"/>
            </w:pPr>
            <w:r>
              <w:rPr>
                <w:rFonts w:ascii="Courier New" w:cs="Courier New" w:eastAsia="Courier New" w:hAnsi="Courier New"/>
                <w:color w:val="C5D8F5"/>
                <w:sz w:val="18"/>
                <w:szCs w:val="18"/>
              </w:rPr>
              <w:t xml:space="preserve">        assertThat(response.body()).contains("signature_mismatch");</w:t>
            </w:r>
          </w:p>
          <w:p>
            <w:pPr>
              <w:spacing w:after="20" w:before="20"/>
            </w:pPr>
            <w:r>
              <w:rPr>
                <w:rFonts w:ascii="Courier New" w:cs="Courier New" w:eastAsia="Courier New" w:hAnsi="Courier New"/>
                <w:color w:val="C5D8F5"/>
                <w:sz w:val="18"/>
                <w:szCs w:val="18"/>
              </w:rPr>
              <w:t xml:space="preserve">    }</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@Test @SpecOracle("Valid PR webhook → ScanRequest with all required fields")</w:t>
            </w:r>
          </w:p>
          <w:p>
            <w:pPr>
              <w:spacing w:after="20" w:before="20"/>
            </w:pPr>
            <w:r>
              <w:rPr>
                <w:rFonts w:ascii="Courier New" w:cs="Courier New" w:eastAsia="Courier New" w:hAnsi="Courier New"/>
                <w:color w:val="C5D8F5"/>
                <w:sz w:val="18"/>
                <w:szCs w:val="18"/>
              </w:rPr>
              <w:t xml:space="preserve">    void producesScanRequestFromValidWebhook() {</w:t>
            </w:r>
          </w:p>
          <w:p>
            <w:pPr>
              <w:spacing w:after="20" w:before="20"/>
            </w:pPr>
            <w:r>
              <w:rPr>
                <w:rFonts w:ascii="Courier New" w:cs="Courier New" w:eastAsia="Courier New" w:hAnsi="Courier New"/>
                <w:color w:val="C5D8F5"/>
                <w:sz w:val="18"/>
                <w:szCs w:val="18"/>
              </w:rPr>
              <w:t xml:space="preserve">        var req = ingestService.handle(validPrWebhook()).block();</w:t>
            </w:r>
          </w:p>
          <w:p>
            <w:pPr>
              <w:spacing w:after="20" w:before="20"/>
            </w:pPr>
            <w:r>
              <w:rPr>
                <w:rFonts w:ascii="Courier New" w:cs="Courier New" w:eastAsia="Courier New" w:hAnsi="Courier New"/>
                <w:color w:val="C5D8F5"/>
                <w:sz w:val="18"/>
                <w:szCs w:val="18"/>
              </w:rPr>
              <w:t xml:space="preserve">        assertThat(req.commitSha()).matches("[0-9a-f]{40}");</w:t>
            </w:r>
          </w:p>
          <w:p>
            <w:pPr>
              <w:spacing w:after="20" w:before="20"/>
            </w:pPr>
            <w:r>
              <w:rPr>
                <w:rFonts w:ascii="Courier New" w:cs="Courier New" w:eastAsia="Courier New" w:hAnsi="Courier New"/>
                <w:color w:val="C5D8F5"/>
                <w:sz w:val="18"/>
                <w:szCs w:val="18"/>
              </w:rPr>
              <w:t xml:space="preserve">        assertThat(req.branch()).isNotBlank();</w:t>
            </w:r>
          </w:p>
          <w:p>
            <w:pPr>
              <w:spacing w:after="20" w:before="20"/>
            </w:pPr>
            <w:r>
              <w:rPr>
                <w:rFonts w:ascii="Courier New" w:cs="Courier New" w:eastAsia="Courier New" w:hAnsi="Courier New"/>
                <w:color w:val="C5D8F5"/>
                <w:sz w:val="18"/>
                <w:szCs w:val="18"/>
              </w:rPr>
              <w:t xml:space="preserve">        assertThat(req.changedFiles()).isNotEmpty();</w:t>
            </w:r>
          </w:p>
          <w:p>
            <w:pPr>
              <w:spacing w:after="20" w:before="20"/>
            </w:pPr>
            <w:r>
              <w:rPr>
                <w:rFonts w:ascii="Courier New" w:cs="Courier New" w:eastAsia="Courier New" w:hAnsi="Courier New"/>
                <w:color w:val="C5D8F5"/>
                <w:sz w:val="18"/>
                <w:szCs w:val="18"/>
              </w:rPr>
              <w:t xml:space="preserve">        assertThat(req.scanProfile()).isNotNull();</w:t>
            </w:r>
          </w:p>
          <w:p>
            <w:pPr>
              <w:spacing w:after="20" w:before="20"/>
            </w:pPr>
            <w:r>
              <w:rPr>
                <w:rFonts w:ascii="Courier New" w:cs="Courier New" w:eastAsia="Courier New" w:hAnsi="Courier New"/>
                <w:color w:val="C5D8F5"/>
                <w:sz w:val="18"/>
                <w:szCs w:val="18"/>
              </w:rPr>
              <w:t xml:space="preserve">    }</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@Test @SpecOracle("ScanStarted event emitted after successful ingest")</w:t>
            </w:r>
          </w:p>
          <w:p>
            <w:pPr>
              <w:spacing w:after="20" w:before="20"/>
            </w:pPr>
            <w:r>
              <w:rPr>
                <w:rFonts w:ascii="Courier New" w:cs="Courier New" w:eastAsia="Courier New" w:hAnsi="Courier New"/>
                <w:color w:val="C5D8F5"/>
                <w:sz w:val="18"/>
                <w:szCs w:val="18"/>
              </w:rPr>
              <w:t xml:space="preserve">    void emitsScanStartedEvent() {</w:t>
            </w:r>
          </w:p>
          <w:p>
            <w:pPr>
              <w:spacing w:after="20" w:before="20"/>
            </w:pPr>
            <w:r>
              <w:rPr>
                <w:rFonts w:ascii="Courier New" w:cs="Courier New" w:eastAsia="Courier New" w:hAnsi="Courier New"/>
                <w:color w:val="C5D8F5"/>
                <w:sz w:val="18"/>
                <w:szCs w:val="18"/>
              </w:rPr>
              <w:t xml:space="preserve">        var events = eventCollector.capture(ScanStarted.class, () -&gt;</w:t>
            </w:r>
          </w:p>
          <w:p>
            <w:pPr>
              <w:spacing w:after="20" w:before="20"/>
            </w:pPr>
            <w:r>
              <w:rPr>
                <w:rFonts w:ascii="Courier New" w:cs="Courier New" w:eastAsia="Courier New" w:hAnsi="Courier New"/>
                <w:color w:val="C5D8F5"/>
                <w:sz w:val="18"/>
                <w:szCs w:val="18"/>
              </w:rPr>
              <w:t xml:space="preserve">            ingestService.handle(validPrWebhook()).block());</w:t>
            </w:r>
          </w:p>
          <w:p>
            <w:pPr>
              <w:spacing w:after="20" w:before="20"/>
            </w:pPr>
            <w:r>
              <w:rPr>
                <w:rFonts w:ascii="Courier New" w:cs="Courier New" w:eastAsia="Courier New" w:hAnsi="Courier New"/>
                <w:color w:val="C5D8F5"/>
                <w:sz w:val="18"/>
                <w:szCs w:val="18"/>
              </w:rPr>
              <w:t xml:space="preserve">        assertThat(events).hasSize(1);</w:t>
            </w:r>
          </w:p>
          <w:p>
            <w:pPr>
              <w:spacing w:after="20" w:before="20"/>
            </w:pPr>
            <w:r>
              <w:rPr>
                <w:rFonts w:ascii="Courier New" w:cs="Courier New" w:eastAsia="Courier New" w:hAnsi="Courier New"/>
                <w:color w:val="C5D8F5"/>
                <w:sz w:val="18"/>
                <w:szCs w:val="18"/>
              </w:rPr>
              <w:t xml:space="preserve">    }</w:t>
            </w:r>
          </w:p>
          <w:p>
            <w:pPr>
              <w:spacing w:after="20" w:before="20"/>
            </w:pPr>
            <w:r>
              <w:rPr>
                <w:rFonts w:ascii="Courier New" w:cs="Courier New" w:eastAsia="Courier New" w:hAnsi="Courier New"/>
                <w:color w:val="C5D8F5"/>
                <w:sz w:val="18"/>
                <w:szCs w:val="18"/>
              </w:rPr>
              <w:t xml:space="preserve">}</w:t>
            </w:r>
          </w:p>
        </w:tc>
      </w:tr>
    </w:tbl>
    <w:p>
      <w:pPr>
        <w:spacing w:after="0" w:before="200"/>
      </w:pPr>
    </w:p>
    <w:p>
      <w:pPr>
        <w:pStyle w:val="Heading2"/>
        <w:pBdr>
          <w:bottom w:val="single" w:color="2E6DA4" w:sz="6"/>
        </w:pBdr>
        <w:spacing w:after="180" w:before="360"/>
      </w:pPr>
      <w:r>
        <w:rPr>
          <w:rFonts w:ascii="Arial" w:cs="Arial" w:eastAsia="Arial" w:hAnsi="Arial"/>
          <w:b/>
          <w:bCs/>
          <w:color w:val="1E3A5F"/>
          <w:sz w:val="28"/>
          <w:szCs w:val="28"/>
        </w:rPr>
        <w:t xml:space="preserve">7A.4  Finding Schema Oracle Tests</w:t>
      </w:r>
    </w:p>
    <w:p>
      <w:pPr>
        <w:spacing w:after="80" w:before="80"/>
      </w:pPr>
      <w:r>
        <w:rPr>
          <w:rFonts w:ascii="Arial" w:cs="Arial" w:eastAsia="Arial" w:hAnsi="Arial"/>
          <w:color w:val="1C1C1C"/>
          <w:sz w:val="22"/>
          <w:szCs w:val="22"/>
        </w:rPr>
        <w:t xml:space="preserve">The Finding JSON schema is a contract between JMCRA and all downstream consumers (JIRA, Slack, SonarQube import). The schema oracle test validates every field for every severity tier, ensuring no consumer integration silently breaks when the agent evolves.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1B2A3B" w:val="clear"/>
            <w:tcMar>
              <w:top w:type="dxa" w:w="160"/>
              <w:left w:type="dxa" w:w="200"/>
              <w:bottom w:type="dxa" w:w="160"/>
              <w:right w:type="dxa" w:w="200"/>
            </w:tcMar>
          </w:tcPr>
          <w:p>
            <w:pPr>
              <w:spacing w:after="20" w:before="20"/>
            </w:pPr>
            <w:r>
              <w:rPr>
                <w:rFonts w:ascii="Courier New" w:cs="Courier New" w:eastAsia="Courier New" w:hAnsi="Courier New"/>
                <w:color w:val="C5D8F5"/>
                <w:sz w:val="18"/>
                <w:szCs w:val="18"/>
              </w:rPr>
              <w:t xml:space="preserve">/**</w:t>
            </w:r>
          </w:p>
          <w:p>
            <w:pPr>
              <w:spacing w:after="20" w:before="20"/>
            </w:pPr>
            <w:r>
              <w:rPr>
                <w:rFonts w:ascii="Courier New" w:cs="Courier New" w:eastAsia="Courier New" w:hAnsi="Courier New"/>
                <w:color w:val="C5D8F5"/>
                <w:sz w:val="18"/>
                <w:szCs w:val="18"/>
              </w:rPr>
              <w:t xml:space="preserve"> * Spec Clause: SPC-031</w:t>
            </w:r>
          </w:p>
          <w:p>
            <w:pPr>
              <w:spacing w:after="20" w:before="20"/>
            </w:pPr>
            <w:r>
              <w:rPr>
                <w:rFonts w:ascii="Courier New" w:cs="Courier New" w:eastAsia="Courier New" w:hAnsi="Courier New"/>
                <w:color w:val="C5D8F5"/>
                <w:sz w:val="18"/>
                <w:szCs w:val="18"/>
              </w:rPr>
              <w:t xml:space="preserve"> * Oracle: Every Finding produced by any RuleEvaluator must validate</w:t>
            </w:r>
          </w:p>
          <w:p>
            <w:pPr>
              <w:spacing w:after="20" w:before="20"/>
            </w:pPr>
            <w:r>
              <w:rPr>
                <w:rFonts w:ascii="Courier New" w:cs="Courier New" w:eastAsia="Courier New" w:hAnsi="Courier New"/>
                <w:color w:val="C5D8F5"/>
                <w:sz w:val="18"/>
                <w:szCs w:val="18"/>
              </w:rPr>
              <w:t xml:space="preserve"> *         against FindingSchema v1 (JSON Schema, stored in schemas/finding-v1.json).</w:t>
            </w:r>
          </w:p>
          <w:p>
            <w:pPr>
              <w:spacing w:after="20" w:before="20"/>
            </w:pPr>
            <w:r>
              <w:rPr>
                <w:rFonts w:ascii="Courier New" w:cs="Courier New" w:eastAsia="Courier New" w:hAnsi="Courier New"/>
                <w:color w:val="C5D8F5"/>
                <w:sz w:val="18"/>
                <w:szCs w:val="18"/>
              </w:rPr>
              <w:t xml:space="preserve"> *         No additional properties permitted. All required fields present.</w:t>
            </w:r>
          </w:p>
          <w:p>
            <w:pPr>
              <w:spacing w:after="20" w:before="20"/>
            </w:pPr>
            <w:r>
              <w:rPr>
                <w:rFonts w:ascii="Courier New" w:cs="Courier New" w:eastAsia="Courier New" w:hAnsi="Courier New"/>
                <w:color w:val="C5D8F5"/>
                <w:sz w:val="18"/>
                <w:szCs w:val="18"/>
              </w:rPr>
              <w:t xml:space="preserve"> */</w:t>
            </w:r>
          </w:p>
          <w:p>
            <w:pPr>
              <w:spacing w:after="20" w:before="20"/>
            </w:pPr>
            <w:r>
              <w:rPr>
                <w:rFonts w:ascii="Courier New" w:cs="Courier New" w:eastAsia="Courier New" w:hAnsi="Courier New"/>
                <w:color w:val="C5D8F5"/>
                <w:sz w:val="18"/>
                <w:szCs w:val="18"/>
              </w:rPr>
              <w:t xml:space="preserve">@SchemaOracleTest(specClause = "SPC-031")</w:t>
            </w:r>
          </w:p>
          <w:p>
            <w:pPr>
              <w:spacing w:after="20" w:before="20"/>
            </w:pPr>
            <w:r>
              <w:rPr>
                <w:rFonts w:ascii="Courier New" w:cs="Courier New" w:eastAsia="Courier New" w:hAnsi="Courier New"/>
                <w:color w:val="C5D8F5"/>
                <w:sz w:val="18"/>
                <w:szCs w:val="18"/>
              </w:rPr>
              <w:t xml:space="preserve">class FindingSchemaOracleTest {</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private static final JsonSchema SCHEMA =</w:t>
            </w:r>
          </w:p>
          <w:p>
            <w:pPr>
              <w:spacing w:after="20" w:before="20"/>
            </w:pPr>
            <w:r>
              <w:rPr>
                <w:rFonts w:ascii="Courier New" w:cs="Courier New" w:eastAsia="Courier New" w:hAnsi="Courier New"/>
                <w:color w:val="C5D8F5"/>
                <w:sz w:val="18"/>
                <w:szCs w:val="18"/>
              </w:rPr>
              <w:t xml:space="preserve">        JsonSchemaFactory.load("schemas/finding-v1.json");</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@ParameterizedTest(name = "{0}")</w:t>
            </w:r>
          </w:p>
          <w:p>
            <w:pPr>
              <w:spacing w:after="20" w:before="20"/>
            </w:pPr>
            <w:r>
              <w:rPr>
                <w:rFonts w:ascii="Courier New" w:cs="Courier New" w:eastAsia="Courier New" w:hAnsi="Courier New"/>
                <w:color w:val="C5D8F5"/>
                <w:sz w:val="18"/>
                <w:szCs w:val="18"/>
              </w:rPr>
              <w:t xml:space="preserve">    @MethodSource("allRuleEvaluators")</w:t>
            </w:r>
          </w:p>
          <w:p>
            <w:pPr>
              <w:spacing w:after="20" w:before="20"/>
            </w:pPr>
            <w:r>
              <w:rPr>
                <w:rFonts w:ascii="Courier New" w:cs="Courier New" w:eastAsia="Courier New" w:hAnsi="Courier New"/>
                <w:color w:val="C5D8F5"/>
                <w:sz w:val="18"/>
                <w:szCs w:val="18"/>
              </w:rPr>
              <w:t xml:space="preserve">    void everyEvaluatorProducesSchemaCompliantFindings(RuleEvaluator evaluator) {</w:t>
            </w:r>
          </w:p>
          <w:p>
            <w:pPr>
              <w:spacing w:after="20" w:before="20"/>
            </w:pPr>
            <w:r>
              <w:rPr>
                <w:rFonts w:ascii="Courier New" w:cs="Courier New" w:eastAsia="Courier New" w:hAnsi="Courier New"/>
                <w:color w:val="C5D8F5"/>
                <w:sz w:val="18"/>
                <w:szCs w:val="18"/>
              </w:rPr>
              <w:t xml:space="preserve">        var ctx = DomainContext.synthetic();</w:t>
            </w:r>
          </w:p>
          <w:p>
            <w:pPr>
              <w:spacing w:after="20" w:before="20"/>
            </w:pPr>
            <w:r>
              <w:rPr>
                <w:rFonts w:ascii="Courier New" w:cs="Courier New" w:eastAsia="Courier New" w:hAnsi="Courier New"/>
                <w:color w:val="C5D8F5"/>
                <w:sz w:val="18"/>
                <w:szCs w:val="18"/>
              </w:rPr>
              <w:t xml:space="preserve">        var findings = evaluator.evaluate(ctx).collectList().block();</w:t>
            </w:r>
          </w:p>
          <w:p>
            <w:pPr>
              <w:spacing w:after="20" w:before="20"/>
            </w:pPr>
            <w:r>
              <w:rPr>
                <w:rFonts w:ascii="Courier New" w:cs="Courier New" w:eastAsia="Courier New" w:hAnsi="Courier New"/>
                <w:color w:val="C5D8F5"/>
                <w:sz w:val="18"/>
                <w:szCs w:val="18"/>
              </w:rPr>
              <w:t xml:space="preserve">        findings.forEach(f -&gt; {</w:t>
            </w:r>
          </w:p>
          <w:p>
            <w:pPr>
              <w:spacing w:after="20" w:before="20"/>
            </w:pPr>
            <w:r>
              <w:rPr>
                <w:rFonts w:ascii="Courier New" w:cs="Courier New" w:eastAsia="Courier New" w:hAnsi="Courier New"/>
                <w:color w:val="C5D8F5"/>
                <w:sz w:val="18"/>
                <w:szCs w:val="18"/>
              </w:rPr>
              <w:t xml:space="preserve">            var result = SCHEMA.validate(f.toJson());</w:t>
            </w:r>
          </w:p>
          <w:p>
            <w:pPr>
              <w:spacing w:after="20" w:before="20"/>
            </w:pPr>
            <w:r>
              <w:rPr>
                <w:rFonts w:ascii="Courier New" w:cs="Courier New" w:eastAsia="Courier New" w:hAnsi="Courier New"/>
                <w:color w:val="C5D8F5"/>
                <w:sz w:val="18"/>
                <w:szCs w:val="18"/>
              </w:rPr>
              <w:t xml:space="preserve">            assertThat(result.isValid())</w:t>
            </w:r>
          </w:p>
          <w:p>
            <w:pPr>
              <w:spacing w:after="20" w:before="20"/>
            </w:pPr>
            <w:r>
              <w:rPr>
                <w:rFonts w:ascii="Courier New" w:cs="Courier New" w:eastAsia="Courier New" w:hAnsi="Courier New"/>
                <w:color w:val="C5D8F5"/>
                <w:sz w:val="18"/>
                <w:szCs w:val="18"/>
              </w:rPr>
              <w:t xml:space="preserve">                .as("Rule %s produced invalid Finding: %s",</w:t>
            </w:r>
          </w:p>
          <w:p>
            <w:pPr>
              <w:spacing w:after="20" w:before="20"/>
            </w:pPr>
            <w:r>
              <w:rPr>
                <w:rFonts w:ascii="Courier New" w:cs="Courier New" w:eastAsia="Courier New" w:hAnsi="Courier New"/>
                <w:color w:val="C5D8F5"/>
                <w:sz w:val="18"/>
                <w:szCs w:val="18"/>
              </w:rPr>
              <w:t xml:space="preserve">                    evaluator.ruleId(), result.errors())</w:t>
            </w:r>
          </w:p>
          <w:p>
            <w:pPr>
              <w:spacing w:after="20" w:before="20"/>
            </w:pPr>
            <w:r>
              <w:rPr>
                <w:rFonts w:ascii="Courier New" w:cs="Courier New" w:eastAsia="Courier New" w:hAnsi="Courier New"/>
                <w:color w:val="C5D8F5"/>
                <w:sz w:val="18"/>
                <w:szCs w:val="18"/>
              </w:rPr>
              <w:t xml:space="preserve">                .isTrue();</w:t>
            </w:r>
          </w:p>
          <w:p>
            <w:pPr>
              <w:spacing w:after="20" w:before="20"/>
            </w:pPr>
            <w:r>
              <w:rPr>
                <w:rFonts w:ascii="Courier New" w:cs="Courier New" w:eastAsia="Courier New" w:hAnsi="Courier New"/>
                <w:color w:val="C5D8F5"/>
                <w:sz w:val="18"/>
                <w:szCs w:val="18"/>
              </w:rPr>
              <w:t xml:space="preserve">            // SPC-031a: line number must exist in actual source</w:t>
            </w:r>
          </w:p>
          <w:p>
            <w:pPr>
              <w:spacing w:after="20" w:before="20"/>
            </w:pPr>
            <w:r>
              <w:rPr>
                <w:rFonts w:ascii="Courier New" w:cs="Courier New" w:eastAsia="Courier New" w:hAnsi="Courier New"/>
                <w:color w:val="C5D8F5"/>
                <w:sz w:val="18"/>
                <w:szCs w:val="18"/>
              </w:rPr>
              <w:t xml:space="preserve">            assertThat(f.line()).isGreaterThan(0);</w:t>
            </w:r>
          </w:p>
          <w:p>
            <w:pPr>
              <w:spacing w:after="20" w:before="20"/>
            </w:pPr>
            <w:r>
              <w:rPr>
                <w:rFonts w:ascii="Courier New" w:cs="Courier New" w:eastAsia="Courier New" w:hAnsi="Courier New"/>
                <w:color w:val="C5D8F5"/>
                <w:sz w:val="18"/>
                <w:szCs w:val="18"/>
              </w:rPr>
              <w:t xml:space="preserve">            assertThat(f.line()).isLessThanOrEqualTo(ctx.fileLineCount(f.file()));</w:t>
            </w:r>
          </w:p>
          <w:p>
            <w:pPr>
              <w:spacing w:after="20" w:before="20"/>
            </w:pPr>
            <w:r>
              <w:rPr>
                <w:rFonts w:ascii="Courier New" w:cs="Courier New" w:eastAsia="Courier New" w:hAnsi="Courier New"/>
                <w:color w:val="C5D8F5"/>
                <w:sz w:val="18"/>
                <w:szCs w:val="18"/>
              </w:rPr>
              <w:t xml:space="preserve">        });</w:t>
            </w:r>
          </w:p>
          <w:p>
            <w:pPr>
              <w:spacing w:after="20" w:before="20"/>
            </w:pPr>
            <w:r>
              <w:rPr>
                <w:rFonts w:ascii="Courier New" w:cs="Courier New" w:eastAsia="Courier New" w:hAnsi="Courier New"/>
                <w:color w:val="C5D8F5"/>
                <w:sz w:val="18"/>
                <w:szCs w:val="18"/>
              </w:rPr>
              <w:t xml:space="preserve">    }</w:t>
            </w:r>
          </w:p>
          <w:p>
            <w:pPr>
              <w:spacing w:after="20" w:before="20"/>
            </w:pPr>
            <w:r>
              <w:rPr>
                <w:rFonts w:ascii="Courier New" w:cs="Courier New" w:eastAsia="Courier New" w:hAnsi="Courier New"/>
                <w:color w:val="C5D8F5"/>
                <w:sz w:val="18"/>
                <w:szCs w:val="18"/>
              </w:rPr>
              <w:t xml:space="preserve">}</w:t>
            </w:r>
          </w:p>
        </w:tc>
      </w:tr>
    </w:tbl>
    <w:p>
      <w:pPr>
        <w:spacing w:after="0" w:before="200"/>
      </w:pPr>
    </w:p>
    <w:p>
      <w:pPr>
        <w:pStyle w:val="Heading2"/>
        <w:pBdr>
          <w:bottom w:val="single" w:color="2E6DA4" w:sz="6"/>
        </w:pBdr>
        <w:spacing w:after="180" w:before="360"/>
      </w:pPr>
      <w:r>
        <w:rPr>
          <w:rFonts w:ascii="Arial" w:cs="Arial" w:eastAsia="Arial" w:hAnsi="Arial"/>
          <w:b/>
          <w:bCs/>
          <w:color w:val="1E3A5F"/>
          <w:sz w:val="28"/>
          <w:szCs w:val="28"/>
        </w:rPr>
        <w:t xml:space="preserve">7A.5  Spec Drift Detection</w:t>
      </w:r>
    </w:p>
    <w:p>
      <w:pPr>
        <w:spacing w:after="80" w:before="80"/>
      </w:pPr>
      <w:r>
        <w:rPr>
          <w:rFonts w:ascii="Arial" w:cs="Arial" w:eastAsia="Arial" w:hAnsi="Arial"/>
          <w:color w:val="1C1C1C"/>
          <w:sz w:val="22"/>
          <w:szCs w:val="22"/>
        </w:rPr>
        <w:t xml:space="preserve">Spec drift occurs when implementation behaviour diverges from the specification without a formal spec-change PR. JMCRA prevents drift through three automated mechanisms: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Mechanism</w:t>
            </w:r>
          </w:p>
        </w:tc>
        <w:tc>
          <w:tcPr>
            <w:tcW w:type="dxa" w:w="39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How It Works</w:t>
            </w:r>
          </w:p>
        </w:tc>
        <w:tc>
          <w:tcPr>
            <w:tcW w:type="dxa" w:w="3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Enforcement Point</w:t>
            </w:r>
          </w:p>
        </w:tc>
      </w:tr>
      <w:tr>
        <w:tc>
          <w:tcPr>
            <w:tcW w:type="dxa" w:w="24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C1C1C"/>
                <w:sz w:val="19"/>
                <w:szCs w:val="19"/>
              </w:rPr>
              <w:t xml:space="preserve">Traceability Matrix CI Check</w:t>
            </w:r>
          </w:p>
        </w:tc>
        <w:tc>
          <w:tcPr>
            <w:tcW w:type="dxa" w:w="39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19"/>
                <w:szCs w:val="19"/>
              </w:rPr>
              <w:t xml:space="preserve">Script parses all @SpecClause annotations in test code and cross-checks against SPC IDs in the spec index. Untested SPC IDs fail the build with list of gaps.</w:t>
            </w:r>
          </w:p>
        </w:tc>
        <w:tc>
          <w:tcPr>
            <w:tcW w:type="dxa" w:w="30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Courier New" w:cs="Courier New" w:eastAsia="Courier New" w:hAnsi="Courier New"/>
                <w:color w:val="2E6DA4"/>
                <w:sz w:val="17"/>
                <w:szCs w:val="17"/>
              </w:rPr>
              <w:t xml:space="preserve">Pre-merge required CI job: spec-traceability-check</w:t>
            </w:r>
          </w:p>
        </w:tc>
      </w:tr>
      <w:tr>
        <w:tc>
          <w:tcPr>
            <w:tcW w:type="dxa" w:w="24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19"/>
                <w:szCs w:val="19"/>
              </w:rPr>
              <w:t xml:space="preserve">Rule Catalog Hash Guard</w:t>
            </w:r>
          </w:p>
        </w:tc>
        <w:tc>
          <w:tcPr>
            <w:tcW w:type="dxa" w:w="39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9"/>
                <w:szCs w:val="19"/>
              </w:rPr>
              <w:t xml:space="preserve">rules/catalog.json is SHA-256 hashed at build time. Any change to a rule's ID, description, or defaultSeverity without a corresponding CHANGELOG entry fails validation.</w:t>
            </w:r>
          </w:p>
        </w:tc>
        <w:tc>
          <w:tcPr>
            <w:tcW w:type="dxa" w:w="30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Courier New" w:cs="Courier New" w:eastAsia="Courier New" w:hAnsi="Courier New"/>
                <w:color w:val="2E6DA4"/>
                <w:sz w:val="17"/>
                <w:szCs w:val="17"/>
              </w:rPr>
              <w:t xml:space="preserve">Pre-commit hook + CI job: catalog-integrity-check</w:t>
            </w:r>
          </w:p>
        </w:tc>
      </w:tr>
      <w:tr>
        <w:tc>
          <w:tcPr>
            <w:tcW w:type="dxa" w:w="24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C1C1C"/>
                <w:sz w:val="19"/>
                <w:szCs w:val="19"/>
              </w:rPr>
              <w:t xml:space="preserve">Golden Output Regression</w:t>
            </w:r>
          </w:p>
        </w:tc>
        <w:tc>
          <w:tcPr>
            <w:tcW w:type="dxa" w:w="39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19"/>
                <w:szCs w:val="19"/>
              </w:rPr>
              <w:t xml:space="preserve">A set of 25 canonical Java fixture projects are scanned nightly. Findings are compared against a stored golden output. Any new finding or finding removal triggers an alert requiring spec review.</w:t>
            </w:r>
          </w:p>
        </w:tc>
        <w:tc>
          <w:tcPr>
            <w:tcW w:type="dxa" w:w="30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Courier New" w:cs="Courier New" w:eastAsia="Courier New" w:hAnsi="Courier New"/>
                <w:color w:val="2E6DA4"/>
                <w:sz w:val="17"/>
                <w:szCs w:val="17"/>
              </w:rPr>
              <w:t xml:space="preserve">Nightly scheduled CI job: golden-regression</w:t>
            </w:r>
          </w:p>
        </w:tc>
      </w:tr>
    </w:tbl>
    <w:p>
      <w:pPr>
        <w:spacing w:after="0" w:before="200"/>
      </w:pPr>
    </w:p>
    <w:p>
      <w:pPr>
        <w:pStyle w:val="Heading2"/>
        <w:pBdr>
          <w:bottom w:val="single" w:color="2E6DA4" w:sz="6"/>
        </w:pBdr>
        <w:spacing w:after="180" w:before="360"/>
      </w:pPr>
      <w:r>
        <w:rPr>
          <w:rFonts w:ascii="Arial" w:cs="Arial" w:eastAsia="Arial" w:hAnsi="Arial"/>
          <w:b/>
          <w:bCs/>
          <w:color w:val="1E3A5F"/>
          <w:sz w:val="28"/>
          <w:szCs w:val="28"/>
        </w:rPr>
        <w:t xml:space="preserve">7A.6  Traceability Matrix Format</w:t>
      </w:r>
    </w:p>
    <w:p>
      <w:pPr>
        <w:spacing w:after="80" w:before="80"/>
      </w:pPr>
      <w:r>
        <w:rPr>
          <w:rFonts w:ascii="Arial" w:cs="Arial" w:eastAsia="Arial" w:hAnsi="Arial"/>
          <w:color w:val="1C1C1C"/>
          <w:sz w:val="22"/>
          <w:szCs w:val="22"/>
        </w:rPr>
        <w:t xml:space="preserve">The living traceability matrix is auto-generated by the spec-traceability script on every CI run and committed back to the repo. It is the authoritative record of spec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1B2A3B" w:val="clear"/>
            <w:tcMar>
              <w:top w:type="dxa" w:w="160"/>
              <w:left w:type="dxa" w:w="200"/>
              <w:bottom w:type="dxa" w:w="160"/>
              <w:right w:type="dxa" w:w="200"/>
            </w:tcMar>
          </w:tcPr>
          <w:p>
            <w:pPr>
              <w:spacing w:after="20" w:before="20"/>
            </w:pPr>
            <w:r>
              <w:rPr>
                <w:rFonts w:ascii="Courier New" w:cs="Courier New" w:eastAsia="Courier New" w:hAnsi="Courier New"/>
                <w:color w:val="C5D8F5"/>
                <w:sz w:val="18"/>
                <w:szCs w:val="18"/>
              </w:rPr>
              <w:t xml:space="preserve"># docs/traceability-matrix.csv (auto-generated — do not edit manually)</w:t>
            </w:r>
          </w:p>
          <w:p>
            <w:pPr>
              <w:spacing w:after="20" w:before="20"/>
            </w:pPr>
            <w:r>
              <w:rPr>
                <w:rFonts w:ascii="Courier New" w:cs="Courier New" w:eastAsia="Courier New" w:hAnsi="Courier New"/>
                <w:color w:val="C5D8F5"/>
                <w:sz w:val="18"/>
                <w:szCs w:val="18"/>
              </w:rPr>
              <w:t xml:space="preserve">spc_id,   description,                           test_class,                        test_method,                  status</w:t>
            </w:r>
          </w:p>
          <w:p>
            <w:pPr>
              <w:spacing w:after="20" w:before="20"/>
            </w:pPr>
            <w:r>
              <w:rPr>
                <w:rFonts w:ascii="Courier New" w:cs="Courier New" w:eastAsia="Courier New" w:hAnsi="Courier New"/>
                <w:color w:val="C5D8F5"/>
                <w:sz w:val="18"/>
                <w:szCs w:val="18"/>
              </w:rPr>
              <w:t xml:space="preserve">SPC-042,  SEC-001 positive: inline secret,       HardcodedCredentialContractTest,   INLINE_SECRET fixture,        COVERED</w:t>
            </w:r>
          </w:p>
          <w:p>
            <w:pPr>
              <w:spacing w:after="20" w:before="20"/>
            </w:pPr>
            <w:r>
              <w:rPr>
                <w:rFonts w:ascii="Courier New" w:cs="Courier New" w:eastAsia="Courier New" w:hAnsi="Courier New"/>
                <w:color w:val="C5D8F5"/>
                <w:sz w:val="18"/>
                <w:szCs w:val="18"/>
              </w:rPr>
              <w:t xml:space="preserve">SPC-043,  SEC-001 negative: @Value injection,    HardcodedCredentialContractTest,   SPRING_VALUE fixture,         COVERED</w:t>
            </w:r>
          </w:p>
          <w:p>
            <w:pPr>
              <w:spacing w:after="20" w:before="20"/>
            </w:pPr>
            <w:r>
              <w:rPr>
                <w:rFonts w:ascii="Courier New" w:cs="Courier New" w:eastAsia="Courier New" w:hAnsi="Courier New"/>
                <w:color w:val="C5D8F5"/>
                <w:sz w:val="18"/>
                <w:szCs w:val="18"/>
              </w:rPr>
              <w:t xml:space="preserve">SPC-007,  Ingest HMAC rejection,                 IngestStageContractTest,           rejectsInvalidHmacSignature,  COVERED</w:t>
            </w:r>
          </w:p>
          <w:p>
            <w:pPr>
              <w:spacing w:after="20" w:before="20"/>
            </w:pPr>
            <w:r>
              <w:rPr>
                <w:rFonts w:ascii="Courier New" w:cs="Courier New" w:eastAsia="Courier New" w:hAnsi="Courier New"/>
                <w:color w:val="C5D8F5"/>
                <w:sz w:val="18"/>
                <w:szCs w:val="18"/>
              </w:rPr>
              <w:t xml:space="preserve">SPC-031,  Finding schema compliance,             FindingSchemaOracleTest,           everyEvaluatorProducesSchema, COVERED</w:t>
            </w:r>
          </w:p>
          <w:p>
            <w:pPr>
              <w:spacing w:after="20" w:before="20"/>
            </w:pPr>
            <w:r>
              <w:rPr>
                <w:rFonts w:ascii="Courier New" w:cs="Courier New" w:eastAsia="Courier New" w:hAnsi="Courier New"/>
                <w:color w:val="C5D8F5"/>
                <w:sz w:val="18"/>
                <w:szCs w:val="18"/>
              </w:rPr>
              <w:t xml:space="preserve">SPC-088,  RES-001 circuit breaker detection,     CircuitBreakerContractTest,        missingFallback_positive,     COVERED</w:t>
            </w:r>
          </w:p>
          <w:p>
            <w:pPr>
              <w:spacing w:after="20" w:before="20"/>
            </w:pPr>
            <w:r>
              <w:rPr>
                <w:rFonts w:ascii="Courier New" w:cs="Courier New" w:eastAsia="Courier New" w:hAnsi="Courier New"/>
                <w:color w:val="C5D8F5"/>
                <w:sz w:val="18"/>
                <w:szCs w:val="18"/>
              </w:rPr>
              <w:t xml:space="preserve">SPC-089,  DAT-001 N+1 detection — lazy fetch,    NplusOneContractTest,              lazyFetchOnCollection,        COVERED</w:t>
            </w:r>
          </w:p>
          <w:p>
            <w:pPr>
              <w:spacing w:after="20" w:before="20"/>
            </w:pPr>
            <w:r>
              <w:rPr>
                <w:rFonts w:ascii="Courier New" w:cs="Courier New" w:eastAsia="Courier New" w:hAnsi="Courier New"/>
                <w:color w:val="C5D8F5"/>
                <w:sz w:val="18"/>
                <w:szCs w:val="18"/>
              </w:rPr>
              <w:t xml:space="preserve">SPC-099,  OBS-001 trace propagation Feign,       TracePropagationContractTest,      feignClientMissingHeader,     MISSING  ← BUILD FAILS</w:t>
            </w:r>
          </w:p>
        </w:tc>
      </w:tr>
    </w:tbl>
    <w:p>
      <w:pPr>
        <w:spacing w:after="0" w:before="200"/>
      </w:pPr>
    </w:p>
    <w:p>
      <w:pPr>
        <w:pStyle w:val="Heading2"/>
        <w:pBdr>
          <w:bottom w:val="single" w:color="2E6DA4" w:sz="6"/>
        </w:pBdr>
        <w:spacing w:after="180" w:before="360"/>
      </w:pPr>
      <w:r>
        <w:rPr>
          <w:rFonts w:ascii="Arial" w:cs="Arial" w:eastAsia="Arial" w:hAnsi="Arial"/>
          <w:b/>
          <w:bCs/>
          <w:color w:val="1E3A5F"/>
          <w:sz w:val="28"/>
          <w:szCs w:val="28"/>
        </w:rPr>
        <w:t xml:space="preserve">7A.7  Test-First Gate in the Development Workflow</w:t>
      </w:r>
    </w:p>
    <w:p>
      <w:pPr>
        <w:spacing w:after="80" w:before="80"/>
      </w:pPr>
      <w:r>
        <w:rPr>
          <w:rFonts w:ascii="Arial" w:cs="Arial" w:eastAsia="Arial" w:hAnsi="Arial"/>
          <w:color w:val="1C1C1C"/>
          <w:sz w:val="22"/>
          <w:szCs w:val="22"/>
        </w:rPr>
        <w:t xml:space="preserve">The following workflow is MANDATORY for all JMCRA feature work. No implementation PR is accepted without a preceding or co-submitted test PR that covers all SPC IDs for the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4"/>
              <w:bottom w:val="single" w:color="2E6DA4" w:sz="4"/>
              <w:right w:val="single" w:color="2E6DA4" w:sz="4"/>
            </w:tcBorders>
            <w:shd w:fill="1B2A3B" w:val="clear"/>
            <w:tcMar>
              <w:top w:type="dxa" w:w="160"/>
              <w:left w:type="dxa" w:w="200"/>
              <w:bottom w:type="dxa" w:w="160"/>
              <w:right w:type="dxa" w:w="200"/>
            </w:tcMar>
          </w:tcPr>
          <w:p>
            <w:pPr>
              <w:spacing w:after="20" w:before="20"/>
            </w:pPr>
            <w:r>
              <w:rPr>
                <w:rFonts w:ascii="Courier New" w:cs="Courier New" w:eastAsia="Courier New" w:hAnsi="Courier New"/>
                <w:color w:val="C5D8F5"/>
                <w:sz w:val="18"/>
                <w:szCs w:val="18"/>
              </w:rPr>
              <w:t xml:space="preserve">Developer workflow per rule implementation:</w:t>
            </w:r>
          </w:p>
          <w:p>
            <w:pPr>
              <w:spacing w:after="20" w:before="20"/>
            </w:pPr>
            <w:r>
              <w:rPr>
                <w:rFonts w:ascii="Courier New" w:cs="Courier New" w:eastAsia="Courier New" w:hAnsi="Courier New"/>
                <w:color w:val="C5D8F5"/>
                <w:sz w:val="18"/>
                <w:szCs w:val="18"/>
              </w:rPr>
              <w:t xml:space="preserve"/>
            </w:r>
          </w:p>
          <w:p>
            <w:pPr>
              <w:spacing w:after="20" w:before="20"/>
            </w:pPr>
            <w:r>
              <w:rPr>
                <w:rFonts w:ascii="Courier New" w:cs="Courier New" w:eastAsia="Courier New" w:hAnsi="Courier New"/>
                <w:color w:val="C5D8F5"/>
                <w:sz w:val="18"/>
                <w:szCs w:val="18"/>
              </w:rPr>
              <w:t xml:space="preserve">  1. SPEC READ    → Read the rule definition in Section 5 + this section.</w:t>
            </w:r>
          </w:p>
          <w:p>
            <w:pPr>
              <w:spacing w:after="20" w:before="20"/>
            </w:pPr>
            <w:r>
              <w:rPr>
                <w:rFonts w:ascii="Courier New" w:cs="Courier New" w:eastAsia="Courier New" w:hAnsi="Courier New"/>
                <w:color w:val="C5D8F5"/>
                <w:sz w:val="18"/>
                <w:szCs w:val="18"/>
              </w:rPr>
              <w:t xml:space="preserve">  2. SPC ASSIGN   → Assign SPC IDs to all testable claims for the rule.</w:t>
            </w:r>
          </w:p>
          <w:p>
            <w:pPr>
              <w:spacing w:after="20" w:before="20"/>
            </w:pPr>
            <w:r>
              <w:rPr>
                <w:rFonts w:ascii="Courier New" w:cs="Courier New" w:eastAsia="Courier New" w:hAnsi="Courier New"/>
                <w:color w:val="C5D8F5"/>
                <w:sz w:val="18"/>
                <w:szCs w:val="18"/>
              </w:rPr>
              <w:t xml:space="preserve">  3. TEST WRITE   → Write @RuleContractTest with positive + negative fixtures.</w:t>
            </w:r>
          </w:p>
          <w:p>
            <w:pPr>
              <w:spacing w:after="20" w:before="20"/>
            </w:pPr>
            <w:r>
              <w:rPr>
                <w:rFonts w:ascii="Courier New" w:cs="Courier New" w:eastAsia="Courier New" w:hAnsi="Courier New"/>
                <w:color w:val="C5D8F5"/>
                <w:sz w:val="18"/>
                <w:szCs w:val="18"/>
              </w:rPr>
              <w:t xml:space="preserve">  4. VERIFY RED   → Run tests: ALL must FAIL on blank implementation. (RED)</w:t>
            </w:r>
          </w:p>
          <w:p>
            <w:pPr>
              <w:spacing w:after="20" w:before="20"/>
            </w:pPr>
            <w:r>
              <w:rPr>
                <w:rFonts w:ascii="Courier New" w:cs="Courier New" w:eastAsia="Courier New" w:hAnsi="Courier New"/>
                <w:color w:val="C5D8F5"/>
                <w:sz w:val="18"/>
                <w:szCs w:val="18"/>
              </w:rPr>
              <w:t xml:space="preserve">  5. IMPLEMENT    → Write RuleEvaluator implementation.</w:t>
            </w:r>
          </w:p>
          <w:p>
            <w:pPr>
              <w:spacing w:after="20" w:before="20"/>
            </w:pPr>
            <w:r>
              <w:rPr>
                <w:rFonts w:ascii="Courier New" w:cs="Courier New" w:eastAsia="Courier New" w:hAnsi="Courier New"/>
                <w:color w:val="C5D8F5"/>
                <w:sz w:val="18"/>
                <w:szCs w:val="18"/>
              </w:rPr>
              <w:t xml:space="preserve">  6. VERIFY GREEN → Run tests: ALL must PASS. (GREEN)</w:t>
            </w:r>
          </w:p>
          <w:p>
            <w:pPr>
              <w:spacing w:after="20" w:before="20"/>
            </w:pPr>
            <w:r>
              <w:rPr>
                <w:rFonts w:ascii="Courier New" w:cs="Courier New" w:eastAsia="Courier New" w:hAnsi="Courier New"/>
                <w:color w:val="C5D8F5"/>
                <w:sz w:val="18"/>
                <w:szCs w:val="18"/>
              </w:rPr>
              <w:t xml:space="preserve">  7. MATRIX CHECK → Run: ./scripts/check-traceability.sh</w:t>
            </w:r>
          </w:p>
          <w:p>
            <w:pPr>
              <w:spacing w:after="20" w:before="20"/>
            </w:pPr>
            <w:r>
              <w:rPr>
                <w:rFonts w:ascii="Courier New" w:cs="Courier New" w:eastAsia="Courier New" w:hAnsi="Courier New"/>
                <w:color w:val="C5D8F5"/>
                <w:sz w:val="18"/>
                <w:szCs w:val="18"/>
              </w:rPr>
              <w:t xml:space="preserve">                    Output must show 0 MISSING rows for the new SPC IDs.</w:t>
            </w:r>
          </w:p>
          <w:p>
            <w:pPr>
              <w:spacing w:after="20" w:before="20"/>
            </w:pPr>
            <w:r>
              <w:rPr>
                <w:rFonts w:ascii="Courier New" w:cs="Courier New" w:eastAsia="Courier New" w:hAnsi="Courier New"/>
                <w:color w:val="C5D8F5"/>
                <w:sz w:val="18"/>
                <w:szCs w:val="18"/>
              </w:rPr>
              <w:t xml:space="preserve">  8. PR SUBMIT    → PR title must reference SPC IDs: [SPC-042,SPC-043] SEC-001</w:t>
            </w:r>
          </w:p>
          <w:p>
            <w:pPr>
              <w:spacing w:after="20" w:before="20"/>
            </w:pPr>
            <w:r>
              <w:rPr>
                <w:rFonts w:ascii="Courier New" w:cs="Courier New" w:eastAsia="Courier New" w:hAnsi="Courier New"/>
                <w:color w:val="C5D8F5"/>
                <w:sz w:val="18"/>
                <w:szCs w:val="18"/>
              </w:rPr>
              <w:t xml:space="preserve">  9. CI GATE      → spec-traceability-check, catalog-integrity-check must pass.</w:t>
            </w:r>
          </w:p>
          <w:p>
            <w:pPr>
              <w:spacing w:after="20" w:before="20"/>
            </w:pPr>
            <w:r>
              <w:rPr>
                <w:rFonts w:ascii="Courier New" w:cs="Courier New" w:eastAsia="Courier New" w:hAnsi="Courier New"/>
                <w:color w:val="C5D8F5"/>
                <w:sz w:val="18"/>
                <w:szCs w:val="18"/>
              </w:rPr>
              <w:t xml:space="preserve"> 10. REVIEW       → Spec owner reviews that test oracle matches spec intent.</w:t>
            </w:r>
          </w:p>
        </w:tc>
      </w:tr>
    </w:tbl>
    <w:p>
      <w:r>
        <w:br w:type="page"/>
      </w:r>
    </w:p>
    <w:p>
      <w:pPr>
        <w:pStyle w:val="Heading1"/>
        <w:shd w:fill="1E3A5F" w:val="clear"/>
        <w:spacing w:after="240" w:before="480"/>
      </w:pPr>
      <w:r>
        <w:rPr>
          <w:rFonts w:ascii="Arial" w:cs="Arial" w:eastAsia="Arial" w:hAnsi="Arial"/>
          <w:b/>
          <w:bCs/>
          <w:color w:val="FFFFFF"/>
          <w:sz w:val="36"/>
          <w:szCs w:val="36"/>
        </w:rPr>
        <w:t xml:space="preserve">8.  Delivery Plan</w:t>
      </w:r>
    </w:p>
    <w:p>
      <w:pPr>
        <w:spacing w:after="80" w:before="80"/>
      </w:pPr>
      <w:r>
        <w:rPr>
          <w:rFonts w:ascii="Arial" w:cs="Arial" w:eastAsia="Arial" w:hAnsi="Arial"/>
          <w:color w:val="1C1C1C"/>
          <w:sz w:val="22"/>
          <w:szCs w:val="22"/>
        </w:rPr>
        <w:t xml:space="preserve">Development follows six sequential phases. Each phase gate requires all acceptance tests for that phase to pass and a spec review sign-off. Per the Shaw/Fowler SDD principle (Section 7A), each phase begins with test authoring (all SPC IDs assigned, contract tests written and RED) before any implementation work starts.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560"/>
        <w:gridCol w:w="1500"/>
        <w:gridCol w:w="1500"/>
      </w:tblGrid>
      <w:tr>
        <w:tc>
          <w:tcPr>
            <w:tcW w:type="dxa" w:w="6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Phase / Module</w:t>
            </w:r>
          </w:p>
        </w:tc>
        <w:tc>
          <w:tcPr>
            <w:tcW w:type="dxa" w:w="35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Effort</w:t>
            </w:r>
          </w:p>
        </w:tc>
        <w:tc>
          <w:tcPr>
            <w:tcW w:type="dxa" w:w="15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600"/>
            <w:tcBorders>
              <w:top w:val="single" w:color="DDE1E7" w:sz="4"/>
              <w:left w:val="single" w:color="DDE1E7" w:sz="4"/>
              <w:bottom w:val="single" w:color="DDE1E7" w:sz="4"/>
              <w:right w:val="single" w:color="DDE1E7" w:sz="4"/>
            </w:tcBorders>
            <w:shd w:fill="FFFFFF"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1</w:t>
            </w:r>
          </w:p>
        </w:tc>
        <w:tc>
          <w:tcPr>
            <w:tcW w:type="dxa" w:w="2200"/>
            <w:tcBorders>
              <w:top w:val="single" w:color="DDE1E7" w:sz="4"/>
              <w:left w:val="single" w:color="DDE1E7" w:sz="4"/>
              <w:bottom w:val="single" w:color="DDE1E7" w:sz="4"/>
              <w:right w:val="single" w:color="DDE1E7" w:sz="4"/>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Foundation</w:t>
            </w:r>
          </w:p>
        </w:tc>
        <w:tc>
          <w:tcPr>
            <w:tcW w:type="dxa" w:w="3560"/>
            <w:tcBorders>
              <w:top w:val="single" w:color="DDE1E7" w:sz="4"/>
              <w:left w:val="single" w:color="DDE1E7" w:sz="4"/>
              <w:bottom w:val="single" w:color="DDE1E7" w:sz="4"/>
              <w:right w:val="single" w:color="DDE1E7" w:sz="4"/>
            </w:tcBorders>
            <w:shd w:fill="FFFFFF" w:val="clear"/>
            <w:tcMar>
              <w:top w:type="dxa" w:w="100"/>
              <w:left w:type="dxa" w:w="140"/>
              <w:bottom w:type="dxa" w:w="100"/>
              <w:right w:type="dxa" w:w="140"/>
            </w:tcMar>
          </w:tcPr>
          <w:p>
            <w:r>
              <w:rPr>
                <w:rFonts w:ascii="Arial" w:cs="Arial" w:eastAsia="Arial" w:hAnsi="Arial"/>
                <w:sz w:val="20"/>
                <w:szCs w:val="20"/>
              </w:rPr>
              <w:t xml:space="preserve">Repo scaffold, pipeline skeleton, AST indexer, JavaParser integration, CI/CD. SPC IDs 001-010 assigned and spec-traceability CI gate live.</w:t>
            </w:r>
          </w:p>
        </w:tc>
        <w:tc>
          <w:tcPr>
            <w:tcW w:type="dxa" w:w="1500"/>
            <w:tcBorders>
              <w:top w:val="single" w:color="DDE1E7" w:sz="4"/>
              <w:left w:val="single" w:color="DDE1E7" w:sz="4"/>
              <w:bottom w:val="single" w:color="DDE1E7" w:sz="4"/>
              <w:right w:val="single" w:color="DDE1E7" w:sz="4"/>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3 weeks</w:t>
            </w:r>
          </w:p>
        </w:tc>
        <w:tc>
          <w:tcPr>
            <w:tcW w:type="dxa" w:w="1500"/>
            <w:tcBorders>
              <w:top w:val="single" w:color="DDE1E7" w:sz="4"/>
              <w:left w:val="single" w:color="DDE1E7" w:sz="4"/>
              <w:bottom w:val="single" w:color="DDE1E7" w:sz="4"/>
              <w:right w:val="single" w:color="DDE1E7" w:sz="4"/>
            </w:tcBorders>
            <w:shd w:fill="FADBD8" w:val="clear"/>
            <w:tcMar>
              <w:top w:type="dxa" w:w="100"/>
              <w:left w:type="dxa" w:w="140"/>
              <w:bottom w:type="dxa" w:w="100"/>
              <w:right w:type="dxa" w:w="140"/>
            </w:tcMar>
          </w:tcPr>
          <w:p>
            <w:pPr>
              <w:jc w:val="center"/>
            </w:pPr>
            <w:r>
              <w:rPr>
                <w:rFonts w:ascii="Arial" w:cs="Arial" w:eastAsia="Arial" w:hAnsi="Arial"/>
                <w:b/>
                <w:bCs/>
                <w:color w:val="C0392B"/>
                <w:sz w:val="20"/>
                <w:szCs w:val="20"/>
              </w:rPr>
              <w:t xml:space="preserve">P0</w:t>
            </w:r>
          </w:p>
        </w:tc>
      </w:tr>
      <w:tr>
        <w:tc>
          <w:tcPr>
            <w:tcW w:type="dxa" w:w="600"/>
            <w:tcBorders>
              <w:top w:val="single" w:color="DDE1E7" w:sz="4"/>
              <w:left w:val="single" w:color="DDE1E7" w:sz="4"/>
              <w:bottom w:val="single" w:color="DDE1E7" w:sz="4"/>
              <w:right w:val="single" w:color="DDE1E7" w:sz="4"/>
            </w:tcBorders>
            <w:shd w:fill="F4F6F9"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2</w:t>
            </w:r>
          </w:p>
        </w:tc>
        <w:tc>
          <w:tcPr>
            <w:tcW w:type="dxa" w:w="2200"/>
            <w:tcBorders>
              <w:top w:val="single" w:color="DDE1E7" w:sz="4"/>
              <w:left w:val="single" w:color="DDE1E7" w:sz="4"/>
              <w:bottom w:val="single" w:color="DDE1E7" w:sz="4"/>
              <w:right w:val="single" w:color="DDE1E7" w:sz="4"/>
            </w:tcBorders>
            <w:shd w:fill="F4F6F9" w:val="clear"/>
            <w:tcMar>
              <w:top w:type="dxa" w:w="100"/>
              <w:left w:type="dxa" w:w="140"/>
              <w:bottom w:type="dxa" w:w="100"/>
              <w:right w:type="dxa" w:w="140"/>
            </w:tcMar>
          </w:tcPr>
          <w:p>
            <w:r>
              <w:rPr>
                <w:rFonts w:ascii="Arial" w:cs="Arial" w:eastAsia="Arial" w:hAnsi="Arial"/>
                <w:b/>
                <w:bCs/>
                <w:color w:val="1C1C1C"/>
                <w:sz w:val="20"/>
                <w:szCs w:val="20"/>
              </w:rPr>
              <w:t xml:space="preserve">SEC + DEP Rules</w:t>
            </w:r>
          </w:p>
        </w:tc>
        <w:tc>
          <w:tcPr>
            <w:tcW w:type="dxa" w:w="3560"/>
            <w:tcBorders>
              <w:top w:val="single" w:color="DDE1E7" w:sz="4"/>
              <w:left w:val="single" w:color="DDE1E7" w:sz="4"/>
              <w:bottom w:val="single" w:color="DDE1E7" w:sz="4"/>
              <w:right w:val="single" w:color="DDE1E7" w:sz="4"/>
            </w:tcBorders>
            <w:shd w:fill="F4F6F9" w:val="clear"/>
            <w:tcMar>
              <w:top w:type="dxa" w:w="100"/>
              <w:left w:type="dxa" w:w="140"/>
              <w:bottom w:type="dxa" w:w="100"/>
              <w:right w:type="dxa" w:w="140"/>
            </w:tcMar>
          </w:tcPr>
          <w:p>
            <w:r>
              <w:rPr>
                <w:rFonts w:ascii="Arial" w:cs="Arial" w:eastAsia="Arial" w:hAnsi="Arial"/>
                <w:sz w:val="20"/>
                <w:szCs w:val="20"/>
              </w:rPr>
              <w:t xml:space="preserve">SPC-assigned contract tests written first (RED). Then: All 8 SEC rules + 4 DEP rules, CVE feed integration. Tests go GREEN.</w:t>
            </w:r>
          </w:p>
        </w:tc>
        <w:tc>
          <w:tcPr>
            <w:tcW w:type="dxa" w:w="1500"/>
            <w:tcBorders>
              <w:top w:val="single" w:color="DDE1E7" w:sz="4"/>
              <w:left w:val="single" w:color="DDE1E7" w:sz="4"/>
              <w:bottom w:val="single" w:color="DDE1E7" w:sz="4"/>
              <w:right w:val="single" w:color="DDE1E7" w:sz="4"/>
            </w:tcBorders>
            <w:shd w:fill="F4F6F9" w:val="clear"/>
            <w:tcMar>
              <w:top w:type="dxa" w:w="100"/>
              <w:left w:type="dxa" w:w="140"/>
              <w:bottom w:type="dxa" w:w="100"/>
              <w:right w:type="dxa" w:w="140"/>
            </w:tcMar>
          </w:tcPr>
          <w:p>
            <w:pPr>
              <w:jc w:val="center"/>
            </w:pPr>
            <w:r>
              <w:rPr>
                <w:rFonts w:ascii="Arial" w:cs="Arial" w:eastAsia="Arial" w:hAnsi="Arial"/>
                <w:sz w:val="20"/>
                <w:szCs w:val="20"/>
              </w:rPr>
              <w:t xml:space="preserve">4 weeks</w:t>
            </w:r>
          </w:p>
        </w:tc>
        <w:tc>
          <w:tcPr>
            <w:tcW w:type="dxa" w:w="1500"/>
            <w:tcBorders>
              <w:top w:val="single" w:color="DDE1E7" w:sz="4"/>
              <w:left w:val="single" w:color="DDE1E7" w:sz="4"/>
              <w:bottom w:val="single" w:color="DDE1E7" w:sz="4"/>
              <w:right w:val="single" w:color="DDE1E7" w:sz="4"/>
            </w:tcBorders>
            <w:shd w:fill="FADBD8" w:val="clear"/>
            <w:tcMar>
              <w:top w:type="dxa" w:w="100"/>
              <w:left w:type="dxa" w:w="140"/>
              <w:bottom w:type="dxa" w:w="100"/>
              <w:right w:type="dxa" w:w="140"/>
            </w:tcMar>
          </w:tcPr>
          <w:p>
            <w:pPr>
              <w:jc w:val="center"/>
            </w:pPr>
            <w:r>
              <w:rPr>
                <w:rFonts w:ascii="Arial" w:cs="Arial" w:eastAsia="Arial" w:hAnsi="Arial"/>
                <w:b/>
                <w:bCs/>
                <w:color w:val="C0392B"/>
                <w:sz w:val="20"/>
                <w:szCs w:val="20"/>
              </w:rPr>
              <w:t xml:space="preserve">P0</w:t>
            </w:r>
          </w:p>
        </w:tc>
      </w:tr>
      <w:tr>
        <w:tc>
          <w:tcPr>
            <w:tcW w:type="dxa" w:w="600"/>
            <w:tcBorders>
              <w:top w:val="single" w:color="DDE1E7" w:sz="4"/>
              <w:left w:val="single" w:color="DDE1E7" w:sz="4"/>
              <w:bottom w:val="single" w:color="DDE1E7" w:sz="4"/>
              <w:right w:val="single" w:color="DDE1E7" w:sz="4"/>
            </w:tcBorders>
            <w:shd w:fill="FFFFFF"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3</w:t>
            </w:r>
          </w:p>
        </w:tc>
        <w:tc>
          <w:tcPr>
            <w:tcW w:type="dxa" w:w="2200"/>
            <w:tcBorders>
              <w:top w:val="single" w:color="DDE1E7" w:sz="4"/>
              <w:left w:val="single" w:color="DDE1E7" w:sz="4"/>
              <w:bottom w:val="single" w:color="DDE1E7" w:sz="4"/>
              <w:right w:val="single" w:color="DDE1E7" w:sz="4"/>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RES + OBS Rules</w:t>
            </w:r>
          </w:p>
        </w:tc>
        <w:tc>
          <w:tcPr>
            <w:tcW w:type="dxa" w:w="3560"/>
            <w:tcBorders>
              <w:top w:val="single" w:color="DDE1E7" w:sz="4"/>
              <w:left w:val="single" w:color="DDE1E7" w:sz="4"/>
              <w:bottom w:val="single" w:color="DDE1E7" w:sz="4"/>
              <w:right w:val="single" w:color="DDE1E7" w:sz="4"/>
            </w:tcBorders>
            <w:shd w:fill="FFFFFF" w:val="clear"/>
            <w:tcMar>
              <w:top w:type="dxa" w:w="100"/>
              <w:left w:type="dxa" w:w="140"/>
              <w:bottom w:type="dxa" w:w="100"/>
              <w:right w:type="dxa" w:w="140"/>
            </w:tcMar>
          </w:tcPr>
          <w:p>
            <w:r>
              <w:rPr>
                <w:rFonts w:ascii="Arial" w:cs="Arial" w:eastAsia="Arial" w:hAnsi="Arial"/>
                <w:sz w:val="20"/>
                <w:szCs w:val="20"/>
              </w:rPr>
              <w:t xml:space="preserve">Contract tests first (RED). Resilience patterns (RES-001–003), OTel propagation, metric naming. Golden regression baseline set.</w:t>
            </w:r>
          </w:p>
        </w:tc>
        <w:tc>
          <w:tcPr>
            <w:tcW w:type="dxa" w:w="1500"/>
            <w:tcBorders>
              <w:top w:val="single" w:color="DDE1E7" w:sz="4"/>
              <w:left w:val="single" w:color="DDE1E7" w:sz="4"/>
              <w:bottom w:val="single" w:color="DDE1E7" w:sz="4"/>
              <w:right w:val="single" w:color="DDE1E7" w:sz="4"/>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3 weeks</w:t>
            </w:r>
          </w:p>
        </w:tc>
        <w:tc>
          <w:tcPr>
            <w:tcW w:type="dxa" w:w="1500"/>
            <w:tcBorders>
              <w:top w:val="single" w:color="DDE1E7" w:sz="4"/>
              <w:left w:val="single" w:color="DDE1E7" w:sz="4"/>
              <w:bottom w:val="single" w:color="DDE1E7" w:sz="4"/>
              <w:right w:val="single" w:color="DDE1E7" w:sz="4"/>
            </w:tcBorders>
            <w:shd w:fill="FADBD8" w:val="clear"/>
            <w:tcMar>
              <w:top w:type="dxa" w:w="100"/>
              <w:left w:type="dxa" w:w="140"/>
              <w:bottom w:type="dxa" w:w="100"/>
              <w:right w:type="dxa" w:w="140"/>
            </w:tcMar>
          </w:tcPr>
          <w:p>
            <w:pPr>
              <w:jc w:val="center"/>
            </w:pPr>
            <w:r>
              <w:rPr>
                <w:rFonts w:ascii="Arial" w:cs="Arial" w:eastAsia="Arial" w:hAnsi="Arial"/>
                <w:b/>
                <w:bCs/>
                <w:color w:val="C0392B"/>
                <w:sz w:val="20"/>
                <w:szCs w:val="20"/>
              </w:rPr>
              <w:t xml:space="preserve">P0</w:t>
            </w:r>
          </w:p>
        </w:tc>
      </w:tr>
      <w:tr>
        <w:tc>
          <w:tcPr>
            <w:tcW w:type="dxa" w:w="600"/>
            <w:tcBorders>
              <w:top w:val="single" w:color="DDE1E7" w:sz="4"/>
              <w:left w:val="single" w:color="DDE1E7" w:sz="4"/>
              <w:bottom w:val="single" w:color="DDE1E7" w:sz="4"/>
              <w:right w:val="single" w:color="DDE1E7" w:sz="4"/>
            </w:tcBorders>
            <w:shd w:fill="F4F6F9"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4</w:t>
            </w:r>
          </w:p>
        </w:tc>
        <w:tc>
          <w:tcPr>
            <w:tcW w:type="dxa" w:w="2200"/>
            <w:tcBorders>
              <w:top w:val="single" w:color="DDE1E7" w:sz="4"/>
              <w:left w:val="single" w:color="DDE1E7" w:sz="4"/>
              <w:bottom w:val="single" w:color="DDE1E7" w:sz="4"/>
              <w:right w:val="single" w:color="DDE1E7" w:sz="4"/>
            </w:tcBorders>
            <w:shd w:fill="F4F6F9" w:val="clear"/>
            <w:tcMar>
              <w:top w:type="dxa" w:w="100"/>
              <w:left w:type="dxa" w:w="140"/>
              <w:bottom w:type="dxa" w:w="100"/>
              <w:right w:type="dxa" w:w="140"/>
            </w:tcMar>
          </w:tcPr>
          <w:p>
            <w:r>
              <w:rPr>
                <w:rFonts w:ascii="Arial" w:cs="Arial" w:eastAsia="Arial" w:hAnsi="Arial"/>
                <w:b/>
                <w:bCs/>
                <w:color w:val="1C1C1C"/>
                <w:sz w:val="20"/>
                <w:szCs w:val="20"/>
              </w:rPr>
              <w:t xml:space="preserve">API + DAT + MSG</w:t>
            </w:r>
          </w:p>
        </w:tc>
        <w:tc>
          <w:tcPr>
            <w:tcW w:type="dxa" w:w="3560"/>
            <w:tcBorders>
              <w:top w:val="single" w:color="DDE1E7" w:sz="4"/>
              <w:left w:val="single" w:color="DDE1E7" w:sz="4"/>
              <w:bottom w:val="single" w:color="DDE1E7" w:sz="4"/>
              <w:right w:val="single" w:color="DDE1E7" w:sz="4"/>
            </w:tcBorders>
            <w:shd w:fill="F4F6F9" w:val="clear"/>
            <w:tcMar>
              <w:top w:type="dxa" w:w="100"/>
              <w:left w:type="dxa" w:w="140"/>
              <w:bottom w:type="dxa" w:w="100"/>
              <w:right w:type="dxa" w:w="140"/>
            </w:tcMar>
          </w:tcPr>
          <w:p>
            <w:r>
              <w:rPr>
                <w:rFonts w:ascii="Arial" w:cs="Arial" w:eastAsia="Arial" w:hAnsi="Arial"/>
                <w:sz w:val="20"/>
                <w:szCs w:val="20"/>
              </w:rPr>
              <w:t xml:space="preserve">Contract diff engine, JPA N+1 detector, Kafka/RabbitMQ checks</w:t>
            </w:r>
          </w:p>
        </w:tc>
        <w:tc>
          <w:tcPr>
            <w:tcW w:type="dxa" w:w="1500"/>
            <w:tcBorders>
              <w:top w:val="single" w:color="DDE1E7" w:sz="4"/>
              <w:left w:val="single" w:color="DDE1E7" w:sz="4"/>
              <w:bottom w:val="single" w:color="DDE1E7" w:sz="4"/>
              <w:right w:val="single" w:color="DDE1E7" w:sz="4"/>
            </w:tcBorders>
            <w:shd w:fill="F4F6F9" w:val="clear"/>
            <w:tcMar>
              <w:top w:type="dxa" w:w="100"/>
              <w:left w:type="dxa" w:w="140"/>
              <w:bottom w:type="dxa" w:w="100"/>
              <w:right w:type="dxa" w:w="140"/>
            </w:tcMar>
          </w:tcPr>
          <w:p>
            <w:pPr>
              <w:jc w:val="center"/>
            </w:pPr>
            <w:r>
              <w:rPr>
                <w:rFonts w:ascii="Arial" w:cs="Arial" w:eastAsia="Arial" w:hAnsi="Arial"/>
                <w:sz w:val="20"/>
                <w:szCs w:val="20"/>
              </w:rPr>
              <w:t xml:space="preserve">4 weeks</w:t>
            </w:r>
          </w:p>
        </w:tc>
        <w:tc>
          <w:tcPr>
            <w:tcW w:type="dxa" w:w="1500"/>
            <w:tcBorders>
              <w:top w:val="single" w:color="DDE1E7" w:sz="4"/>
              <w:left w:val="single" w:color="DDE1E7" w:sz="4"/>
              <w:bottom w:val="single" w:color="DDE1E7" w:sz="4"/>
              <w:right w:val="single" w:color="DDE1E7" w:sz="4"/>
            </w:tcBorders>
            <w:shd w:fill="FEF9E7" w:val="clear"/>
            <w:tcMar>
              <w:top w:type="dxa" w:w="100"/>
              <w:left w:type="dxa" w:w="140"/>
              <w:bottom w:type="dxa" w:w="100"/>
              <w:right w:type="dxa" w:w="140"/>
            </w:tcMar>
          </w:tcPr>
          <w:p>
            <w:pPr>
              <w:jc w:val="center"/>
            </w:pPr>
            <w:r>
              <w:rPr>
                <w:rFonts w:ascii="Arial" w:cs="Arial" w:eastAsia="Arial" w:hAnsi="Arial"/>
                <w:b/>
                <w:bCs/>
                <w:color w:val="9B7D0A"/>
                <w:sz w:val="20"/>
                <w:szCs w:val="20"/>
              </w:rPr>
              <w:t xml:space="preserve">P1</w:t>
            </w:r>
          </w:p>
        </w:tc>
      </w:tr>
      <w:tr>
        <w:tc>
          <w:tcPr>
            <w:tcW w:type="dxa" w:w="600"/>
            <w:tcBorders>
              <w:top w:val="single" w:color="DDE1E7" w:sz="4"/>
              <w:left w:val="single" w:color="DDE1E7" w:sz="4"/>
              <w:bottom w:val="single" w:color="DDE1E7" w:sz="4"/>
              <w:right w:val="single" w:color="DDE1E7" w:sz="4"/>
            </w:tcBorders>
            <w:shd w:fill="FFFFFF"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5</w:t>
            </w:r>
          </w:p>
        </w:tc>
        <w:tc>
          <w:tcPr>
            <w:tcW w:type="dxa" w:w="2200"/>
            <w:tcBorders>
              <w:top w:val="single" w:color="DDE1E7" w:sz="4"/>
              <w:left w:val="single" w:color="DDE1E7" w:sz="4"/>
              <w:bottom w:val="single" w:color="DDE1E7" w:sz="4"/>
              <w:right w:val="single" w:color="DDE1E7" w:sz="4"/>
            </w:tcBorders>
            <w:shd w:fill="FFFFFF" w:val="clear"/>
            <w:tcMar>
              <w:top w:type="dxa" w:w="100"/>
              <w:left w:type="dxa" w:w="140"/>
              <w:bottom w:type="dxa" w:w="100"/>
              <w:right w:type="dxa" w:w="140"/>
            </w:tcMar>
          </w:tcPr>
          <w:p>
            <w:r>
              <w:rPr>
                <w:rFonts w:ascii="Arial" w:cs="Arial" w:eastAsia="Arial" w:hAnsi="Arial"/>
                <w:b/>
                <w:bCs/>
                <w:color w:val="1C1C1C"/>
                <w:sz w:val="20"/>
                <w:szCs w:val="20"/>
              </w:rPr>
              <w:t xml:space="preserve">CON + PRF + DES</w:t>
            </w:r>
          </w:p>
        </w:tc>
        <w:tc>
          <w:tcPr>
            <w:tcW w:type="dxa" w:w="3560"/>
            <w:tcBorders>
              <w:top w:val="single" w:color="DDE1E7" w:sz="4"/>
              <w:left w:val="single" w:color="DDE1E7" w:sz="4"/>
              <w:bottom w:val="single" w:color="DDE1E7" w:sz="4"/>
              <w:right w:val="single" w:color="DDE1E7" w:sz="4"/>
            </w:tcBorders>
            <w:shd w:fill="FFFFFF" w:val="clear"/>
            <w:tcMar>
              <w:top w:type="dxa" w:w="100"/>
              <w:left w:type="dxa" w:w="140"/>
              <w:bottom w:type="dxa" w:w="100"/>
              <w:right w:type="dxa" w:w="140"/>
            </w:tcMar>
          </w:tcPr>
          <w:p>
            <w:r>
              <w:rPr>
                <w:rFonts w:ascii="Arial" w:cs="Arial" w:eastAsia="Arial" w:hAnsi="Arial"/>
                <w:sz w:val="20"/>
                <w:szCs w:val="20"/>
              </w:rPr>
              <w:t xml:space="preserve">Concurrency analysis, reactive thread detection, design metrics</w:t>
            </w:r>
          </w:p>
        </w:tc>
        <w:tc>
          <w:tcPr>
            <w:tcW w:type="dxa" w:w="1500"/>
            <w:tcBorders>
              <w:top w:val="single" w:color="DDE1E7" w:sz="4"/>
              <w:left w:val="single" w:color="DDE1E7" w:sz="4"/>
              <w:bottom w:val="single" w:color="DDE1E7" w:sz="4"/>
              <w:right w:val="single" w:color="DDE1E7" w:sz="4"/>
            </w:tcBorders>
            <w:shd w:fill="FFFFFF" w:val="clear"/>
            <w:tcMar>
              <w:top w:type="dxa" w:w="100"/>
              <w:left w:type="dxa" w:w="140"/>
              <w:bottom w:type="dxa" w:w="100"/>
              <w:right w:type="dxa" w:w="140"/>
            </w:tcMar>
          </w:tcPr>
          <w:p>
            <w:pPr>
              <w:jc w:val="center"/>
            </w:pPr>
            <w:r>
              <w:rPr>
                <w:rFonts w:ascii="Arial" w:cs="Arial" w:eastAsia="Arial" w:hAnsi="Arial"/>
                <w:sz w:val="20"/>
                <w:szCs w:val="20"/>
              </w:rPr>
              <w:t xml:space="preserve">3 weeks</w:t>
            </w:r>
          </w:p>
        </w:tc>
        <w:tc>
          <w:tcPr>
            <w:tcW w:type="dxa" w:w="1500"/>
            <w:tcBorders>
              <w:top w:val="single" w:color="DDE1E7" w:sz="4"/>
              <w:left w:val="single" w:color="DDE1E7" w:sz="4"/>
              <w:bottom w:val="single" w:color="DDE1E7" w:sz="4"/>
              <w:right w:val="single" w:color="DDE1E7" w:sz="4"/>
            </w:tcBorders>
            <w:shd w:fill="FEF9E7" w:val="clear"/>
            <w:tcMar>
              <w:top w:type="dxa" w:w="100"/>
              <w:left w:type="dxa" w:w="140"/>
              <w:bottom w:type="dxa" w:w="100"/>
              <w:right w:type="dxa" w:w="140"/>
            </w:tcMar>
          </w:tcPr>
          <w:p>
            <w:pPr>
              <w:jc w:val="center"/>
            </w:pPr>
            <w:r>
              <w:rPr>
                <w:rFonts w:ascii="Arial" w:cs="Arial" w:eastAsia="Arial" w:hAnsi="Arial"/>
                <w:b/>
                <w:bCs/>
                <w:color w:val="9B7D0A"/>
                <w:sz w:val="20"/>
                <w:szCs w:val="20"/>
              </w:rPr>
              <w:t xml:space="preserve">P1</w:t>
            </w:r>
          </w:p>
        </w:tc>
      </w:tr>
      <w:tr>
        <w:tc>
          <w:tcPr>
            <w:tcW w:type="dxa" w:w="600"/>
            <w:tcBorders>
              <w:top w:val="single" w:color="DDE1E7" w:sz="4"/>
              <w:left w:val="single" w:color="DDE1E7" w:sz="4"/>
              <w:bottom w:val="single" w:color="DDE1E7" w:sz="4"/>
              <w:right w:val="single" w:color="DDE1E7" w:sz="4"/>
            </w:tcBorders>
            <w:shd w:fill="F4F6F9" w:val="clear"/>
            <w:tcMar>
              <w:top w:type="dxa" w:w="100"/>
              <w:left w:type="dxa" w:w="120"/>
              <w:bottom w:type="dxa" w:w="100"/>
              <w:right w:type="dxa" w:w="120"/>
            </w:tcMar>
          </w:tcPr>
          <w:p>
            <w:pPr>
              <w:jc w:val="center"/>
            </w:pPr>
            <w:r>
              <w:rPr>
                <w:rFonts w:ascii="Arial" w:cs="Arial" w:eastAsia="Arial" w:hAnsi="Arial"/>
                <w:b/>
                <w:bCs/>
                <w:color w:val="1E3A5F"/>
                <w:sz w:val="20"/>
                <w:szCs w:val="20"/>
              </w:rPr>
              <w:t xml:space="preserve">6</w:t>
            </w:r>
          </w:p>
        </w:tc>
        <w:tc>
          <w:tcPr>
            <w:tcW w:type="dxa" w:w="2200"/>
            <w:tcBorders>
              <w:top w:val="single" w:color="DDE1E7" w:sz="4"/>
              <w:left w:val="single" w:color="DDE1E7" w:sz="4"/>
              <w:bottom w:val="single" w:color="DDE1E7" w:sz="4"/>
              <w:right w:val="single" w:color="DDE1E7" w:sz="4"/>
            </w:tcBorders>
            <w:shd w:fill="F4F6F9" w:val="clear"/>
            <w:tcMar>
              <w:top w:type="dxa" w:w="100"/>
              <w:left w:type="dxa" w:w="140"/>
              <w:bottom w:type="dxa" w:w="100"/>
              <w:right w:type="dxa" w:w="140"/>
            </w:tcMar>
          </w:tcPr>
          <w:p>
            <w:r>
              <w:rPr>
                <w:rFonts w:ascii="Arial" w:cs="Arial" w:eastAsia="Arial" w:hAnsi="Arial"/>
                <w:b/>
                <w:bCs/>
                <w:color w:val="1C1C1C"/>
                <w:sz w:val="20"/>
                <w:szCs w:val="20"/>
              </w:rPr>
              <w:t xml:space="preserve">TST + CFG Rules</w:t>
            </w:r>
          </w:p>
        </w:tc>
        <w:tc>
          <w:tcPr>
            <w:tcW w:type="dxa" w:w="3560"/>
            <w:tcBorders>
              <w:top w:val="single" w:color="DDE1E7" w:sz="4"/>
              <w:left w:val="single" w:color="DDE1E7" w:sz="4"/>
              <w:bottom w:val="single" w:color="DDE1E7" w:sz="4"/>
              <w:right w:val="single" w:color="DDE1E7" w:sz="4"/>
            </w:tcBorders>
            <w:shd w:fill="F4F6F9" w:val="clear"/>
            <w:tcMar>
              <w:top w:type="dxa" w:w="100"/>
              <w:left w:type="dxa" w:w="140"/>
              <w:bottom w:type="dxa" w:w="100"/>
              <w:right w:type="dxa" w:w="140"/>
            </w:tcMar>
          </w:tcPr>
          <w:p>
            <w:r>
              <w:rPr>
                <w:rFonts w:ascii="Arial" w:cs="Arial" w:eastAsia="Arial" w:hAnsi="Arial"/>
                <w:sz w:val="20"/>
                <w:szCs w:val="20"/>
              </w:rPr>
              <w:t xml:space="preserve">Coverage gate integration, 12-factor checks, full delivery integrations</w:t>
            </w:r>
          </w:p>
        </w:tc>
        <w:tc>
          <w:tcPr>
            <w:tcW w:type="dxa" w:w="1500"/>
            <w:tcBorders>
              <w:top w:val="single" w:color="DDE1E7" w:sz="4"/>
              <w:left w:val="single" w:color="DDE1E7" w:sz="4"/>
              <w:bottom w:val="single" w:color="DDE1E7" w:sz="4"/>
              <w:right w:val="single" w:color="DDE1E7" w:sz="4"/>
            </w:tcBorders>
            <w:shd w:fill="F4F6F9" w:val="clear"/>
            <w:tcMar>
              <w:top w:type="dxa" w:w="100"/>
              <w:left w:type="dxa" w:w="140"/>
              <w:bottom w:type="dxa" w:w="100"/>
              <w:right w:type="dxa" w:w="140"/>
            </w:tcMar>
          </w:tcPr>
          <w:p>
            <w:pPr>
              <w:jc w:val="center"/>
            </w:pPr>
            <w:r>
              <w:rPr>
                <w:rFonts w:ascii="Arial" w:cs="Arial" w:eastAsia="Arial" w:hAnsi="Arial"/>
                <w:sz w:val="20"/>
                <w:szCs w:val="20"/>
              </w:rPr>
              <w:t xml:space="preserve">3 weeks</w:t>
            </w:r>
          </w:p>
        </w:tc>
        <w:tc>
          <w:tcPr>
            <w:tcW w:type="dxa" w:w="1500"/>
            <w:tcBorders>
              <w:top w:val="single" w:color="DDE1E7" w:sz="4"/>
              <w:left w:val="single" w:color="DDE1E7" w:sz="4"/>
              <w:bottom w:val="single" w:color="DDE1E7" w:sz="4"/>
              <w:right w:val="single" w:color="DDE1E7" w:sz="4"/>
            </w:tcBorders>
            <w:shd w:fill="D5F5E3" w:val="clear"/>
            <w:tcMar>
              <w:top w:type="dxa" w:w="100"/>
              <w:left w:type="dxa" w:w="140"/>
              <w:bottom w:type="dxa" w:w="100"/>
              <w:right w:type="dxa" w:w="140"/>
            </w:tcMar>
          </w:tcPr>
          <w:p>
            <w:pPr>
              <w:jc w:val="center"/>
            </w:pPr>
            <w:r>
              <w:rPr>
                <w:rFonts w:ascii="Arial" w:cs="Arial" w:eastAsia="Arial" w:hAnsi="Arial"/>
                <w:b/>
                <w:bCs/>
                <w:color w:val="1A7A4A"/>
                <w:sz w:val="20"/>
                <w:szCs w:val="20"/>
              </w:rPr>
              <w:t xml:space="preserve">P2</w:t>
            </w:r>
          </w:p>
        </w:tc>
      </w:tr>
    </w:tbl>
    <w:p>
      <w:r>
        <w:br w:type="page"/>
      </w:r>
    </w:p>
    <w:p>
      <w:pPr>
        <w:pStyle w:val="Heading1"/>
        <w:shd w:fill="1E3A5F" w:val="clear"/>
        <w:spacing w:after="240" w:before="480"/>
      </w:pPr>
      <w:r>
        <w:rPr>
          <w:rFonts w:ascii="Arial" w:cs="Arial" w:eastAsia="Arial" w:hAnsi="Arial"/>
          <w:b/>
          <w:bCs/>
          <w:color w:val="FFFFFF"/>
          <w:sz w:val="36"/>
          <w:szCs w:val="36"/>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NFR</w:t>
            </w:r>
          </w:p>
        </w:tc>
        <w:tc>
          <w:tcPr>
            <w:tcW w:type="dxa" w:w="39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30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Measurement Method</w:t>
            </w:r>
          </w:p>
        </w:tc>
      </w:tr>
      <w:tr>
        <w:tc>
          <w:tcPr>
            <w:tcW w:type="dxa" w:w="24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C1C1C"/>
                <w:sz w:val="20"/>
                <w:szCs w:val="20"/>
              </w:rPr>
              <w:t xml:space="preserve">Latency</w:t>
            </w:r>
          </w:p>
        </w:tc>
        <w:tc>
          <w:tcPr>
            <w:tcW w:type="dxa" w:w="39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20"/>
                <w:szCs w:val="20"/>
              </w:rPr>
              <w:t xml:space="preserve">P95 end-to-end scan ≤ 90 s for PRs ≤ 200 changed lines</w:t>
            </w:r>
          </w:p>
        </w:tc>
        <w:tc>
          <w:tcPr>
            <w:tcW w:type="dxa" w:w="30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i/>
                <w:iCs/>
                <w:color w:val="8A96A3"/>
                <w:sz w:val="19"/>
                <w:szCs w:val="19"/>
              </w:rPr>
              <w:t xml:space="preserve">Gatling benchmark on CI</w:t>
            </w:r>
          </w:p>
        </w:tc>
      </w:tr>
      <w:tr>
        <w:tc>
          <w:tcPr>
            <w:tcW w:type="dxa" w:w="24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20"/>
                <w:szCs w:val="20"/>
              </w:rPr>
              <w:t xml:space="preserve">Throughput</w:t>
            </w:r>
          </w:p>
        </w:tc>
        <w:tc>
          <w:tcPr>
            <w:tcW w:type="dxa" w:w="39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20"/>
                <w:szCs w:val="20"/>
              </w:rPr>
              <w:t xml:space="preserve">≥ 50 concurrent PR scans without degradation</w:t>
            </w:r>
          </w:p>
        </w:tc>
        <w:tc>
          <w:tcPr>
            <w:tcW w:type="dxa" w:w="30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i/>
                <w:iCs/>
                <w:color w:val="8A96A3"/>
                <w:sz w:val="19"/>
                <w:szCs w:val="19"/>
              </w:rPr>
              <w:t xml:space="preserve">Load test suite</w:t>
            </w:r>
          </w:p>
        </w:tc>
      </w:tr>
      <w:tr>
        <w:tc>
          <w:tcPr>
            <w:tcW w:type="dxa" w:w="24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C1C1C"/>
                <w:sz w:val="20"/>
                <w:szCs w:val="20"/>
              </w:rPr>
              <w:t xml:space="preserve">False Positive Rate</w:t>
            </w:r>
          </w:p>
        </w:tc>
        <w:tc>
          <w:tcPr>
            <w:tcW w:type="dxa" w:w="39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20"/>
                <w:szCs w:val="20"/>
              </w:rPr>
              <w:t xml:space="preserve">≤ 5% across CRIT/HIGH rules (measured on 500-PR sample)</w:t>
            </w:r>
          </w:p>
        </w:tc>
        <w:tc>
          <w:tcPr>
            <w:tcW w:type="dxa" w:w="30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i/>
                <w:iCs/>
                <w:color w:val="8A96A3"/>
                <w:sz w:val="19"/>
                <w:szCs w:val="19"/>
              </w:rPr>
              <w:t xml:space="preserve">Monthly evaluation run</w:t>
            </w:r>
          </w:p>
        </w:tc>
      </w:tr>
      <w:tr>
        <w:tc>
          <w:tcPr>
            <w:tcW w:type="dxa" w:w="24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20"/>
                <w:szCs w:val="20"/>
              </w:rPr>
              <w:t xml:space="preserve">Recall (CRIT)</w:t>
            </w:r>
          </w:p>
        </w:tc>
        <w:tc>
          <w:tcPr>
            <w:tcW w:type="dxa" w:w="39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20"/>
                <w:szCs w:val="20"/>
              </w:rPr>
              <w:t xml:space="preserve">≥ 95% detection of injected CRIT vulnerabilities</w:t>
            </w:r>
          </w:p>
        </w:tc>
        <w:tc>
          <w:tcPr>
            <w:tcW w:type="dxa" w:w="30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i/>
                <w:iCs/>
                <w:color w:val="8A96A3"/>
                <w:sz w:val="19"/>
                <w:szCs w:val="19"/>
              </w:rPr>
              <w:t xml:space="preserve">Adversarial test harness</w:t>
            </w:r>
          </w:p>
        </w:tc>
      </w:tr>
      <w:tr>
        <w:tc>
          <w:tcPr>
            <w:tcW w:type="dxa" w:w="24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C1C1C"/>
                <w:sz w:val="20"/>
                <w:szCs w:val="20"/>
              </w:rPr>
              <w:t xml:space="preserve">Availability</w:t>
            </w:r>
          </w:p>
        </w:tc>
        <w:tc>
          <w:tcPr>
            <w:tcW w:type="dxa" w:w="39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20"/>
                <w:szCs w:val="20"/>
              </w:rPr>
              <w:t xml:space="preserve">99.5% uptime during business hours (09:00–18:00 local)</w:t>
            </w:r>
          </w:p>
        </w:tc>
        <w:tc>
          <w:tcPr>
            <w:tcW w:type="dxa" w:w="30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i/>
                <w:iCs/>
                <w:color w:val="8A96A3"/>
                <w:sz w:val="19"/>
                <w:szCs w:val="19"/>
              </w:rPr>
              <w:t xml:space="preserve">Uptime monitor</w:t>
            </w:r>
          </w:p>
        </w:tc>
      </w:tr>
      <w:tr>
        <w:tc>
          <w:tcPr>
            <w:tcW w:type="dxa" w:w="24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C1C1C"/>
                <w:sz w:val="20"/>
                <w:szCs w:val="20"/>
              </w:rPr>
              <w:t xml:space="preserve">Data Privacy</w:t>
            </w:r>
          </w:p>
        </w:tc>
        <w:tc>
          <w:tcPr>
            <w:tcW w:type="dxa" w:w="39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20"/>
                <w:szCs w:val="20"/>
              </w:rPr>
              <w:t xml:space="preserve">Source code never leaves the organisation's VPC</w:t>
            </w:r>
          </w:p>
        </w:tc>
        <w:tc>
          <w:tcPr>
            <w:tcW w:type="dxa" w:w="30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i/>
                <w:iCs/>
                <w:color w:val="8A96A3"/>
                <w:sz w:val="19"/>
                <w:szCs w:val="19"/>
              </w:rPr>
              <w:t xml:space="preserve">Network egress audit</w:t>
            </w:r>
          </w:p>
        </w:tc>
      </w:tr>
      <w:tr>
        <w:tc>
          <w:tcPr>
            <w:tcW w:type="dxa" w:w="24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C1C1C"/>
                <w:sz w:val="20"/>
                <w:szCs w:val="20"/>
              </w:rPr>
              <w:t xml:space="preserve">Auditability</w:t>
            </w:r>
          </w:p>
        </w:tc>
        <w:tc>
          <w:tcPr>
            <w:tcW w:type="dxa" w:w="39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20"/>
                <w:szCs w:val="20"/>
              </w:rPr>
              <w:t xml:space="preserve">Every scan result retained for 90 days with full provenance</w:t>
            </w:r>
          </w:p>
        </w:tc>
        <w:tc>
          <w:tcPr>
            <w:tcW w:type="dxa" w:w="30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i/>
                <w:iCs/>
                <w:color w:val="8A96A3"/>
                <w:sz w:val="19"/>
                <w:szCs w:val="19"/>
              </w:rPr>
              <w:t xml:space="preserve">Log retention policy</w:t>
            </w:r>
          </w:p>
        </w:tc>
      </w:tr>
    </w:tbl>
    <w:p>
      <w:r>
        <w:br w:type="page"/>
      </w:r>
    </w:p>
    <w:p>
      <w:pPr>
        <w:pStyle w:val="Heading1"/>
        <w:shd w:fill="1E3A5F" w:val="clear"/>
        <w:spacing w:after="240" w:before="480"/>
      </w:pPr>
      <w:r>
        <w:rPr>
          <w:rFonts w:ascii="Arial" w:cs="Arial" w:eastAsia="Arial" w:hAnsi="Arial"/>
          <w:b/>
          <w:bCs/>
          <w:color w:val="FFFFFF"/>
          <w:sz w:val="36"/>
          <w:szCs w:val="36"/>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120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3760"/>
            <w:tcBorders>
              <w:top w:val="single" w:color="1E3A5F" w:sz="4"/>
              <w:left w:val="single" w:color="1E3A5F" w:sz="4"/>
              <w:bottom w:val="single" w:color="1E3A5F" w:sz="4"/>
              <w:right w:val="single" w:color="1E3A5F" w:sz="4"/>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32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19"/>
                <w:szCs w:val="19"/>
              </w:rPr>
              <w:t xml:space="preserve">LLM API rate limits slow CI pipeline</w:t>
            </w:r>
          </w:p>
        </w:tc>
        <w:tc>
          <w:tcPr>
            <w:tcW w:type="dxa" w:w="1200"/>
            <w:tcBorders>
              <w:top w:val="single" w:color="DDE1E7" w:sz="4"/>
              <w:left w:val="single" w:color="DDE1E7" w:sz="4"/>
              <w:bottom w:val="single" w:color="DDE1E7" w:sz="4"/>
              <w:right w:val="single" w:color="DDE1E7" w:sz="4"/>
            </w:tcBorders>
            <w:shd w:fill="FEF9E7" w:val="clear"/>
            <w:tcMar>
              <w:top w:type="dxa" w:w="90"/>
              <w:left w:type="dxa" w:w="100"/>
              <w:bottom w:type="dxa" w:w="90"/>
              <w:right w:type="dxa" w:w="100"/>
            </w:tcMar>
          </w:tcPr>
          <w:p>
            <w:pPr>
              <w:jc w:val="center"/>
            </w:pPr>
            <w:r>
              <w:rPr>
                <w:rFonts w:ascii="Arial" w:cs="Arial" w:eastAsia="Arial" w:hAnsi="Arial"/>
                <w:b/>
                <w:bCs/>
                <w:color w:val="9B7D0A"/>
                <w:sz w:val="18"/>
                <w:szCs w:val="18"/>
              </w:rPr>
              <w:t xml:space="preserve">Medium</w:t>
            </w:r>
          </w:p>
        </w:tc>
        <w:tc>
          <w:tcPr>
            <w:tcW w:type="dxa" w:w="1200"/>
            <w:tcBorders>
              <w:top w:val="single" w:color="DDE1E7" w:sz="4"/>
              <w:left w:val="single" w:color="DDE1E7" w:sz="4"/>
              <w:bottom w:val="single" w:color="DDE1E7" w:sz="4"/>
              <w:right w:val="single" w:color="DDE1E7" w:sz="4"/>
            </w:tcBorders>
            <w:shd w:fill="FEF9E7" w:val="clear"/>
            <w:tcMar>
              <w:top w:type="dxa" w:w="90"/>
              <w:left w:type="dxa" w:w="100"/>
              <w:bottom w:type="dxa" w:w="90"/>
              <w:right w:type="dxa" w:w="100"/>
            </w:tcMar>
          </w:tcPr>
          <w:p>
            <w:pPr>
              <w:jc w:val="center"/>
            </w:pPr>
            <w:r>
              <w:rPr>
                <w:rFonts w:ascii="Arial" w:cs="Arial" w:eastAsia="Arial" w:hAnsi="Arial"/>
                <w:b/>
                <w:bCs/>
                <w:color w:val="9B7D0A"/>
                <w:sz w:val="18"/>
                <w:szCs w:val="18"/>
              </w:rPr>
              <w:t xml:space="preserve">High</w:t>
            </w:r>
          </w:p>
        </w:tc>
        <w:tc>
          <w:tcPr>
            <w:tcW w:type="dxa" w:w="37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18"/>
                <w:szCs w:val="18"/>
              </w:rPr>
              <w:t xml:space="preserve">Implement token-bucket client-side throttling + fallback to AST-only mode</w:t>
            </w:r>
          </w:p>
        </w:tc>
      </w:tr>
      <w:tr>
        <w:tc>
          <w:tcPr>
            <w:tcW w:type="dxa" w:w="32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9"/>
                <w:szCs w:val="19"/>
              </w:rPr>
              <w:t xml:space="preserve">High false-positive rate erodes developer trust</w:t>
            </w:r>
          </w:p>
        </w:tc>
        <w:tc>
          <w:tcPr>
            <w:tcW w:type="dxa" w:w="1200"/>
            <w:tcBorders>
              <w:top w:val="single" w:color="DDE1E7" w:sz="4"/>
              <w:left w:val="single" w:color="DDE1E7" w:sz="4"/>
              <w:bottom w:val="single" w:color="DDE1E7" w:sz="4"/>
              <w:right w:val="single" w:color="DDE1E7" w:sz="4"/>
            </w:tcBorders>
            <w:shd w:fill="FADBD8" w:val="clear"/>
            <w:tcMar>
              <w:top w:type="dxa" w:w="90"/>
              <w:left w:type="dxa" w:w="100"/>
              <w:bottom w:type="dxa" w:w="90"/>
              <w:right w:type="dxa" w:w="100"/>
            </w:tcMar>
          </w:tcPr>
          <w:p>
            <w:pPr>
              <w:jc w:val="center"/>
            </w:pPr>
            <w:r>
              <w:rPr>
                <w:rFonts w:ascii="Arial" w:cs="Arial" w:eastAsia="Arial" w:hAnsi="Arial"/>
                <w:b/>
                <w:bCs/>
                <w:color w:val="C0392B"/>
                <w:sz w:val="18"/>
                <w:szCs w:val="18"/>
              </w:rPr>
              <w:t xml:space="preserve">High</w:t>
            </w:r>
          </w:p>
        </w:tc>
        <w:tc>
          <w:tcPr>
            <w:tcW w:type="dxa" w:w="1200"/>
            <w:tcBorders>
              <w:top w:val="single" w:color="DDE1E7" w:sz="4"/>
              <w:left w:val="single" w:color="DDE1E7" w:sz="4"/>
              <w:bottom w:val="single" w:color="DDE1E7" w:sz="4"/>
              <w:right w:val="single" w:color="DDE1E7" w:sz="4"/>
            </w:tcBorders>
            <w:shd w:fill="FADBD8" w:val="clear"/>
            <w:tcMar>
              <w:top w:type="dxa" w:w="90"/>
              <w:left w:type="dxa" w:w="100"/>
              <w:bottom w:type="dxa" w:w="90"/>
              <w:right w:type="dxa" w:w="100"/>
            </w:tcMar>
          </w:tcPr>
          <w:p>
            <w:pPr>
              <w:jc w:val="center"/>
            </w:pPr>
            <w:r>
              <w:rPr>
                <w:rFonts w:ascii="Arial" w:cs="Arial" w:eastAsia="Arial" w:hAnsi="Arial"/>
                <w:b/>
                <w:bCs/>
                <w:color w:val="C0392B"/>
                <w:sz w:val="18"/>
                <w:szCs w:val="18"/>
              </w:rPr>
              <w:t xml:space="preserve">Critical</w:t>
            </w:r>
          </w:p>
        </w:tc>
        <w:tc>
          <w:tcPr>
            <w:tcW w:type="dxa" w:w="37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8"/>
                <w:szCs w:val="18"/>
              </w:rPr>
              <w:t xml:space="preserve">Confidence threshold tuning workflow; weekly FP audit with team leads</w:t>
            </w:r>
          </w:p>
        </w:tc>
      </w:tr>
      <w:tr>
        <w:tc>
          <w:tcPr>
            <w:tcW w:type="dxa" w:w="32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19"/>
                <w:szCs w:val="19"/>
              </w:rPr>
              <w:t xml:space="preserve">JavaParser fails on annotation processors / Lombok</w:t>
            </w:r>
          </w:p>
        </w:tc>
        <w:tc>
          <w:tcPr>
            <w:tcW w:type="dxa" w:w="1200"/>
            <w:tcBorders>
              <w:top w:val="single" w:color="DDE1E7" w:sz="4"/>
              <w:left w:val="single" w:color="DDE1E7" w:sz="4"/>
              <w:bottom w:val="single" w:color="DDE1E7" w:sz="4"/>
              <w:right w:val="single" w:color="DDE1E7" w:sz="4"/>
            </w:tcBorders>
            <w:shd w:fill="FEF9E7" w:val="clear"/>
            <w:tcMar>
              <w:top w:type="dxa" w:w="90"/>
              <w:left w:type="dxa" w:w="100"/>
              <w:bottom w:type="dxa" w:w="90"/>
              <w:right w:type="dxa" w:w="100"/>
            </w:tcMar>
          </w:tcPr>
          <w:p>
            <w:pPr>
              <w:jc w:val="center"/>
            </w:pPr>
            <w:r>
              <w:rPr>
                <w:rFonts w:ascii="Arial" w:cs="Arial" w:eastAsia="Arial" w:hAnsi="Arial"/>
                <w:b/>
                <w:bCs/>
                <w:color w:val="9B7D0A"/>
                <w:sz w:val="18"/>
                <w:szCs w:val="18"/>
              </w:rPr>
              <w:t xml:space="preserve">Medium</w:t>
            </w:r>
          </w:p>
        </w:tc>
        <w:tc>
          <w:tcPr>
            <w:tcW w:type="dxa" w:w="1200"/>
            <w:tcBorders>
              <w:top w:val="single" w:color="DDE1E7" w:sz="4"/>
              <w:left w:val="single" w:color="DDE1E7" w:sz="4"/>
              <w:bottom w:val="single" w:color="DDE1E7" w:sz="4"/>
              <w:right w:val="single" w:color="DDE1E7" w:sz="4"/>
            </w:tcBorders>
            <w:shd w:fill="D5F5E3" w:val="clear"/>
            <w:tcMar>
              <w:top w:type="dxa" w:w="90"/>
              <w:left w:type="dxa" w:w="100"/>
              <w:bottom w:type="dxa" w:w="90"/>
              <w:right w:type="dxa" w:w="100"/>
            </w:tcMar>
          </w:tcPr>
          <w:p>
            <w:pPr>
              <w:jc w:val="center"/>
            </w:pPr>
            <w:r>
              <w:rPr>
                <w:rFonts w:ascii="Arial" w:cs="Arial" w:eastAsia="Arial" w:hAnsi="Arial"/>
                <w:b/>
                <w:bCs/>
                <w:color w:val="1A7A4A"/>
                <w:sz w:val="18"/>
                <w:szCs w:val="18"/>
              </w:rPr>
              <w:t xml:space="preserve">Medium</w:t>
            </w:r>
          </w:p>
        </w:tc>
        <w:tc>
          <w:tcPr>
            <w:tcW w:type="dxa" w:w="37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18"/>
                <w:szCs w:val="18"/>
              </w:rPr>
              <w:t xml:space="preserve">Pre-process with Delombok; maintain parser error skip list</w:t>
            </w:r>
          </w:p>
        </w:tc>
      </w:tr>
      <w:tr>
        <w:tc>
          <w:tcPr>
            <w:tcW w:type="dxa" w:w="32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9"/>
                <w:szCs w:val="19"/>
              </w:rPr>
              <w:t xml:space="preserve">CVE feed latency causes missed critical deps</w:t>
            </w:r>
          </w:p>
        </w:tc>
        <w:tc>
          <w:tcPr>
            <w:tcW w:type="dxa" w:w="1200"/>
            <w:tcBorders>
              <w:top w:val="single" w:color="DDE1E7" w:sz="4"/>
              <w:left w:val="single" w:color="DDE1E7" w:sz="4"/>
              <w:bottom w:val="single" w:color="DDE1E7" w:sz="4"/>
              <w:right w:val="single" w:color="DDE1E7" w:sz="4"/>
            </w:tcBorders>
            <w:shd w:fill="D5F5E3" w:val="clear"/>
            <w:tcMar>
              <w:top w:type="dxa" w:w="90"/>
              <w:left w:type="dxa" w:w="100"/>
              <w:bottom w:type="dxa" w:w="90"/>
              <w:right w:type="dxa" w:w="100"/>
            </w:tcMar>
          </w:tcPr>
          <w:p>
            <w:pPr>
              <w:jc w:val="center"/>
            </w:pPr>
            <w:r>
              <w:rPr>
                <w:rFonts w:ascii="Arial" w:cs="Arial" w:eastAsia="Arial" w:hAnsi="Arial"/>
                <w:b/>
                <w:bCs/>
                <w:color w:val="1A7A4A"/>
                <w:sz w:val="18"/>
                <w:szCs w:val="18"/>
              </w:rPr>
              <w:t xml:space="preserve">Low</w:t>
            </w:r>
          </w:p>
        </w:tc>
        <w:tc>
          <w:tcPr>
            <w:tcW w:type="dxa" w:w="1200"/>
            <w:tcBorders>
              <w:top w:val="single" w:color="DDE1E7" w:sz="4"/>
              <w:left w:val="single" w:color="DDE1E7" w:sz="4"/>
              <w:bottom w:val="single" w:color="DDE1E7" w:sz="4"/>
              <w:right w:val="single" w:color="DDE1E7" w:sz="4"/>
            </w:tcBorders>
            <w:shd w:fill="FEF9E7" w:val="clear"/>
            <w:tcMar>
              <w:top w:type="dxa" w:w="90"/>
              <w:left w:type="dxa" w:w="100"/>
              <w:bottom w:type="dxa" w:w="90"/>
              <w:right w:type="dxa" w:w="100"/>
            </w:tcMar>
          </w:tcPr>
          <w:p>
            <w:pPr>
              <w:jc w:val="center"/>
            </w:pPr>
            <w:r>
              <w:rPr>
                <w:rFonts w:ascii="Arial" w:cs="Arial" w:eastAsia="Arial" w:hAnsi="Arial"/>
                <w:b/>
                <w:bCs/>
                <w:color w:val="9B7D0A"/>
                <w:sz w:val="18"/>
                <w:szCs w:val="18"/>
              </w:rPr>
              <w:t xml:space="preserve">High</w:t>
            </w:r>
          </w:p>
        </w:tc>
        <w:tc>
          <w:tcPr>
            <w:tcW w:type="dxa" w:w="37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8"/>
                <w:szCs w:val="18"/>
              </w:rPr>
              <w:t xml:space="preserve">Cache NVD feed with 6h TTL; alert on feed staleness &gt; 24 h</w:t>
            </w:r>
          </w:p>
        </w:tc>
      </w:tr>
      <w:tr>
        <w:tc>
          <w:tcPr>
            <w:tcW w:type="dxa" w:w="32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19"/>
                <w:szCs w:val="19"/>
              </w:rPr>
              <w:t xml:space="preserve">Scope creep into auto-fix territory in v1</w:t>
            </w:r>
          </w:p>
        </w:tc>
        <w:tc>
          <w:tcPr>
            <w:tcW w:type="dxa" w:w="1200"/>
            <w:tcBorders>
              <w:top w:val="single" w:color="DDE1E7" w:sz="4"/>
              <w:left w:val="single" w:color="DDE1E7" w:sz="4"/>
              <w:bottom w:val="single" w:color="DDE1E7" w:sz="4"/>
              <w:right w:val="single" w:color="DDE1E7" w:sz="4"/>
            </w:tcBorders>
            <w:shd w:fill="FEF9E7" w:val="clear"/>
            <w:tcMar>
              <w:top w:type="dxa" w:w="90"/>
              <w:left w:type="dxa" w:w="100"/>
              <w:bottom w:type="dxa" w:w="90"/>
              <w:right w:type="dxa" w:w="100"/>
            </w:tcMar>
          </w:tcPr>
          <w:p>
            <w:pPr>
              <w:jc w:val="center"/>
            </w:pPr>
            <w:r>
              <w:rPr>
                <w:rFonts w:ascii="Arial" w:cs="Arial" w:eastAsia="Arial" w:hAnsi="Arial"/>
                <w:b/>
                <w:bCs/>
                <w:color w:val="9B7D0A"/>
                <w:sz w:val="18"/>
                <w:szCs w:val="18"/>
              </w:rPr>
              <w:t xml:space="preserve">Medium</w:t>
            </w:r>
          </w:p>
        </w:tc>
        <w:tc>
          <w:tcPr>
            <w:tcW w:type="dxa" w:w="1200"/>
            <w:tcBorders>
              <w:top w:val="single" w:color="DDE1E7" w:sz="4"/>
              <w:left w:val="single" w:color="DDE1E7" w:sz="4"/>
              <w:bottom w:val="single" w:color="DDE1E7" w:sz="4"/>
              <w:right w:val="single" w:color="DDE1E7" w:sz="4"/>
            </w:tcBorders>
            <w:shd w:fill="D5F5E3" w:val="clear"/>
            <w:tcMar>
              <w:top w:type="dxa" w:w="90"/>
              <w:left w:type="dxa" w:w="100"/>
              <w:bottom w:type="dxa" w:w="90"/>
              <w:right w:type="dxa" w:w="100"/>
            </w:tcMar>
          </w:tcPr>
          <w:p>
            <w:pPr>
              <w:jc w:val="center"/>
            </w:pPr>
            <w:r>
              <w:rPr>
                <w:rFonts w:ascii="Arial" w:cs="Arial" w:eastAsia="Arial" w:hAnsi="Arial"/>
                <w:b/>
                <w:bCs/>
                <w:color w:val="1A7A4A"/>
                <w:sz w:val="18"/>
                <w:szCs w:val="18"/>
              </w:rPr>
              <w:t xml:space="preserve">Medium</w:t>
            </w:r>
          </w:p>
        </w:tc>
        <w:tc>
          <w:tcPr>
            <w:tcW w:type="dxa" w:w="37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18"/>
                <w:szCs w:val="18"/>
              </w:rPr>
              <w:t xml:space="preserve">Strict change request process; v2 roadmap for auto-fix</w:t>
            </w:r>
          </w:p>
        </w:tc>
      </w:tr>
      <w:tr>
        <w:tc>
          <w:tcPr>
            <w:tcW w:type="dxa" w:w="32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9"/>
                <w:szCs w:val="19"/>
              </w:rPr>
              <w:t xml:space="preserve">Context window limits for large service classes</w:t>
            </w:r>
          </w:p>
        </w:tc>
        <w:tc>
          <w:tcPr>
            <w:tcW w:type="dxa" w:w="1200"/>
            <w:tcBorders>
              <w:top w:val="single" w:color="DDE1E7" w:sz="4"/>
              <w:left w:val="single" w:color="DDE1E7" w:sz="4"/>
              <w:bottom w:val="single" w:color="DDE1E7" w:sz="4"/>
              <w:right w:val="single" w:color="DDE1E7" w:sz="4"/>
            </w:tcBorders>
            <w:shd w:fill="FADBD8" w:val="clear"/>
            <w:tcMar>
              <w:top w:type="dxa" w:w="90"/>
              <w:left w:type="dxa" w:w="100"/>
              <w:bottom w:type="dxa" w:w="90"/>
              <w:right w:type="dxa" w:w="100"/>
            </w:tcMar>
          </w:tcPr>
          <w:p>
            <w:pPr>
              <w:jc w:val="center"/>
            </w:pPr>
            <w:r>
              <w:rPr>
                <w:rFonts w:ascii="Arial" w:cs="Arial" w:eastAsia="Arial" w:hAnsi="Arial"/>
                <w:b/>
                <w:bCs/>
                <w:color w:val="C0392B"/>
                <w:sz w:val="18"/>
                <w:szCs w:val="18"/>
              </w:rPr>
              <w:t xml:space="preserve">High</w:t>
            </w:r>
          </w:p>
        </w:tc>
        <w:tc>
          <w:tcPr>
            <w:tcW w:type="dxa" w:w="1200"/>
            <w:tcBorders>
              <w:top w:val="single" w:color="DDE1E7" w:sz="4"/>
              <w:left w:val="single" w:color="DDE1E7" w:sz="4"/>
              <w:bottom w:val="single" w:color="DDE1E7" w:sz="4"/>
              <w:right w:val="single" w:color="DDE1E7" w:sz="4"/>
            </w:tcBorders>
            <w:shd w:fill="D5F5E3" w:val="clear"/>
            <w:tcMar>
              <w:top w:type="dxa" w:w="90"/>
              <w:left w:type="dxa" w:w="100"/>
              <w:bottom w:type="dxa" w:w="90"/>
              <w:right w:type="dxa" w:w="100"/>
            </w:tcMar>
          </w:tcPr>
          <w:p>
            <w:pPr>
              <w:jc w:val="center"/>
            </w:pPr>
            <w:r>
              <w:rPr>
                <w:rFonts w:ascii="Arial" w:cs="Arial" w:eastAsia="Arial" w:hAnsi="Arial"/>
                <w:b/>
                <w:bCs/>
                <w:color w:val="1A7A4A"/>
                <w:sz w:val="18"/>
                <w:szCs w:val="18"/>
              </w:rPr>
              <w:t xml:space="preserve">Medium</w:t>
            </w:r>
          </w:p>
        </w:tc>
        <w:tc>
          <w:tcPr>
            <w:tcW w:type="dxa" w:w="37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18"/>
                <w:szCs w:val="18"/>
              </w:rPr>
              <w:t xml:space="preserve">Sliding window chunking; prioritise entry-point methods</w:t>
            </w:r>
          </w:p>
        </w:tc>
      </w:tr>
    </w:tbl>
    <w:p>
      <w:r>
        <w:br w:type="page"/>
      </w:r>
    </w:p>
    <w:p>
      <w:pPr>
        <w:pStyle w:val="Heading1"/>
        <w:shd w:fill="1E3A5F" w:val="clear"/>
        <w:spacing w:after="240" w:before="480"/>
      </w:pPr>
      <w:r>
        <w:rPr>
          <w:rFonts w:ascii="Arial" w:cs="Arial" w:eastAsia="Arial" w:hAnsi="Arial"/>
          <w:b/>
          <w:bCs/>
          <w:color w:val="FFFFFF"/>
          <w:sz w:val="36"/>
          <w:szCs w:val="36"/>
        </w:rPr>
        <w:t xml:space="preserve">11.  Architecture Decision Log</w:t>
      </w:r>
    </w:p>
    <w:p>
      <w:pPr>
        <w:pStyle w:val="Heading2"/>
        <w:pBdr>
          <w:bottom w:val="single" w:color="2E6DA4" w:sz="6"/>
        </w:pBdr>
        <w:spacing w:after="180" w:before="360"/>
      </w:pPr>
      <w:r>
        <w:rPr>
          <w:rFonts w:ascii="Arial" w:cs="Arial" w:eastAsia="Arial" w:hAnsi="Arial"/>
          <w:b/>
          <w:bCs/>
          <w:color w:val="1E3A5F"/>
          <w:sz w:val="28"/>
          <w:szCs w:val="28"/>
        </w:rPr>
        <w:t xml:space="preserve">ADR-001: JavaParser over JDT</w:t>
      </w:r>
    </w:p>
    <w:p>
      <w:pPr>
        <w:spacing w:after="80" w:before="80"/>
      </w:pPr>
      <w:r>
        <w:rPr>
          <w:rFonts w:ascii="Arial" w:cs="Arial" w:eastAsia="Arial" w:hAnsi="Arial"/>
          <w:color w:val="1C1C1C"/>
          <w:sz w:val="22"/>
          <w:szCs w:val="22"/>
        </w:rPr>
        <w:t xml:space="preserve">Decision: Use JavaParser 3.28+ as the AST library rather than Eclipse JDT.</w:t>
      </w:r>
    </w:p>
    <w:p>
      <w:pPr>
        <w:spacing w:after="80" w:before="80"/>
      </w:pPr>
      <w:r>
        <w:rPr>
          <w:rFonts w:ascii="Arial" w:cs="Arial" w:eastAsia="Arial" w:hAnsi="Arial"/>
          <w:color w:val="1C1C1C"/>
          <w:sz w:val="22"/>
          <w:szCs w:val="22"/>
        </w:rPr>
        <w:t xml:space="preserve">Rationale: JavaParser is standalone (no Eclipse runtime dependency), has a clean fluent API, supports Java 1-25 including Java 25 LTS preview features (scoped values, primitive patterns). JDT requires an OSGi container and adds 40 MB to the distribution.</w:t>
      </w:r>
    </w:p>
    <w:p>
      <w:pPr>
        <w:spacing w:after="80" w:before="80"/>
      </w:pPr>
      <w:r>
        <w:rPr>
          <w:rFonts w:ascii="Arial" w:cs="Arial" w:eastAsia="Arial" w:hAnsi="Arial"/>
          <w:color w:val="1C1C1C"/>
          <w:sz w:val="22"/>
          <w:szCs w:val="22"/>
        </w:rPr>
        <w:t xml:space="preserve">Consequence: Some incremental compilation optimisations available in JDT are unavailable; symbol resolution requires explicit classpath configuration.</w:t>
      </w:r>
    </w:p>
    <w:p>
      <w:pPr>
        <w:spacing w:after="0" w:before="120"/>
      </w:pPr>
    </w:p>
    <w:p>
      <w:pPr>
        <w:pStyle w:val="Heading2"/>
        <w:pBdr>
          <w:bottom w:val="single" w:color="2E6DA4" w:sz="6"/>
        </w:pBdr>
        <w:spacing w:after="180" w:before="360"/>
      </w:pPr>
      <w:r>
        <w:rPr>
          <w:rFonts w:ascii="Arial" w:cs="Arial" w:eastAsia="Arial" w:hAnsi="Arial"/>
          <w:b/>
          <w:bCs/>
          <w:color w:val="1E3A5F"/>
          <w:sz w:val="28"/>
          <w:szCs w:val="28"/>
        </w:rPr>
        <w:t xml:space="preserve">ADR-002: Reactive Pipeline with Project Reactor</w:t>
      </w:r>
    </w:p>
    <w:p>
      <w:pPr>
        <w:spacing w:after="80" w:before="80"/>
      </w:pPr>
      <w:r>
        <w:rPr>
          <w:rFonts w:ascii="Arial" w:cs="Arial" w:eastAsia="Arial" w:hAnsi="Arial"/>
          <w:color w:val="1C1C1C"/>
          <w:sz w:val="22"/>
          <w:szCs w:val="22"/>
        </w:rPr>
        <w:t xml:space="preserve">Decision: The six-stage pipeline uses Project Reactor 3.8.x (2025.0 release train) Mono/Flux throughout.</w:t>
      </w:r>
    </w:p>
    <w:p>
      <w:pPr>
        <w:spacing w:after="80" w:before="80"/>
      </w:pPr>
      <w:r>
        <w:rPr>
          <w:rFonts w:ascii="Arial" w:cs="Arial" w:eastAsia="Arial" w:hAnsi="Arial"/>
          <w:color w:val="1C1C1C"/>
          <w:sz w:val="22"/>
          <w:szCs w:val="22"/>
        </w:rPr>
        <w:t xml:space="preserve">Rationale: Domain workers are I/O-bound (LLM API calls, Git operations). Reactive composition enables back-pressure, timeout, and retry declaratively without thread-per-request overhead.</w:t>
      </w:r>
    </w:p>
    <w:p>
      <w:pPr>
        <w:spacing w:after="80" w:before="80"/>
      </w:pPr>
      <w:r>
        <w:rPr>
          <w:rFonts w:ascii="Arial" w:cs="Arial" w:eastAsia="Arial" w:hAnsi="Arial"/>
          <w:color w:val="1C1C1C"/>
          <w:sz w:val="22"/>
          <w:szCs w:val="22"/>
        </w:rPr>
        <w:t xml:space="preserve">Consequence: All contributors must be proficient with reactive programming. Debugging requires reactor-tools block-hound instrumentation.</w:t>
      </w:r>
    </w:p>
    <w:p>
      <w:pPr>
        <w:spacing w:after="0" w:before="120"/>
      </w:pPr>
    </w:p>
    <w:p>
      <w:pPr>
        <w:pStyle w:val="Heading2"/>
        <w:pBdr>
          <w:bottom w:val="single" w:color="2E6DA4" w:sz="6"/>
        </w:pBdr>
        <w:spacing w:after="180" w:before="360"/>
      </w:pPr>
      <w:r>
        <w:rPr>
          <w:rFonts w:ascii="Arial" w:cs="Arial" w:eastAsia="Arial" w:hAnsi="Arial"/>
          <w:b/>
          <w:bCs/>
          <w:color w:val="1E3A5F"/>
          <w:sz w:val="28"/>
          <w:szCs w:val="28"/>
        </w:rPr>
        <w:t xml:space="preserve">ADR-003: LLM as Augmentation, Not Authority</w:t>
      </w:r>
    </w:p>
    <w:p>
      <w:pPr>
        <w:spacing w:after="80" w:before="80"/>
      </w:pPr>
      <w:r>
        <w:rPr>
          <w:rFonts w:ascii="Arial" w:cs="Arial" w:eastAsia="Arial" w:hAnsi="Arial"/>
          <w:color w:val="1C1C1C"/>
          <w:sz w:val="22"/>
          <w:szCs w:val="22"/>
        </w:rPr>
        <w:t xml:space="preserve">Decision: The LLM is called after deterministic AST evaluation, not before. AST findings are always authoritative; LLM adds confidence scores and remediation narrative.</w:t>
      </w:r>
    </w:p>
    <w:p>
      <w:pPr>
        <w:spacing w:after="80" w:before="80"/>
      </w:pPr>
      <w:r>
        <w:rPr>
          <w:rFonts w:ascii="Arial" w:cs="Arial" w:eastAsia="Arial" w:hAnsi="Arial"/>
          <w:color w:val="1C1C1C"/>
          <w:sz w:val="22"/>
          <w:szCs w:val="22"/>
        </w:rPr>
        <w:t xml:space="preserve">Rationale: Eliminates hallucinated file paths and line numbers. Keeps CRITICAL findings 100% deterministic. Reduces LLM token cost by 60% (only ambiguous cases escalated).</w:t>
      </w:r>
    </w:p>
    <w:p>
      <w:r>
        <w:br w:type="page"/>
      </w:r>
    </w:p>
    <w:p>
      <w:pPr>
        <w:pStyle w:val="Heading1"/>
        <w:shd w:fill="1E3A5F" w:val="clear"/>
        <w:spacing w:after="240" w:before="480"/>
      </w:pPr>
      <w:r>
        <w:rPr>
          <w:rFonts w:ascii="Arial" w:cs="Arial" w:eastAsia="Arial" w:hAnsi="Arial"/>
          <w:b/>
          <w:bCs/>
          <w:color w:val="FFFFFF"/>
          <w:sz w:val="36"/>
          <w:szCs w:val="36"/>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7160"/>
            <w:tcBorders>
              <w:top w:val="single" w:color="1E3A5F" w:sz="4"/>
              <w:left w:val="single" w:color="1E3A5F" w:sz="4"/>
              <w:bottom w:val="single" w:color="1E3A5F" w:sz="4"/>
              <w:right w:val="single" w:color="1E3A5F" w:sz="4"/>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2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E3A5F"/>
                <w:sz w:val="20"/>
                <w:szCs w:val="20"/>
              </w:rPr>
              <w:t xml:space="preserve">AST</w:t>
            </w:r>
          </w:p>
        </w:tc>
        <w:tc>
          <w:tcPr>
            <w:tcW w:type="dxa" w:w="71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20"/>
                <w:szCs w:val="20"/>
              </w:rPr>
              <w:t xml:space="preserve">Abstract Syntax Tree — a structured tree representation of Java source code produced by a parser.</w:t>
            </w:r>
          </w:p>
        </w:tc>
      </w:tr>
      <w:tr>
        <w:tc>
          <w:tcPr>
            <w:tcW w:type="dxa" w:w="22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E3A5F"/>
                <w:sz w:val="20"/>
                <w:szCs w:val="20"/>
              </w:rPr>
              <w:t xml:space="preserve">CFG</w:t>
            </w:r>
          </w:p>
        </w:tc>
        <w:tc>
          <w:tcPr>
            <w:tcW w:type="dxa" w:w="71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20"/>
                <w:szCs w:val="20"/>
              </w:rPr>
              <w:t xml:space="preserve">Control-Flow Graph — a directed graph representing all paths of execution through a method.</w:t>
            </w:r>
          </w:p>
        </w:tc>
      </w:tr>
      <w:tr>
        <w:tc>
          <w:tcPr>
            <w:tcW w:type="dxa" w:w="22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E3A5F"/>
                <w:sz w:val="20"/>
                <w:szCs w:val="20"/>
              </w:rPr>
              <w:t xml:space="preserve">CVE</w:t>
            </w:r>
          </w:p>
        </w:tc>
        <w:tc>
          <w:tcPr>
            <w:tcW w:type="dxa" w:w="71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20"/>
                <w:szCs w:val="20"/>
              </w:rPr>
              <w:t xml:space="preserve">Common Vulnerabilities and Exposures — a public catalogue of known security vulnerabilities.</w:t>
            </w:r>
          </w:p>
        </w:tc>
      </w:tr>
      <w:tr>
        <w:tc>
          <w:tcPr>
            <w:tcW w:type="dxa" w:w="22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E3A5F"/>
                <w:sz w:val="20"/>
                <w:szCs w:val="20"/>
              </w:rPr>
              <w:t xml:space="preserve">DOM</w:t>
            </w:r>
          </w:p>
        </w:tc>
        <w:tc>
          <w:tcPr>
            <w:tcW w:type="dxa" w:w="71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20"/>
                <w:szCs w:val="20"/>
              </w:rPr>
              <w:t xml:space="preserve">Domain prefix used to namespace Rule IDs (e.g., SEC, RES, OBS).</w:t>
            </w:r>
          </w:p>
        </w:tc>
      </w:tr>
      <w:tr>
        <w:tc>
          <w:tcPr>
            <w:tcW w:type="dxa" w:w="22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E3A5F"/>
                <w:sz w:val="20"/>
                <w:szCs w:val="20"/>
              </w:rPr>
              <w:t xml:space="preserve">Finding</w:t>
            </w:r>
          </w:p>
        </w:tc>
        <w:tc>
          <w:tcPr>
            <w:tcW w:type="dxa" w:w="71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20"/>
                <w:szCs w:val="20"/>
              </w:rPr>
              <w:t xml:space="preserve">A single violation or concern identified by the agent, serialised as the Finding JSON schema.</w:t>
            </w:r>
          </w:p>
        </w:tc>
      </w:tr>
      <w:tr>
        <w:tc>
          <w:tcPr>
            <w:tcW w:type="dxa" w:w="22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E3A5F"/>
                <w:sz w:val="20"/>
                <w:szCs w:val="20"/>
              </w:rPr>
              <w:t xml:space="preserve">JMCRA</w:t>
            </w:r>
          </w:p>
        </w:tc>
        <w:tc>
          <w:tcPr>
            <w:tcW w:type="dxa" w:w="71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20"/>
                <w:szCs w:val="20"/>
              </w:rPr>
              <w:t xml:space="preserve">Java Microservices Code Review Agent — the system described by this specification.</w:t>
            </w:r>
          </w:p>
        </w:tc>
      </w:tr>
      <w:tr>
        <w:tc>
          <w:tcPr>
            <w:tcW w:type="dxa" w:w="22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E3A5F"/>
                <w:sz w:val="20"/>
                <w:szCs w:val="20"/>
              </w:rPr>
              <w:t xml:space="preserve">NVD</w:t>
            </w:r>
          </w:p>
        </w:tc>
        <w:tc>
          <w:tcPr>
            <w:tcW w:type="dxa" w:w="71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20"/>
                <w:szCs w:val="20"/>
              </w:rPr>
              <w:t xml:space="preserve">National Vulnerability Database — authoritative CVE data source maintained by NIST.</w:t>
            </w:r>
          </w:p>
        </w:tc>
      </w:tr>
      <w:tr>
        <w:tc>
          <w:tcPr>
            <w:tcW w:type="dxa" w:w="22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E3A5F"/>
                <w:sz w:val="20"/>
                <w:szCs w:val="20"/>
              </w:rPr>
              <w:t xml:space="preserve">Rule</w:t>
            </w:r>
          </w:p>
        </w:tc>
        <w:tc>
          <w:tcPr>
            <w:tcW w:type="dxa" w:w="71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20"/>
                <w:szCs w:val="20"/>
              </w:rPr>
              <w:t xml:space="preserve">A named, versioned, testable evaluation function that detects a specific code concern.</w:t>
            </w:r>
          </w:p>
        </w:tc>
      </w:tr>
      <w:tr>
        <w:tc>
          <w:tcPr>
            <w:tcW w:type="dxa" w:w="22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E3A5F"/>
                <w:sz w:val="20"/>
                <w:szCs w:val="20"/>
              </w:rPr>
              <w:t xml:space="preserve">Scan</w:t>
            </w:r>
          </w:p>
        </w:tc>
        <w:tc>
          <w:tcPr>
            <w:tcW w:type="dxa" w:w="71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20"/>
                <w:szCs w:val="20"/>
              </w:rPr>
              <w:t xml:space="preserve">A single execution of the JMCRA pipeline against a repository or diff.</w:t>
            </w:r>
          </w:p>
        </w:tc>
      </w:tr>
      <w:tr>
        <w:tc>
          <w:tcPr>
            <w:tcW w:type="dxa" w:w="22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E3A5F"/>
                <w:sz w:val="20"/>
                <w:szCs w:val="20"/>
              </w:rPr>
              <w:t xml:space="preserve">SBOM</w:t>
            </w:r>
          </w:p>
        </w:tc>
        <w:tc>
          <w:tcPr>
            <w:tcW w:type="dxa" w:w="71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20"/>
                <w:szCs w:val="20"/>
              </w:rPr>
              <w:t xml:space="preserve">Software Bill of Materials — a machine-readable inventory of software components and dependencies.</w:t>
            </w:r>
          </w:p>
        </w:tc>
      </w:tr>
      <w:tr>
        <w:tc>
          <w:tcPr>
            <w:tcW w:type="dxa" w:w="220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b/>
                <w:bCs/>
                <w:color w:val="1E3A5F"/>
                <w:sz w:val="20"/>
                <w:szCs w:val="20"/>
              </w:rPr>
              <w:t xml:space="preserve">SDD</w:t>
            </w:r>
          </w:p>
        </w:tc>
        <w:tc>
          <w:tcPr>
            <w:tcW w:type="dxa" w:w="7160"/>
            <w:tcBorders>
              <w:top w:val="single" w:color="DDE1E7" w:sz="4"/>
              <w:left w:val="single" w:color="DDE1E7" w:sz="4"/>
              <w:bottom w:val="single" w:color="DDE1E7" w:sz="4"/>
              <w:right w:val="single" w:color="DDE1E7" w:sz="4"/>
            </w:tcBorders>
            <w:shd w:fill="F4F6F9" w:val="clear"/>
            <w:tcMar>
              <w:top w:type="dxa" w:w="90"/>
              <w:left w:type="dxa" w:w="140"/>
              <w:bottom w:type="dxa" w:w="90"/>
              <w:right w:type="dxa" w:w="140"/>
            </w:tcMar>
          </w:tcPr>
          <w:p>
            <w:r>
              <w:rPr>
                <w:rFonts w:ascii="Arial" w:cs="Arial" w:eastAsia="Arial" w:hAnsi="Arial"/>
                <w:sz w:val="20"/>
                <w:szCs w:val="20"/>
              </w:rPr>
              <w:t xml:space="preserve">Spec-Driven Development — methodology requiring complete specification before implementation.</w:t>
            </w:r>
          </w:p>
        </w:tc>
      </w:tr>
      <w:tr>
        <w:tc>
          <w:tcPr>
            <w:tcW w:type="dxa" w:w="220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b/>
                <w:bCs/>
                <w:color w:val="1E3A5F"/>
                <w:sz w:val="20"/>
                <w:szCs w:val="20"/>
              </w:rPr>
              <w:t xml:space="preserve">Suppression</w:t>
            </w:r>
          </w:p>
        </w:tc>
        <w:tc>
          <w:tcPr>
            <w:tcW w:type="dxa" w:w="7160"/>
            <w:tcBorders>
              <w:top w:val="single" w:color="DDE1E7" w:sz="4"/>
              <w:left w:val="single" w:color="DDE1E7" w:sz="4"/>
              <w:bottom w:val="single" w:color="DDE1E7" w:sz="4"/>
              <w:right w:val="single" w:color="DDE1E7" w:sz="4"/>
            </w:tcBorders>
            <w:shd w:fill="FFFFFF" w:val="clear"/>
            <w:tcMar>
              <w:top w:type="dxa" w:w="90"/>
              <w:left w:type="dxa" w:w="140"/>
              <w:bottom w:type="dxa" w:w="90"/>
              <w:right w:type="dxa" w:w="140"/>
            </w:tcMar>
          </w:tcPr>
          <w:p>
            <w:r>
              <w:rPr>
                <w:rFonts w:ascii="Arial" w:cs="Arial" w:eastAsia="Arial" w:hAnsi="Arial"/>
                <w:sz w:val="20"/>
                <w:szCs w:val="20"/>
              </w:rPr>
              <w:t xml:space="preserve">A deliberate, reviewed decision to silence a specific rule for a specific location.</w:t>
            </w:r>
          </w:p>
        </w:tc>
      </w:tr>
    </w:tbl>
    <w:p>
      <w:pPr>
        <w:spacing w:after="0" w:before="400"/>
      </w:pPr>
    </w:p>
    <w:p>
      <w:pPr>
        <w:jc w:val="center"/>
      </w:pPr>
      <w:r>
        <w:rPr>
          <w:rFonts w:ascii="Arial" w:cs="Arial" w:eastAsia="Arial" w:hAnsi="Arial"/>
          <w:i/>
          <w:iCs/>
          <w:color w:val="8A96A3"/>
          <w:sz w:val="22"/>
          <w:szCs w:val="22"/>
        </w:rPr>
        <w:t xml:space="preserve">— End of Specification —</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8C8E8" w:sz="4"/>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Arial" w:cs="Arial" w:eastAsia="Arial" w:hAnsi="Arial"/>
              <w:color w:val="8A96A3"/>
              <w:sz w:val="18"/>
              <w:szCs w:val="18"/>
            </w:rPr>
            <w:t xml:space="preserve">© 2025 Engineering Platform Team</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color w:val="8A96A3"/>
              <w:sz w:val="18"/>
              <w:szCs w:val="18"/>
            </w:rPr>
            <w:t xml:space="preserve">Page </w:t>
          </w:r>
          <w:r>
            <w:rPr>
              <w:rFonts w:ascii="Arial" w:cs="Arial" w:eastAsia="Arial" w:hAnsi="Arial"/>
              <w:color w:val="8A96A3"/>
              <w:sz w:val="18"/>
              <w:szCs w:val="18"/>
            </w:rPr>
            <w:fldChar w:fldCharType="begin"/>
            <w:instrText xml:space="preserve">PAGE</w:instrText>
            <w:fldChar w:fldCharType="separate"/>
            <w:fldChar w:fldCharType="end"/>
          </w:r>
          <w:r>
            <w:rPr>
              <w:rFonts w:ascii="Arial" w:cs="Arial" w:eastAsia="Arial" w:hAnsi="Arial"/>
              <w:color w:val="8A96A3"/>
              <w:sz w:val="18"/>
              <w:szCs w:val="18"/>
            </w:rPr>
            <w:t xml:space="preserve"> of </w:t>
          </w:r>
          <w:r>
            <w:rPr>
              <w:rFonts w:ascii="Arial" w:cs="Arial" w:eastAsia="Arial" w:hAnsi="Arial"/>
              <w:color w:val="8A96A3"/>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A8C8E8" w:sz="4"/>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tcPr>
        <w:p>
          <w:r>
            <w:rPr>
              <w:rFonts w:ascii="Arial" w:cs="Arial" w:eastAsia="Arial" w:hAnsi="Arial"/>
              <w:b/>
              <w:bCs/>
              <w:color w:val="1E3A5F"/>
              <w:sz w:val="20"/>
              <w:szCs w:val="20"/>
            </w:rPr>
            <w:t xml:space="preserve">Java Microservices AI Review Agent — Spec-Driven Dev</w:t>
          </w:r>
        </w:p>
      </w:tc>
      <w:tc>
        <w:tcPr>
          <w:tcW w:type="dxa" w:w="2860"/>
          <w:tcBorders>
            <w:top w:val="none" w:color="FFFFFF" w:sz="0"/>
            <w:left w:val="none" w:color="FFFFFF" w:sz="0"/>
            <w:bottom w:val="none" w:color="FFFFFF" w:sz="0"/>
            <w:right w:val="none" w:color="FFFFFF" w:sz="0"/>
          </w:tcBorders>
        </w:tcPr>
        <w:p>
          <w:pPr>
            <w:jc w:val="right"/>
          </w:pPr>
          <w:r>
            <w:rPr>
              <w:rFonts w:ascii="Arial" w:cs="Arial" w:eastAsia="Arial" w:hAnsi="Arial"/>
              <w:color w:val="8A96A3"/>
              <w:sz w:val="18"/>
              <w:szCs w:val="18"/>
            </w:rPr>
            <w:t xml:space="preserve">CONFIDENTIAL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E3A5F" w:val="clear"/>
      <w:spacing w:after="24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Microservices AI Code Review Agent — SDD Specification</dc:title>
  <dc:creator>Engineering Platform Team</dc:creator>
  <dc:description>Spec-Driven Development blueprint for JMCRA v1.0</dc:description>
  <cp:lastModifiedBy>Un-named</cp:lastModifiedBy>
  <cp:revision>1</cp:revision>
  <dcterms:created xsi:type="dcterms:W3CDTF">2026-04-08T23:56:18.172Z</dcterms:created>
  <dcterms:modified xsi:type="dcterms:W3CDTF">2026-04-08T23:56:18.173Z</dcterms:modified>
</cp:coreProperties>
</file>

<file path=docProps/custom.xml><?xml version="1.0" encoding="utf-8"?>
<Properties xmlns="http://schemas.openxmlformats.org/officeDocument/2006/custom-properties" xmlns:vt="http://schemas.openxmlformats.org/officeDocument/2006/docPropsVTypes"/>
</file>