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10"/>
      </w:pPr>
      <w:r>
        <w:rPr>
          <w:sz w:val="20"/>
          <w:szCs w:val="20"/>
        </w:rPr>
        <w:t xml:space="preserve"/>
      </w:r>
    </w:p>
    <w:p>
      <w:pPr>
        <w:spacing w:before="0" w:after="60"/>
        <w:jc w:val="center"/>
      </w:pPr>
      <w:r>
        <w:rPr>
          <w:rFonts w:ascii="Arial" w:cs="Arial" w:eastAsia="Arial" w:hAnsi="Arial"/>
          <w:b/>
          <w:bCs/>
          <w:color w:val="4A3AB5"/>
          <w:spacing w:val="400"/>
          <w:sz w:val="20"/>
          <w:szCs w:val="20"/>
        </w:rPr>
        <w:t xml:space="preserve">TECHNICAL REFERENCE</w:t>
      </w:r>
    </w:p>
    <w:p>
      <w:pPr>
        <w:spacing w:before="0" w:after="20"/>
        <w:jc w:val="center"/>
      </w:pPr>
      <w:r>
        <w:rPr>
          <w:rFonts w:ascii="Arial" w:cs="Arial" w:eastAsia="Arial" w:hAnsi="Arial"/>
          <w:b/>
          <w:bCs/>
          <w:color w:val="1A1A2E"/>
          <w:sz w:val="72"/>
          <w:szCs w:val="72"/>
        </w:rPr>
        <w:t xml:space="preserve">Kampeni</w:t>
      </w:r>
    </w:p>
    <w:p>
      <w:pPr>
        <w:spacing w:before="0" w:after="60"/>
        <w:jc w:val="center"/>
      </w:pPr>
      <w:r>
        <w:rPr>
          <w:rFonts w:ascii="Arial" w:cs="Arial" w:eastAsia="Arial" w:hAnsi="Arial"/>
          <w:color w:val="444441"/>
          <w:sz w:val="36"/>
          <w:szCs w:val="36"/>
        </w:rPr>
        <w:t xml:space="preserve">Complete Data Sources</w:t>
      </w:r>
    </w:p>
    <w:p>
      <w:pPr>
        <w:pBdr>
          <w:top w:val="single" w:color="D3D1C7" w:sz="3"/>
          <w:bottom w:val="single" w:color="D3D1C7" w:sz="3"/>
        </w:pBdr>
        <w:spacing w:before="40" w:after="40"/>
        <w:jc w:val="center"/>
      </w:pPr>
      <w:r>
        <w:rPr>
          <w:rFonts w:ascii="Arial" w:cs="Arial" w:eastAsia="Arial" w:hAnsi="Arial"/>
          <w:color w:val="444441"/>
          <w:sz w:val="20"/>
          <w:szCs w:val="20"/>
        </w:rPr>
        <w:t xml:space="preserve">For CTO Review  ·  March 2026  ·  Confidential</w:t>
      </w:r>
    </w:p>
    <w:p>
      <w:pPr>
        <w:spacing w:before="0" w:after="1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4A3AB5"/>
                <w:sz w:val="44"/>
                <w:szCs w:val="44"/>
              </w:rPr>
              <w:t xml:space="preserve">30+</w:t>
            </w:r>
          </w:p>
          <w:p>
            <w:pPr>
              <w:spacing w:before="20" w:after="0"/>
              <w:jc w:val="center"/>
            </w:pPr>
            <w:r>
              <w:rPr>
                <w:rFonts w:ascii="Arial" w:cs="Arial" w:eastAsia="Arial" w:hAnsi="Arial"/>
                <w:b/>
                <w:bCs/>
                <w:color w:val="1A1A2E"/>
                <w:sz w:val="18"/>
                <w:szCs w:val="18"/>
              </w:rPr>
              <w:t xml:space="preserve">Total sources</w:t>
            </w:r>
          </w:p>
          <w:p>
            <w:pPr>
              <w:jc w:val="center"/>
            </w:pPr>
            <w:r>
              <w:rPr>
                <w:rFonts w:ascii="Arial" w:cs="Arial" w:eastAsia="Arial" w:hAnsi="Arial"/>
                <w:i/>
                <w:iCs/>
                <w:color w:val="444441"/>
                <w:sz w:val="16"/>
                <w:szCs w:val="16"/>
              </w:rPr>
              <w:t xml:space="preserve">across 7 categories</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3B6D11"/>
                <w:sz w:val="44"/>
                <w:szCs w:val="44"/>
              </w:rPr>
              <w:t xml:space="preserve">9</w:t>
            </w:r>
          </w:p>
          <w:p>
            <w:pPr>
              <w:spacing w:before="20" w:after="0"/>
              <w:jc w:val="center"/>
            </w:pPr>
            <w:r>
              <w:rPr>
                <w:rFonts w:ascii="Arial" w:cs="Arial" w:eastAsia="Arial" w:hAnsi="Arial"/>
                <w:b/>
                <w:bCs/>
                <w:color w:val="1A1A2E"/>
                <w:sz w:val="18"/>
                <w:szCs w:val="18"/>
              </w:rPr>
              <w:t xml:space="preserve">MVP sources</w:t>
            </w:r>
          </w:p>
          <w:p>
            <w:pPr>
              <w:jc w:val="center"/>
            </w:pPr>
            <w:r>
              <w:rPr>
                <w:rFonts w:ascii="Arial" w:cs="Arial" w:eastAsia="Arial" w:hAnsi="Arial"/>
                <w:i/>
                <w:iCs/>
                <w:color w:val="444441"/>
                <w:sz w:val="16"/>
                <w:szCs w:val="16"/>
              </w:rPr>
              <w:t xml:space="preserve">live at launch</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7A4A0A"/>
                <w:sz w:val="44"/>
                <w:szCs w:val="44"/>
              </w:rPr>
              <w:t xml:space="preserve">10</w:t>
            </w:r>
          </w:p>
          <w:p>
            <w:pPr>
              <w:spacing w:before="20" w:after="0"/>
              <w:jc w:val="center"/>
            </w:pPr>
            <w:r>
              <w:rPr>
                <w:rFonts w:ascii="Arial" w:cs="Arial" w:eastAsia="Arial" w:hAnsi="Arial"/>
                <w:b/>
                <w:bCs/>
                <w:color w:val="1A1A2E"/>
                <w:sz w:val="18"/>
                <w:szCs w:val="18"/>
              </w:rPr>
              <w:t xml:space="preserve">Phase 2 sources</w:t>
            </w:r>
          </w:p>
          <w:p>
            <w:pPr>
              <w:jc w:val="center"/>
            </w:pPr>
            <w:r>
              <w:rPr>
                <w:rFonts w:ascii="Arial" w:cs="Arial" w:eastAsia="Arial" w:hAnsi="Arial"/>
                <w:i/>
                <w:iCs/>
                <w:color w:val="444441"/>
                <w:sz w:val="16"/>
                <w:szCs w:val="16"/>
              </w:rPr>
              <w:t xml:space="preserve">months 7–12</w:t>
            </w:r>
          </w:p>
        </w:tc>
        <w:tc>
          <w:tcPr>
            <w:tcW w:type="dxa" w:w="2340"/>
            <w:tcBorders>
              <w:top w:val="single" w:color="CCCCCC" w:sz="1"/>
              <w:left w:val="single" w:color="CCCCCC" w:sz="1"/>
              <w:bottom w:val="single" w:color="CCCCCC" w:sz="1"/>
              <w:right w:val="single" w:color="CCCCCC" w:sz="1"/>
            </w:tcBorders>
            <w:shd w:fill="F5F4F0" w:val="clear"/>
            <w:tcMar>
              <w:top w:type="dxa" w:w="120"/>
              <w:left w:type="dxa" w:w="100"/>
              <w:bottom w:type="dxa" w:w="120"/>
              <w:right w:type="dxa" w:w="100"/>
            </w:tcMar>
          </w:tcPr>
          <w:p>
            <w:pPr>
              <w:jc w:val="center"/>
            </w:pPr>
            <w:r>
              <w:rPr>
                <w:rFonts w:ascii="Arial" w:cs="Arial" w:eastAsia="Arial" w:hAnsi="Arial"/>
                <w:b/>
                <w:bCs/>
                <w:color w:val="993C1D"/>
                <w:sz w:val="44"/>
                <w:szCs w:val="44"/>
              </w:rPr>
              <w:t xml:space="preserve">11+</w:t>
            </w:r>
          </w:p>
          <w:p>
            <w:pPr>
              <w:spacing w:before="20" w:after="0"/>
              <w:jc w:val="center"/>
            </w:pPr>
            <w:r>
              <w:rPr>
                <w:rFonts w:ascii="Arial" w:cs="Arial" w:eastAsia="Arial" w:hAnsi="Arial"/>
                <w:b/>
                <w:bCs/>
                <w:color w:val="1A1A2E"/>
                <w:sz w:val="18"/>
                <w:szCs w:val="18"/>
              </w:rPr>
              <w:t xml:space="preserve">Phase 3 sources</w:t>
            </w:r>
          </w:p>
          <w:p>
            <w:pPr>
              <w:jc w:val="center"/>
            </w:pPr>
            <w:r>
              <w:rPr>
                <w:rFonts w:ascii="Arial" w:cs="Arial" w:eastAsia="Arial" w:hAnsi="Arial"/>
                <w:i/>
                <w:iCs/>
                <w:color w:val="444441"/>
                <w:sz w:val="16"/>
                <w:szCs w:val="16"/>
              </w:rPr>
              <w:t xml:space="preserve">partnership-dependent</w:t>
            </w:r>
          </w:p>
        </w:tc>
      </w:tr>
    </w:tbl>
    <w:p>
      <w:pPr>
        <w:spacing w:before="0" w:after="140"/>
      </w:pPr>
      <w:r>
        <w:rPr>
          <w:sz w:val="20"/>
          <w:szCs w:val="20"/>
        </w:rPr>
        <w:t xml:space="preserve"/>
      </w:r>
    </w:p>
    <w:p>
      <w:pPr>
        <w:jc w:val="center"/>
      </w:pPr>
      <w:r>
        <w:rPr>
          <w:rFonts w:ascii="Arial" w:cs="Arial" w:eastAsia="Arial" w:hAnsi="Arial"/>
          <w:color w:val="444441"/>
          <w:sz w:val="20"/>
          <w:szCs w:val="20"/>
        </w:rPr>
        <w:t xml:space="preserve">Prepared by the Founding Team</w:t>
      </w:r>
    </w:p>
    <w:p>
      <w:r>
        <w:br w:type="page"/>
      </w:r>
    </w:p>
    <w:p>
      <w:pPr>
        <w:pStyle w:val="Heading1"/>
        <w:pBdr>
          <w:bottom w:val="single" w:color="4A3AB5" w:sz="8" w:space="4"/>
        </w:pBdr>
        <w:spacing w:before="400" w:after="160"/>
      </w:pPr>
      <w:r>
        <w:rPr>
          <w:rFonts w:ascii="Arial" w:cs="Arial" w:eastAsia="Arial" w:hAnsi="Arial"/>
          <w:b/>
          <w:bCs/>
          <w:color w:val="4A3AB5"/>
          <w:sz w:val="34"/>
          <w:szCs w:val="34"/>
        </w:rPr>
        <w:t xml:space="preserve">Overview</w:t>
      </w:r>
    </w:p>
    <w:p>
      <w:pPr>
        <w:spacing w:before="60" w:after="100"/>
      </w:pPr>
      <w:r>
        <w:rPr>
          <w:rFonts w:ascii="Arial" w:cs="Arial" w:eastAsia="Arial" w:hAnsi="Arial"/>
          <w:color w:val="2C2C2C"/>
          <w:sz w:val="22"/>
          <w:szCs w:val="22"/>
        </w:rPr>
        <w:t xml:space="preserve">Kampeni's intelligence quality is determined entirely by its data sources. This document is the complete reference for the CTO — every source we intend to ingest, what we collect from each one, how we access it technically, which phase it belongs to, and what the key risks or considerations are.</w:t>
      </w:r>
    </w:p>
    <w:p>
      <w:pPr>
        <w:spacing w:before="0" w:after="70"/>
      </w:pPr>
      <w:r>
        <w:rPr>
          <w:sz w:val="20"/>
          <w:szCs w:val="20"/>
        </w:rPr>
        <w:t xml:space="preserve"/>
      </w:r>
    </w:p>
    <w:p>
      <w:pPr>
        <w:spacing w:before="60" w:after="100"/>
      </w:pPr>
      <w:r>
        <w:rPr>
          <w:rFonts w:ascii="Arial" w:cs="Arial" w:eastAsia="Arial" w:hAnsi="Arial"/>
          <w:color w:val="2C2C2C"/>
          <w:sz w:val="22"/>
          <w:szCs w:val="22"/>
        </w:rPr>
        <w:t xml:space="preserve">Sources are grouped into seven categories. Each category has a different access model, a different risk profile, and a different timeline. The CTO should use this document to drive three decisions: which integrations to prioritise in the MVP build, where to budget for API costs and partnership development, and where the legal and compliance team needs to be involved before a single line of code is written.</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0F6E56"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0F6E56"/>
                <w:sz w:val="20"/>
                <w:szCs w:val="20"/>
              </w:rPr>
              <w:t xml:space="preserve">HOW TO READ THE PHASE LABELS</w:t>
            </w:r>
          </w:p>
          <w:p>
            <w:pPr>
              <w:spacing w:before="0" w:after="0"/>
            </w:pPr>
            <w:r>
              <w:rPr>
                <w:rFonts w:ascii="Arial" w:cs="Arial" w:eastAsia="Arial" w:hAnsi="Arial"/>
                <w:color w:val="2C2C2C"/>
                <w:sz w:val="21"/>
                <w:szCs w:val="21"/>
              </w:rPr>
              <w:t xml:space="preserve">MVP = build this for the PoC launch (months 1–6). Phase 2 = build in months 7–12 once MVP is proven. Phase 3 = longer-term, partnership-dependent, or legally complex sources that require groundwork before integration. A source marked Phase 3 is not unimportant — it often represents the deepest intelligence. It just cannot be rushed.</w:t>
            </w:r>
          </w:p>
        </w:tc>
      </w:tr>
    </w:tbl>
    <w:p>
      <w:pPr>
        <w:spacing w:before="0" w:after="70"/>
      </w:pPr>
      <w:r>
        <w:rPr>
          <w:sz w:val="20"/>
          <w:szCs w:val="20"/>
        </w:rPr>
        <w:t xml:space="preserve"/>
      </w:r>
    </w:p>
    <w:p>
      <w:pPr>
        <w:pStyle w:val="Heading2"/>
        <w:spacing w:before="300" w:after="100"/>
      </w:pPr>
      <w:r>
        <w:rPr>
          <w:rFonts w:ascii="Arial" w:cs="Arial" w:eastAsia="Arial" w:hAnsi="Arial"/>
          <w:b/>
          <w:bCs/>
          <w:color w:val="0F6E56"/>
          <w:sz w:val="26"/>
          <w:szCs w:val="26"/>
        </w:rPr>
        <w:t xml:space="preserve">Phase legend and colour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20"/>
            </w:tcMar>
          </w:tcPr>
          <w:p>
            <w:r>
              <w:rPr>
                <w:rFonts w:ascii="Arial" w:cs="Arial" w:eastAsia="Arial" w:hAnsi="Arial"/>
                <w:b/>
                <w:bCs/>
                <w:color w:val="3B6D11"/>
                <w:sz w:val="20"/>
                <w:szCs w:val="20"/>
              </w:rPr>
              <w:t xml:space="preserve">MVP</w:t>
            </w:r>
          </w:p>
          <w:p>
            <w:pPr>
              <w:spacing w:before="30" w:after="0"/>
            </w:pPr>
            <w:r>
              <w:rPr>
                <w:rFonts w:ascii="Arial" w:cs="Arial" w:eastAsia="Arial" w:hAnsi="Arial"/>
                <w:color w:val="444441"/>
                <w:sz w:val="18"/>
                <w:szCs w:val="18"/>
              </w:rPr>
              <w:t xml:space="preserve">Live at PoC launch — months 1–6</w:t>
            </w:r>
          </w:p>
        </w:tc>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20"/>
            </w:tcMar>
          </w:tcPr>
          <w:p>
            <w:r>
              <w:rPr>
                <w:rFonts w:ascii="Arial" w:cs="Arial" w:eastAsia="Arial" w:hAnsi="Arial"/>
                <w:b/>
                <w:bCs/>
                <w:color w:val="7A4A0A"/>
                <w:sz w:val="20"/>
                <w:szCs w:val="20"/>
              </w:rPr>
              <w:t xml:space="preserve">Phase 2</w:t>
            </w:r>
          </w:p>
          <w:p>
            <w:pPr>
              <w:spacing w:before="30" w:after="0"/>
            </w:pPr>
            <w:r>
              <w:rPr>
                <w:rFonts w:ascii="Arial" w:cs="Arial" w:eastAsia="Arial" w:hAnsi="Arial"/>
                <w:color w:val="444441"/>
                <w:sz w:val="18"/>
                <w:szCs w:val="18"/>
              </w:rPr>
              <w:t xml:space="preserve">Post-PoC build — months 7–12</w:t>
            </w:r>
          </w:p>
        </w:tc>
        <w:tc>
          <w:tcPr>
            <w:tcW w:type="dxa" w:w="234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20"/>
            </w:tcMar>
          </w:tcPr>
          <w:p>
            <w:r>
              <w:rPr>
                <w:rFonts w:ascii="Arial" w:cs="Arial" w:eastAsia="Arial" w:hAnsi="Arial"/>
                <w:b/>
                <w:bCs/>
                <w:color w:val="993C1D"/>
                <w:sz w:val="20"/>
                <w:szCs w:val="20"/>
              </w:rPr>
              <w:t xml:space="preserve">Phase 3</w:t>
            </w:r>
          </w:p>
          <w:p>
            <w:pPr>
              <w:spacing w:before="30" w:after="0"/>
            </w:pPr>
            <w:r>
              <w:rPr>
                <w:rFonts w:ascii="Arial" w:cs="Arial" w:eastAsia="Arial" w:hAnsi="Arial"/>
                <w:color w:val="444441"/>
                <w:sz w:val="18"/>
                <w:szCs w:val="18"/>
              </w:rPr>
              <w:t xml:space="preserve">Long-term / partnership-dependent</w:t>
            </w:r>
          </w:p>
        </w:tc>
        <w:tc>
          <w:tcPr>
            <w:tcW w:type="dxa" w:w="234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20"/>
            </w:tcMar>
          </w:tcPr>
          <w:p>
            <w:r>
              <w:rPr>
                <w:rFonts w:ascii="Arial" w:cs="Arial" w:eastAsia="Arial" w:hAnsi="Arial"/>
                <w:b/>
                <w:bCs/>
                <w:color w:val="A32D2D"/>
                <w:sz w:val="20"/>
                <w:szCs w:val="20"/>
              </w:rPr>
              <w:t xml:space="preserve">High risk</w:t>
            </w:r>
          </w:p>
          <w:p>
            <w:pPr>
              <w:spacing w:before="30" w:after="0"/>
            </w:pPr>
            <w:r>
              <w:rPr>
                <w:rFonts w:ascii="Arial" w:cs="Arial" w:eastAsia="Arial" w:hAnsi="Arial"/>
                <w:color w:val="444441"/>
                <w:sz w:val="18"/>
                <w:szCs w:val="18"/>
              </w:rPr>
              <w:t xml:space="preserve">Legal, cost, or access risk — needs CTO attention</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1. Social Media Platforms</w:t>
      </w:r>
    </w:p>
    <w:p>
      <w:pPr>
        <w:spacing w:before="60" w:after="100"/>
      </w:pPr>
      <w:r>
        <w:rPr>
          <w:rFonts w:ascii="Arial" w:cs="Arial" w:eastAsia="Arial" w:hAnsi="Arial"/>
          <w:color w:val="2C2C2C"/>
          <w:sz w:val="22"/>
          <w:szCs w:val="22"/>
        </w:rPr>
        <w:t xml:space="preserve">The highest-volume, fastest-moving data category. Social media is where Kenyan political conversation happens in real time — sentiment shifts, viral attacks, opponent missteps, and grassroots mobilisation all appear here first, often hours before they reach mainstream media. This is the backbone of the sentiment dashboard and a primary feed for the daily briefing.</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4A3AB5"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4A3AB5"/>
                <w:sz w:val="20"/>
                <w:szCs w:val="20"/>
              </w:rPr>
              <w:t xml:space="preserve">CTO PRIORITY NOTE</w:t>
            </w:r>
          </w:p>
          <w:p>
            <w:pPr>
              <w:spacing w:before="0" w:after="0"/>
            </w:pPr>
            <w:r>
              <w:rPr>
                <w:rFonts w:ascii="Arial" w:cs="Arial" w:eastAsia="Arial" w:hAnsi="Arial"/>
                <w:color w:val="2C2C2C"/>
                <w:sz w:val="21"/>
                <w:szCs w:val="21"/>
              </w:rPr>
              <w:t xml:space="preserve">X (Twitter) and Facebook are the two most politically significant platforms in Kenya and must be live at MVP launch. TikTok is rapidly growing among under-35 voters and should be Phase 2 priority. Instagram and YouTube carry political content but are lower signal-to-noise for Kenyan politics specifically. LinkedIn has minimal political relevance at the MCA/MP level.</w:t>
            </w:r>
          </w:p>
        </w:tc>
      </w:tr>
    </w:tbl>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1360"/>
        <w:gridCol w:w="1400"/>
      </w:tblGrid>
      <w:tr>
        <w:tc>
          <w:tcPr>
            <w:tcW w:type="dxa" w:w="17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Source</w:t>
            </w:r>
          </w:p>
        </w:tc>
        <w:tc>
          <w:tcPr>
            <w:tcW w:type="dxa" w:w="29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What we collect</w:t>
            </w:r>
          </w:p>
        </w:tc>
        <w:tc>
          <w:tcPr>
            <w:tcW w:type="dxa" w:w="20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Access method</w:t>
            </w:r>
          </w:p>
        </w:tc>
        <w:tc>
          <w:tcPr>
            <w:tcW w:type="dxa" w:w="136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r>
              <w:rPr>
                <w:rFonts w:ascii="Arial" w:cs="Arial" w:eastAsia="Arial" w:hAnsi="Arial"/>
                <w:b/>
                <w:bCs/>
                <w:color w:val="FFFFFF"/>
                <w:sz w:val="20"/>
                <w:szCs w:val="20"/>
              </w:rPr>
              <w:t xml:space="preserve">CTO note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X / Twitter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Tweets, replies, mentions, hashtags, trending topics, engagement rates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X API v2 (paid tier required — budget ~USD 100/month minimum)</w:t>
            </w:r>
          </w:p>
        </w:tc>
        <w:tc>
          <w:tcPr>
            <w:tcW w:type="dxa" w:w="136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tcPr>
          <w:p>
            <w:pPr>
              <w:jc w:val="center"/>
            </w:pPr>
            <w:r>
              <w:rPr>
                <w:rFonts w:ascii="Arial" w:cs="Arial" w:eastAsia="Arial" w:hAnsi="Arial"/>
                <w:b/>
                <w:bCs/>
                <w:color w:val="A32D2D"/>
                <w:sz w:val="18"/>
                <w:szCs w:val="18"/>
              </w:rPr>
              <w:t xml:space="preserve">High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API pricing raised significantly in 2023. Confirm access tier costs before committing to X as a primary source.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Facebook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Public posts, comments, page interactions, event pages, group activity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Meta Graph API — free tier available; elevated access requires Meta app review</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Most politically active platform in Kenya. Treat as primary source. App review can take 2–4 weeks — start early.</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TikTok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Video content, comments, share velocity, hashtag performance, duets and stitches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TikTok Research API (application required) or third-party aggregators</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Dominant platform for under-35 voters. Research API is limited — may need third-party data provider.</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Instagram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Public posts, stories, comments, Reels engagement, follower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Instagram Basic Display API (part of Meta Graph)</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Lower political signal for Kenya specifically. Build alongside TikTok in Phase 2.</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YouTube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Video content, comments, likes/dislikes, view counts, subscriber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YouTube Data API v3 — generous free quota (10,000 units/day)</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Important for tracking political speeches, rally recordings, and news clip commentary.</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LinkedIn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Professional posts, company updates, policy commentary from political figures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LinkedIn API (limited public access) or manual monitoring</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Low priority for MCA/MP level. Potentially relevant for county governor and national leadership races.</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2. News and Media</w:t>
      </w:r>
    </w:p>
    <w:p>
      <w:pPr>
        <w:spacing w:before="60" w:after="100"/>
      </w:pPr>
      <w:r>
        <w:rPr>
          <w:rFonts w:ascii="Arial" w:cs="Arial" w:eastAsia="Arial" w:hAnsi="Arial"/>
          <w:color w:val="2C2C2C"/>
          <w:sz w:val="22"/>
          <w:szCs w:val="22"/>
        </w:rPr>
        <w:t xml:space="preserve">Web scraping of Kenyan news and broadcast media. This category provides the formal media narrative around political events — more authoritative than social media but slower. Critical for the opponent tracker (press coverage monitoring) and for providing context to social sentiment shifts. Radio transcription is a significant opportunity: political radio in Kenya reaches audiences that social media does not.</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993C1D"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993C1D"/>
                <w:sz w:val="20"/>
                <w:szCs w:val="20"/>
              </w:rPr>
              <w:t xml:space="preserve">LEGAL NOTE FOR CTO</w:t>
            </w:r>
          </w:p>
          <w:p>
            <w:pPr>
              <w:spacing w:before="0" w:after="0"/>
            </w:pPr>
            <w:r>
              <w:rPr>
                <w:rFonts w:ascii="Arial" w:cs="Arial" w:eastAsia="Arial" w:hAnsi="Arial"/>
                <w:color w:val="2C2C2C"/>
                <w:sz w:val="21"/>
                <w:szCs w:val="21"/>
              </w:rPr>
              <w:t xml:space="preserve">Web scraping operates in a legal grey area. Review each outlet's robots.txt and terms of service before scraping. The safest approach is to use publicly available RSS feeds and press release endpoints where possible, reserving direct scraping for cases where no feed exists. Do not scrape behind paywalls.</w:t>
            </w:r>
          </w:p>
        </w:tc>
      </w:tr>
    </w:tbl>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1360"/>
        <w:gridCol w:w="1400"/>
      </w:tblGrid>
      <w:tr>
        <w:tc>
          <w:tcPr>
            <w:tcW w:type="dxa" w:w="17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Source</w:t>
            </w:r>
          </w:p>
        </w:tc>
        <w:tc>
          <w:tcPr>
            <w:tcW w:type="dxa" w:w="29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What we collect</w:t>
            </w:r>
          </w:p>
        </w:tc>
        <w:tc>
          <w:tcPr>
            <w:tcW w:type="dxa" w:w="20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Access method</w:t>
            </w:r>
          </w:p>
        </w:tc>
        <w:tc>
          <w:tcPr>
            <w:tcW w:type="dxa" w:w="136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r>
              <w:rPr>
                <w:rFonts w:ascii="Arial" w:cs="Arial" w:eastAsia="Arial" w:hAnsi="Arial"/>
                <w:b/>
                <w:bCs/>
                <w:color w:val="FFFFFF"/>
                <w:sz w:val="20"/>
                <w:szCs w:val="20"/>
              </w:rPr>
              <w:t xml:space="preserve">CTO note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Nation Media Group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Nation.co.ke articles, NTV video transcripts, Business Daily, political commentary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RSS feeds + HTML scraping of public pages. NTV transcripts via speech-to-text on public streams.</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Largest media group in Kenya. RSS feeds available. NTV live transcription is technically complex — phase this carefully.</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Standard Group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StandardMedia.co.ke, KTN News transcripts, political coverage and opinion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RSS feeds + HTML scraping</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Second major group. Well-structured website — scraping should be straightforward.</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Royal Media Services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Citizen Digital articles, Citizen TV transcripts — highest-reach broadcaster in Kenya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RSS feeds + HTML scraping; Citizen TV via stream transcription</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Citizen TV has the widest reach of any Kenyan broadcaster. Prioritise their political coverage.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People Daily / The Star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Articles, opinion columns, political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HTML scraping of public pages</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Smaller circulation but strong political coverage. Lightweight integration.</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Radio transcripts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Political shows on Kameme FM, Radio Citizen, Classic 105, vernacular stations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Stream capture + AI speech-to-text transcription (Whisper or equivalent)</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High value, technically complex. Radio reaches rural and older demographic that social media misses. Kameme FM is critical for Central Kenya political intelligence.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Vernacular media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Local language political commentary, community radio, regional stations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Stream capture + multilingual transcription models</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Highest complexity. Requires language models beyond Swahili/English — Kikuyu, Luo, Kalenjin. Partner with linguistics researchers.</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Blogs and opinion platforms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Political analysis, insider commentary, Medium posts, personal political blogs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RSS aggregation + curated URL monitoring</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Low volume, high signal. Political insiders publish here before mainstream media picks up stories.</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3. Government and Public Data</w:t>
      </w:r>
    </w:p>
    <w:p>
      <w:pPr>
        <w:spacing w:before="60" w:after="100"/>
      </w:pPr>
      <w:r>
        <w:rPr>
          <w:rFonts w:ascii="Arial" w:cs="Arial" w:eastAsia="Arial" w:hAnsi="Arial"/>
          <w:color w:val="2C2C2C"/>
          <w:sz w:val="22"/>
          <w:szCs w:val="22"/>
        </w:rPr>
        <w:t xml:space="preserve">Structured public data from Kenyan government institutions. This category provides the ground truth layer that social and media data cannot: who is actually registered to vote, how incumbents actually voted, what money is actually being spent where. Slower to update but enormously valuable for voter modelling and opponent profiling.</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7A4A0A"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7A4A0A"/>
                <w:sz w:val="20"/>
                <w:szCs w:val="20"/>
              </w:rPr>
              <w:t xml:space="preserve">ACCESS REALITY CHECK</w:t>
            </w:r>
          </w:p>
          <w:p>
            <w:pPr>
              <w:spacing w:before="0" w:after="0"/>
            </w:pPr>
            <w:r>
              <w:rPr>
                <w:rFonts w:ascii="Arial" w:cs="Arial" w:eastAsia="Arial" w:hAnsi="Arial"/>
                <w:color w:val="2C2C2C"/>
                <w:sz w:val="21"/>
                <w:szCs w:val="21"/>
              </w:rPr>
              <w:t xml:space="preserve">Most Kenyan government data portals are inconsistently maintained and may require direct relationship-building with institutions to get reliable data feeds. Budget time for this — these are not clean APIs. Assign the Political Director to lead government data relationship development alongside the CTO's technical integration work.</w:t>
            </w:r>
          </w:p>
        </w:tc>
      </w:tr>
    </w:tbl>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1360"/>
        <w:gridCol w:w="1400"/>
      </w:tblGrid>
      <w:tr>
        <w:tc>
          <w:tcPr>
            <w:tcW w:type="dxa" w:w="17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Source</w:t>
            </w:r>
          </w:p>
        </w:tc>
        <w:tc>
          <w:tcPr>
            <w:tcW w:type="dxa" w:w="29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What we collect</w:t>
            </w:r>
          </w:p>
        </w:tc>
        <w:tc>
          <w:tcPr>
            <w:tcW w:type="dxa" w:w="20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Access method</w:t>
            </w:r>
          </w:p>
        </w:tc>
        <w:tc>
          <w:tcPr>
            <w:tcW w:type="dxa" w:w="136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r>
              <w:rPr>
                <w:rFonts w:ascii="Arial" w:cs="Arial" w:eastAsia="Arial" w:hAnsi="Arial"/>
                <w:b/>
                <w:bCs/>
                <w:color w:val="FFFFFF"/>
                <w:sz w:val="20"/>
                <w:szCs w:val="20"/>
              </w:rPr>
              <w:t xml:space="preserve">CTO note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IEBC voter register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Registered voter counts by constituency, ward, polling station; historical registration trends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IEBC open data portal + formal data request. Full register requires institutional agreement.</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The most valuable dataset in the platform long-term. Start the access conversation with IEBC in month 1 — it will take time. Aggregate ward-level data is publicly available now.</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KNBS census data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Demographics by constituency: age, gender, education, income, employment, household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KNBS open data portal — most census data is publicly available</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Free and publicly available. Use to enrich voter profiles with demographic context. 2019 census is the current reference.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Hansard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Parliamentary proceedings, voting records, committee minutes, MP statements on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Parliament of Kenya website scraping + PDF parsing</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Critical for incumbent opponent profiling. Relatively static data — update weekly rather than real-time.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County budgets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Annual budget documents, supplementary estimates, expenditure reports by programme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County government websites — inconsistent quality; some counties have good portals, many do not</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High political value — comparing budget allocations to citizen priorities is a powerful governance tool. Quality varies enormously by county.</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eTenders / procurement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Public procurement awards, tender values, contractor names, contract periods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Public Procurement Regulatory Authority (PPRA) portal scraping</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Useful for opposition research — connecting political figures to procurement awards. Legally sensitive — ensure outputs comply with defamation considerations.</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Judiciary records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Court cases involving political figures, election petitions, criminal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Judiciary website (CasesKenya) scraping — limited search functionality</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High value for opponent vulnerability analysis. Data quality is poor — significant cleaning required. Legal review of use cases essential.</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4. Polling and Survey Data</w:t>
      </w:r>
    </w:p>
    <w:p>
      <w:pPr>
        <w:spacing w:before="60" w:after="100"/>
      </w:pPr>
      <w:r>
        <w:rPr>
          <w:rFonts w:ascii="Arial" w:cs="Arial" w:eastAsia="Arial" w:hAnsi="Arial"/>
          <w:color w:val="2C2C2C"/>
          <w:sz w:val="22"/>
          <w:szCs w:val="22"/>
        </w:rPr>
        <w:t xml:space="preserve">Third-party polling firms provide the most directly comparable benchmark for Kampeni's own sentiment analysis. Integrating polling data allows the platform to validate its models against professional surveys and to give clients context for where they stand relative to polled numbers. This category requires commercial partnerships — none of these firms offer free data access.</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0F6E56"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0F6E56"/>
                <w:sz w:val="20"/>
                <w:szCs w:val="20"/>
              </w:rPr>
              <w:t xml:space="preserve">PARTNERSHIP STRATEGY</w:t>
            </w:r>
          </w:p>
          <w:p>
            <w:pPr>
              <w:spacing w:before="0" w:after="0"/>
            </w:pPr>
            <w:r>
              <w:rPr>
                <w:rFonts w:ascii="Arial" w:cs="Arial" w:eastAsia="Arial" w:hAnsi="Arial"/>
                <w:color w:val="2C2C2C"/>
                <w:sz w:val="21"/>
                <w:szCs w:val="21"/>
              </w:rPr>
              <w:t xml:space="preserve">The right approach here is not just data integration — it is a commercial partnership. Approach Infotrak and TIFA as potential co-branded research partners: they get digital distribution and AI-powered analysis; we get data access and their brand credibility with political clients. A polling firm on the advisory board (as recommended in the CTO brief) is the fastest path to data access.</w:t>
            </w:r>
          </w:p>
        </w:tc>
      </w:tr>
    </w:tbl>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1360"/>
        <w:gridCol w:w="1400"/>
      </w:tblGrid>
      <w:tr>
        <w:tc>
          <w:tcPr>
            <w:tcW w:type="dxa" w:w="17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Source</w:t>
            </w:r>
          </w:p>
        </w:tc>
        <w:tc>
          <w:tcPr>
            <w:tcW w:type="dxa" w:w="29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What we collect</w:t>
            </w:r>
          </w:p>
        </w:tc>
        <w:tc>
          <w:tcPr>
            <w:tcW w:type="dxa" w:w="20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Access method</w:t>
            </w:r>
          </w:p>
        </w:tc>
        <w:tc>
          <w:tcPr>
            <w:tcW w:type="dxa" w:w="136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r>
              <w:rPr>
                <w:rFonts w:ascii="Arial" w:cs="Arial" w:eastAsia="Arial" w:hAnsi="Arial"/>
                <w:b/>
                <w:bCs/>
                <w:color w:val="FFFFFF"/>
                <w:sz w:val="20"/>
                <w:szCs w:val="20"/>
              </w:rPr>
              <w:t xml:space="preserve">CTO note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Infotrak Research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Presidential and county approval ratings, issue polling, voting intention surveys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Commercial data partnership — no public API. Negotiate data sharing agreement.</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Kenya's most prominent political polling firm. An advisory board seat or commercial partnership is the right access strategy.</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TIFA Research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Political polls, public opinion surveys, constituency-level sampling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Commercial data partnership</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Strong track record on Kenyan political polling. Target alongside Infotrak — having both de-risks dependence on one firm.</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Ipsos Kenya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Large-sample national surveys, tracker polls on political issues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Commercial partnership or data licensing</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Global firm with Kenya operations. More expensive to partner with but higher methodological credibility.</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Kantar TNS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Media consumption surveys, political brand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Commercial partnership</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Useful for understanding media consumption patterns that inform outreach strategy. Lower priority than direct political polling.</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GeoPoll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Mobile-based surveys across Kenya, rural and urban reach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GeoPoll API (commercial) — mobile survey delivery and response collection</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Strong rural and low-smartphone-penetration reach. Useful for constituencies where social media data is sparse.</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5. Field Intelligence</w:t>
      </w:r>
    </w:p>
    <w:p>
      <w:pPr>
        <w:spacing w:before="60" w:after="100"/>
      </w:pPr>
      <w:r>
        <w:rPr>
          <w:rFonts w:ascii="Arial" w:cs="Arial" w:eastAsia="Arial" w:hAnsi="Arial"/>
          <w:color w:val="2C2C2C"/>
          <w:sz w:val="22"/>
          <w:szCs w:val="22"/>
        </w:rPr>
        <w:t xml:space="preserve">Manual input from the candidate's own network on the ground. This is the data category that no competitor can replicate — it is proprietary to each client and captures intelligence that no API or scraper can reach: what people are saying in the market, what rumours are circulating, what the mood is at a barraza. The field agent mobile app (MVP Phase 2 in the full product roadmap) is the collection mechanism; for the MVP PoC, this data comes in via structured WhatsApp forms and manual submission.</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4A3AB5"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4A3AB5"/>
                <w:sz w:val="20"/>
                <w:szCs w:val="20"/>
              </w:rPr>
              <w:t xml:space="preserve">ARCHITECTURE NOTE FOR CTO</w:t>
            </w:r>
          </w:p>
          <w:p>
            <w:pPr>
              <w:spacing w:before="0" w:after="0"/>
            </w:pPr>
            <w:r>
              <w:rPr>
                <w:rFonts w:ascii="Arial" w:cs="Arial" w:eastAsia="Arial" w:hAnsi="Arial"/>
                <w:color w:val="2C2C2C"/>
                <w:sz w:val="21"/>
                <w:szCs w:val="21"/>
              </w:rPr>
              <w:t xml:space="preserve">Field intelligence is the most structurally different data category because it is push-based rather than pull-based. The platform does not go and fetch it — field agents submit it. This means the ingestion architecture is entirely different: a simple intake API, a structured input form (WhatsApp-compatible for MVP), and an AI classification layer that takes unstructured agent reports and converts them into structured sentiment data. Design this separately from the social media pipeline.</w:t>
            </w:r>
          </w:p>
        </w:tc>
      </w:tr>
    </w:tbl>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1360"/>
        <w:gridCol w:w="1400"/>
      </w:tblGrid>
      <w:tr>
        <w:tc>
          <w:tcPr>
            <w:tcW w:type="dxa" w:w="17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Source</w:t>
            </w:r>
          </w:p>
        </w:tc>
        <w:tc>
          <w:tcPr>
            <w:tcW w:type="dxa" w:w="29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What we collect</w:t>
            </w:r>
          </w:p>
        </w:tc>
        <w:tc>
          <w:tcPr>
            <w:tcW w:type="dxa" w:w="20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Access method</w:t>
            </w:r>
          </w:p>
        </w:tc>
        <w:tc>
          <w:tcPr>
            <w:tcW w:type="dxa" w:w="136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r>
              <w:rPr>
                <w:rFonts w:ascii="Arial" w:cs="Arial" w:eastAsia="Arial" w:hAnsi="Arial"/>
                <w:b/>
                <w:bCs/>
                <w:color w:val="FFFFFF"/>
                <w:sz w:val="20"/>
                <w:szCs w:val="20"/>
              </w:rPr>
              <w:t xml:space="preserve">CTO note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WhatsApp group reports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Sentiment summaries from political WhatsApp groups — volume of support/opposition discussion, key themes, names being mentioned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Manual: agents submit structured reports via WhatsApp form or simple web form. No API.</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The most important field intelligence source. Keep the submission format extremely simple — agents are not data analysts. Dropdown selections + optional text note is the right model.</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Door-to-door canvassing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Household visit logs: issues raised, perceived support level, follow-up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Manual: field agent mobile form (offline-capable). MVP uses simple web form; Phase 2 introduces the full field app.</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GPS-verify visits to prevent false reporting. Even a simple web form with location capture adds significant data integrity.</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Rally attendance and sentiment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Crowd size estimates, energy level, key issues raised from the floor, hecklers and opposition presence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Manual: rally report form submitted within 2 hours of event</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Simple to collect, high political value. Standardise the form so reports are comparable across events.</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Market and trading centre feedback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Street-level sentiment, economic concerns, discussions in informal markets and transport hubs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Manual: agent reports from matatu stages, markets, shopping centres</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Captures the demographic that is offline and not in political WhatsApp groups. Often the most honest read on sentiment.</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Community and religious leader feedback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Positions of chiefs, church leaders, mosque leadership, women's group chairs on the candidate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Manual: relationship-based reporting from assigned agents</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High-value endorsement intelligence. Requires specific agents with the right relationships — not every field agent can access this.</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Disinformation and rumour tracking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False stories circulating in communities, attack narratives being spread at grassroots level, source of rumours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Manual: agents flag disinformation when encountered in the field</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Critical early warning layer. Disinformation in Kenya often spreads through physical community networks before appearing online. Field agents are the only way to catch it early.</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6. Telco and Mobile Data</w:t>
      </w:r>
    </w:p>
    <w:p>
      <w:pPr>
        <w:spacing w:before="60" w:after="100"/>
      </w:pPr>
      <w:r>
        <w:rPr>
          <w:rFonts w:ascii="Arial" w:cs="Arial" w:eastAsia="Arial" w:hAnsi="Arial"/>
          <w:color w:val="2C2C2C"/>
          <w:sz w:val="22"/>
          <w:szCs w:val="22"/>
        </w:rPr>
        <w:t xml:space="preserve">The most powerful and most complex data category. Kenyan mobile money and telco data — primarily from Safaricom — represents a uniquely rich signal about economic activity, movement patterns, and financial behaviour at the constituency level. No other country in the world has M-Pesa penetration at Kenya's level, which makes this data an extraordinary political intelligence asset. However, it also represents the most significant legal and ethical complexity in the entire platform.</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A32D2D"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A32D2D"/>
                <w:sz w:val="20"/>
                <w:szCs w:val="20"/>
              </w:rPr>
              <w:t xml:space="preserve">CRITICAL LEGAL NOTE</w:t>
            </w:r>
          </w:p>
          <w:p>
            <w:pPr>
              <w:spacing w:before="0" w:after="0"/>
            </w:pPr>
            <w:r>
              <w:rPr>
                <w:rFonts w:ascii="Arial" w:cs="Arial" w:eastAsia="Arial" w:hAnsi="Arial"/>
                <w:color w:val="2C2C2C"/>
                <w:sz w:val="21"/>
                <w:szCs w:val="21"/>
              </w:rPr>
              <w:t xml:space="preserve">Individual-level telco and M-Pesa data is deeply personal and subject to strict data protection requirements under Kenya's DPA 2019 and the Communications Act. We do not pursue individual-level data. All telco integration must be at the aggregate, anonymised, constituency-level only. Any individual-level data would be both legally prohibited and ethically unacceptable. This is a hard architectural constraint — build it into the data model from day one, not as a later restriction.</w:t>
            </w:r>
          </w:p>
        </w:tc>
      </w:tr>
    </w:tbl>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1360"/>
        <w:gridCol w:w="1400"/>
      </w:tblGrid>
      <w:tr>
        <w:tc>
          <w:tcPr>
            <w:tcW w:type="dxa" w:w="17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Source</w:t>
            </w:r>
          </w:p>
        </w:tc>
        <w:tc>
          <w:tcPr>
            <w:tcW w:type="dxa" w:w="29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What we collect</w:t>
            </w:r>
          </w:p>
        </w:tc>
        <w:tc>
          <w:tcPr>
            <w:tcW w:type="dxa" w:w="20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Access method</w:t>
            </w:r>
          </w:p>
        </w:tc>
        <w:tc>
          <w:tcPr>
            <w:tcW w:type="dxa" w:w="136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r>
              <w:rPr>
                <w:rFonts w:ascii="Arial" w:cs="Arial" w:eastAsia="Arial" w:hAnsi="Arial"/>
                <w:b/>
                <w:bCs/>
                <w:color w:val="FFFFFF"/>
                <w:sz w:val="20"/>
                <w:szCs w:val="20"/>
              </w:rPr>
              <w:t xml:space="preserve">CTO note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M-Pesa aggregate flows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Aggregate transaction volume and value by constituency — not individual transactions. Economic activity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Safaricom commercial data partnership — requires formal agreement and regulatory clearance</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The single most valuable dataset in this category. Requires Safaricom partnership at a senior level. Start conversations in month 3 — this will take 6–12 months to negotiate.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Mobile money constituency patterns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Aggregate send/receive patterns between constituencies — a proxy for economic relationships and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Safaricom partnership — same agreement as above</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Useful for understanding economic interdependencies between wards. Combined with KNBS census data, highly predictive of political behaviour.</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SMS bulk analytics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Delivery rates, open rates, and response rates for campaign SMS broadcasts by 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Africa's Talking API — commercial, well-documented, straightforward integration</w:t>
            </w:r>
          </w:p>
        </w:tc>
        <w:tc>
          <w:tcPr>
            <w:tcW w:type="dxa" w:w="1360"/>
            <w:tcBorders>
              <w:top w:val="single" w:color="CCCCCC" w:sz="1"/>
              <w:left w:val="single" w:color="CCCCCC" w:sz="1"/>
              <w:bottom w:val="single" w:color="CCCCCC" w:sz="1"/>
              <w:right w:val="single" w:color="CCCCCC" w:sz="1"/>
            </w:tcBorders>
            <w:shd w:fill="EAF3DE" w:val="clear"/>
            <w:tcMar>
              <w:top w:type="dxa" w:w="80"/>
              <w:left w:type="dxa" w:w="100"/>
              <w:bottom w:type="dxa" w:w="80"/>
              <w:right w:type="dxa" w:w="100"/>
            </w:tcMar>
          </w:tcPr>
          <w:p>
            <w:pPr>
              <w:jc w:val="center"/>
            </w:pPr>
            <w:r>
              <w:rPr>
                <w:rFonts w:ascii="Arial" w:cs="Arial" w:eastAsia="Arial" w:hAnsi="Arial"/>
                <w:b/>
                <w:bCs/>
                <w:color w:val="3B6D11"/>
                <w:sz w:val="18"/>
                <w:szCs w:val="18"/>
              </w:rPr>
              <w:t xml:space="preserve">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Africa's Talking is the right SMS infrastructure partner for Kenya. Budget KES 1–2 per SMS. Integrate for both outreach delivery and analytics.</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Movement patterns (CDR)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Aggregate movement data showing population density at events, market day flows, commuting patterns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Safaricom or third-party mobility analytics provider — requires formal agreement</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Useful for rally location planning and canvassing prioritisation. Technically available but ethically sensitive even at aggregate level — get legal sign-off before integrating.</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7. Third-Party Intelligence</w:t>
      </w:r>
    </w:p>
    <w:p>
      <w:pPr>
        <w:spacing w:before="60" w:after="100"/>
      </w:pPr>
      <w:r>
        <w:rPr>
          <w:rFonts w:ascii="Arial" w:cs="Arial" w:eastAsia="Arial" w:hAnsi="Arial"/>
          <w:color w:val="2C2C2C"/>
          <w:sz w:val="22"/>
          <w:szCs w:val="22"/>
        </w:rPr>
        <w:t xml:space="preserve">Specialised external sources that augment the platform's core data categories. Most of these are partnership or licensing plays rather than direct technical integrations. Some — like Africa Check — represent both a data source and a potential institutional partner that could strengthen Kampeni's ethical positioning.</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1360"/>
        <w:gridCol w:w="1400"/>
      </w:tblGrid>
      <w:tr>
        <w:tc>
          <w:tcPr>
            <w:tcW w:type="dxa" w:w="17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Source</w:t>
            </w:r>
          </w:p>
        </w:tc>
        <w:tc>
          <w:tcPr>
            <w:tcW w:type="dxa" w:w="29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What we collect</w:t>
            </w:r>
          </w:p>
        </w:tc>
        <w:tc>
          <w:tcPr>
            <w:tcW w:type="dxa" w:w="2000"/>
            <w:tcBorders>
              <w:top w:val="single" w:color="CCCCCC" w:sz="1"/>
              <w:left w:val="single" w:color="CCCCCC" w:sz="1"/>
              <w:bottom w:val="single" w:color="CCCCCC" w:sz="1"/>
              <w:right w:val="single" w:color="CCCCCC" w:sz="1"/>
            </w:tcBorders>
            <w:shd w:fill="4A3AB5" w:val="clear"/>
            <w:tcMar>
              <w:top w:type="dxa" w:w="90"/>
              <w:left w:type="dxa" w:w="120"/>
              <w:bottom w:type="dxa" w:w="90"/>
              <w:right w:type="dxa" w:w="100"/>
            </w:tcMar>
          </w:tcPr>
          <w:p>
            <w:r>
              <w:rPr>
                <w:rFonts w:ascii="Arial" w:cs="Arial" w:eastAsia="Arial" w:hAnsi="Arial"/>
                <w:b/>
                <w:bCs/>
                <w:color w:val="FFFFFF"/>
                <w:sz w:val="20"/>
                <w:szCs w:val="20"/>
              </w:rPr>
              <w:t xml:space="preserve">Access method</w:t>
            </w:r>
          </w:p>
        </w:tc>
        <w:tc>
          <w:tcPr>
            <w:tcW w:type="dxa" w:w="136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4A3AB5" w:val="clear"/>
            <w:tcMar>
              <w:top w:type="dxa" w:w="90"/>
              <w:left w:type="dxa" w:w="100"/>
              <w:bottom w:type="dxa" w:w="90"/>
              <w:right w:type="dxa" w:w="100"/>
            </w:tcMar>
          </w:tcPr>
          <w:p>
            <w:r>
              <w:rPr>
                <w:rFonts w:ascii="Arial" w:cs="Arial" w:eastAsia="Arial" w:hAnsi="Arial"/>
                <w:b/>
                <w:bCs/>
                <w:color w:val="FFFFFF"/>
                <w:sz w:val="20"/>
                <w:szCs w:val="20"/>
              </w:rPr>
              <w:t xml:space="preserve">CTO note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Africa Check</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Fact-check verdicts on political claims, disinformation alerts, historical falsehood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Africa Check API or data partnership — they may be open to a formal integration given shared mission</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Both a data source and a strategic partner. An Africa Check integration gives Kampeni a powerful ethical differentiator: AI-generated briefings with real-time fact verification built in.</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Ushahidi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Crowdsourced incident reports, election observation data, crisis mapping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Ushahidi open API — publicly accessible</w:t>
            </w:r>
          </w:p>
        </w:tc>
        <w:tc>
          <w:tcPr>
            <w:tcW w:type="dxa" w:w="1360"/>
            <w:tcBorders>
              <w:top w:val="single" w:color="CCCCCC" w:sz="1"/>
              <w:left w:val="single" w:color="CCCCCC" w:sz="1"/>
              <w:bottom w:val="single" w:color="CCCCCC" w:sz="1"/>
              <w:right w:val="single" w:color="CCCCCC" w:sz="1"/>
            </w:tcBorders>
            <w:shd w:fill="FDF3DC" w:val="clear"/>
            <w:tcMar>
              <w:top w:type="dxa" w:w="80"/>
              <w:left w:type="dxa" w:w="100"/>
              <w:bottom w:type="dxa" w:w="80"/>
              <w:right w:type="dxa" w:w="100"/>
            </w:tcMar>
          </w:tcPr>
          <w:p>
            <w:pPr>
              <w:jc w:val="center"/>
            </w:pPr>
            <w:r>
              <w:rPr>
                <w:rFonts w:ascii="Arial" w:cs="Arial" w:eastAsia="Arial" w:hAnsi="Arial"/>
                <w:b/>
                <w:bCs/>
                <w:color w:val="7A4A0A"/>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Ushahidi is Kenyan-built and open. Strong election observation data from past cycles. Relatively straightforward API integration.</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iHub research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Technology and innovation research reports relevant to digital political engagement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Published reports — manual ingestion and indexing</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Low volume but high quality. Useful for understanding tech adoption patterns among the electorate.</w:t>
            </w:r>
          </w:p>
        </w:tc>
      </w:tr>
      <w:tr>
        <w:tc>
          <w:tcPr>
            <w:tcW w:type="dxa" w:w="1700"/>
            <w:tcBorders>
              <w:top w:val="single" w:color="CCCCCC" w:sz="1"/>
              <w:left w:val="single" w:color="CCCCCC" w:sz="1"/>
              <w:bottom w:val="single" w:color="CCCCCC" w:sz="1"/>
              <w:right w:val="single" w:color="CCCCCC" w:sz="1"/>
            </w:tcBorders>
            <w:shd w:fill="F5F4F0" w:val="clear"/>
            <w:tcMar>
              <w:top w:type="dxa" w:w="80"/>
              <w:left w:type="dxa" w:w="120"/>
              <w:bottom w:type="dxa" w:w="80"/>
              <w:right w:type="dxa" w:w="100"/>
            </w:tcMar>
          </w:tcPr>
          <w:p>
            <w:r>
              <w:rPr>
                <w:rFonts w:ascii="Arial" w:cs="Arial" w:eastAsia="Arial" w:hAnsi="Arial"/>
                <w:b/>
                <w:bCs/>
                <w:color w:val="1A1A2E"/>
                <w:sz w:val="20"/>
                <w:szCs w:val="20"/>
              </w:rPr>
              <w:t xml:space="preserve">ODPC public register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2C2C2C"/>
                <w:sz w:val="19"/>
                <w:szCs w:val="19"/>
              </w:rPr>
              <w:t xml:space="preserve">Registered data controllers and processors — useful for understanding the compliance landscape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444441"/>
                <w:sz w:val="19"/>
                <w:szCs w:val="19"/>
              </w:rPr>
              <w:t xml:space="preserve">ODPC website — manual monitoring</w:t>
            </w:r>
          </w:p>
        </w:tc>
        <w:tc>
          <w:tcPr>
            <w:tcW w:type="dxa" w:w="1360"/>
            <w:tcBorders>
              <w:top w:val="single" w:color="CCCCCC" w:sz="1"/>
              <w:left w:val="single" w:color="CCCCCC" w:sz="1"/>
              <w:bottom w:val="single" w:color="CCCCCC" w:sz="1"/>
              <w:right w:val="single" w:color="CCCCCC" w:sz="1"/>
            </w:tcBorders>
            <w:shd w:fill="FAECE7" w:val="clear"/>
            <w:tcMar>
              <w:top w:type="dxa" w:w="80"/>
              <w:left w:type="dxa" w:w="100"/>
              <w:bottom w:type="dxa" w:w="80"/>
              <w:right w:type="dxa" w:w="100"/>
            </w:tcMar>
          </w:tcPr>
          <w:p>
            <w:pPr>
              <w:jc w:val="center"/>
            </w:pPr>
            <w:r>
              <w:rPr>
                <w:rFonts w:ascii="Arial" w:cs="Arial" w:eastAsia="Arial" w:hAnsi="Arial"/>
                <w:b/>
                <w:bCs/>
                <w:color w:val="993C1D"/>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444441"/>
                <w:sz w:val="18"/>
                <w:szCs w:val="18"/>
              </w:rPr>
              <w:t xml:space="preserve">Primarily useful for competitive intelligence and compliance monitoring rather than political intelligence.</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Priority Summary for the CTO</w:t>
      </w:r>
    </w:p>
    <w:p>
      <w:pPr>
        <w:spacing w:before="60" w:after="100"/>
      </w:pPr>
      <w:r>
        <w:rPr>
          <w:rFonts w:ascii="Arial" w:cs="Arial" w:eastAsia="Arial" w:hAnsi="Arial"/>
          <w:color w:val="2C2C2C"/>
          <w:sz w:val="22"/>
          <w:szCs w:val="22"/>
        </w:rPr>
        <w:t xml:space="preserve">This section consolidates the build sequence across all seven categories. Use this as the engineering backlog framework.</w:t>
      </w:r>
    </w:p>
    <w:p>
      <w:pPr>
        <w:spacing w:before="0" w:after="70"/>
      </w:pPr>
      <w:r>
        <w:rPr>
          <w:sz w:val="20"/>
          <w:szCs w:val="20"/>
        </w:rPr>
        <w:t xml:space="preserve"/>
      </w:r>
    </w:p>
    <w:p>
      <w:pPr>
        <w:pStyle w:val="Heading2"/>
        <w:spacing w:before="300" w:after="100"/>
      </w:pPr>
      <w:r>
        <w:rPr>
          <w:rFonts w:ascii="Arial" w:cs="Arial" w:eastAsia="Arial" w:hAnsi="Arial"/>
          <w:b/>
          <w:bCs/>
          <w:color w:val="3B6D11"/>
          <w:sz w:val="26"/>
          <w:szCs w:val="26"/>
        </w:rPr>
        <w:t xml:space="preserve">MVP — Build for PoC launch (months 1–6)</w:t>
      </w:r>
    </w:p>
    <w:p>
      <w:pPr>
        <w:spacing w:before="60" w:after="100"/>
      </w:pPr>
      <w:r>
        <w:rPr>
          <w:rFonts w:ascii="Arial" w:cs="Arial" w:eastAsia="Arial" w:hAnsi="Arial"/>
          <w:color w:val="2C2C2C"/>
          <w:sz w:val="22"/>
          <w:szCs w:val="22"/>
        </w:rPr>
        <w:t xml:space="preserve">These nine sources must be live and reliable before the first client is onboarded. Everything else can wait.</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Source</w:t>
            </w:r>
          </w:p>
        </w:tc>
        <w:tc>
          <w:tcPr>
            <w:tcW w:type="dxa" w:w="6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Why it cannot wait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Facebook (Meta Graph API)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Primary social media platform for Kenyan political discourse. The sentiment dashboard is broken without it.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X / Twitter API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High-signal political conversation despite API cost concerns. Confirm access tier in month 1 — if cost is prohibitive, adjust weighting toward Facebook.</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Nation Media Group scraper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Largest media group. Required for opponent press monitoring and daily briefing context.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Standard Group scraper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Second major group. Completes the mainstream media coverage.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Royal Media (Citizen) scraper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Widest broadcast reach in Kenya. Essential for rural and periurban political narrative.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Hansard integration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Incumbent opponent profiling requires voting records. Relatively static — weekly update cadence is fine.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WhatsApp field reports (intake API)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 unique data layer no competitor has. Even a simple intake form adds enormous value to the sentiment picture.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Door-to-door canvassing forms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GPS-verified field visits are the ground truth. Basic web form is sufficient for MVP.</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Africa's Talking SMS API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Both an outreach delivery tool and an analytics source. Simple integration, immediate value.</w:t>
            </w:r>
          </w:p>
        </w:tc>
      </w:tr>
    </w:tbl>
    <w:p>
      <w:pPr>
        <w:spacing w:before="0" w:after="70"/>
      </w:pPr>
      <w:r>
        <w:rPr>
          <w:sz w:val="20"/>
          <w:szCs w:val="20"/>
        </w:rPr>
        <w:t xml:space="preserve"/>
      </w:r>
    </w:p>
    <w:p>
      <w:pPr>
        <w:pStyle w:val="Heading2"/>
        <w:spacing w:before="300" w:after="100"/>
      </w:pPr>
      <w:r>
        <w:rPr>
          <w:rFonts w:ascii="Arial" w:cs="Arial" w:eastAsia="Arial" w:hAnsi="Arial"/>
          <w:b/>
          <w:bCs/>
          <w:color w:val="7A4A0A"/>
          <w:sz w:val="26"/>
          <w:szCs w:val="26"/>
        </w:rPr>
        <w:t xml:space="preserve">Phase 2 — Post-PoC build (months 7–12)</w:t>
      </w:r>
    </w:p>
    <w:p>
      <w:pPr>
        <w:spacing w:before="60" w:after="100"/>
      </w:pPr>
      <w:r>
        <w:rPr>
          <w:rFonts w:ascii="Arial" w:cs="Arial" w:eastAsia="Arial" w:hAnsi="Arial"/>
          <w:color w:val="2C2C2C"/>
          <w:sz w:val="22"/>
          <w:szCs w:val="22"/>
        </w:rPr>
        <w:t xml:space="preserve">These sources deepen the intelligence quality and expand reach. They are not needed for the PoC but become critical as the platform scales to MP and county-level clients.</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Source</w:t>
            </w:r>
          </w:p>
        </w:tc>
        <w:tc>
          <w:tcPr>
            <w:tcW w:type="dxa" w:w="6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What it adds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TikTok Research API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Under-35 voter intelligence. Increasingly the dominant political platform for younger Kenyans.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Instagram (Meta Graph)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Secondary social monitoring. Build alongside TikTok.</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YouTube Data API v3</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Speech and commentary tracking on political video content. Free API tier is generous.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Radio transcription (Kameme FM, Radio Citizen)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Critical rural and older demographic reach. Technically complex — speech-to-text on live streams.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KNBS census data integration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Demographic voter profile enrichment. Free, publicly available — just needs proper integration.</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IEBC voter register (aggregate)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Ward-level registration data for turnout modelling. Begin the institutional relationship in month 1.</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County budget data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Budget vs. citizen priority analysis for the governance module.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GeoPoll mobile surveys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Rural reach for sentiment validation in constituencies with low social media penetration.</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Africa Check API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Real-time fact verification in AI-generated briefings.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Infotrak / TIFA polling data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Benchmark Kampeni sentiment model against professional polling numbers.</w:t>
            </w:r>
          </w:p>
        </w:tc>
      </w:tr>
    </w:tbl>
    <w:p>
      <w:pPr>
        <w:spacing w:before="0" w:after="70"/>
      </w:pPr>
      <w:r>
        <w:rPr>
          <w:sz w:val="20"/>
          <w:szCs w:val="20"/>
        </w:rPr>
        <w:t xml:space="preserve"/>
      </w:r>
    </w:p>
    <w:p>
      <w:pPr>
        <w:pStyle w:val="Heading2"/>
        <w:spacing w:before="300" w:after="100"/>
      </w:pPr>
      <w:r>
        <w:rPr>
          <w:rFonts w:ascii="Arial" w:cs="Arial" w:eastAsia="Arial" w:hAnsi="Arial"/>
          <w:b/>
          <w:bCs/>
          <w:color w:val="993C1D"/>
          <w:sz w:val="26"/>
          <w:szCs w:val="26"/>
        </w:rPr>
        <w:t xml:space="preserve">Phase 3 — Long-term and partnership-dependent</w:t>
      </w:r>
    </w:p>
    <w:p>
      <w:pPr>
        <w:spacing w:before="60" w:after="100"/>
      </w:pPr>
      <w:r>
        <w:rPr>
          <w:rFonts w:ascii="Arial" w:cs="Arial" w:eastAsia="Arial" w:hAnsi="Arial"/>
          <w:color w:val="2C2C2C"/>
          <w:sz w:val="22"/>
          <w:szCs w:val="22"/>
        </w:rPr>
        <w:t xml:space="preserve">These sources represent the platform's deepest intelligence capabilities but require significant groundwork — commercial negotiations, legal clearance, institutional relationships, or advanced NLP development. Begin conversations now even though integration is months away.</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Source</w:t>
            </w:r>
          </w:p>
        </w:tc>
        <w:tc>
          <w:tcPr>
            <w:tcW w:type="dxa" w:w="6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What it unlocks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Safaricom / M-Pesa aggregate data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 most powerful economic intelligence layer. Begin Safaricom partnership conversations in month 3. Expect 6–12 months to negotiate.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CDR movement data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Population movement and event attendance analytics. Legally sensitive — requires explicit DPA clearance.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Vernacular media transcription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Reaches demographics that Swahili/English media misses entirely. Requires Kikuyu, Luo, Kalenjin NLP models.</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Judiciary / court records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Opponent vulnerability research. Poor data quality requires significant cleaning investment.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eTenders / procurement records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Financial conflict of interest intelligence for opponent profiling. Legal review of use cases essential.</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IEBC full voter register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Complete voter-level registration data for advanced modelling. Requires institutional agreement with IEBC.</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Community and religious leader intelligence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Endorsement mapping. Relationship-based, not technical — build through the Political Director's network.</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Ipsos / Kantar polling data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Higher-credibility polling benchmarks for premium client tier.</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iHub research reports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Tech adoption and digital behaviour insights for targeting strategy.</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LinkedIn political monitoring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Relevant for governor and national leadership races — lower priority for MCA/MP tier.</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Blogs and opinion platforms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Political insider commentary. RSS aggregation is straightforward once higher-priority sources are stable.</w:t>
            </w:r>
          </w:p>
        </w:tc>
      </w:tr>
    </w:tbl>
    <w:p>
      <w:pPr>
        <w:spacing w:before="0" w:after="70"/>
      </w:pPr>
      <w:r>
        <w:rPr>
          <w:sz w:val="20"/>
          <w:szCs w:val="20"/>
        </w:rPr>
        <w:t xml:space="preserve"/>
      </w:r>
    </w:p>
    <w:p>
      <w:pPr>
        <w:pStyle w:val="Heading1"/>
        <w:pBdr>
          <w:bottom w:val="single" w:color="4A3AB5" w:sz="8" w:space="4"/>
        </w:pBdr>
        <w:spacing w:before="400" w:after="160"/>
      </w:pPr>
      <w:r>
        <w:rPr>
          <w:rFonts w:ascii="Arial" w:cs="Arial" w:eastAsia="Arial" w:hAnsi="Arial"/>
          <w:b/>
          <w:bCs/>
          <w:color w:val="4A3AB5"/>
          <w:sz w:val="34"/>
          <w:szCs w:val="34"/>
        </w:rPr>
        <w:t xml:space="preserve">Flags for the CTO — What Needs Your Decision</w:t>
      </w:r>
    </w:p>
    <w:p>
      <w:pPr>
        <w:spacing w:before="60" w:after="100"/>
      </w:pPr>
      <w:r>
        <w:rPr>
          <w:rFonts w:ascii="Arial" w:cs="Arial" w:eastAsia="Arial" w:hAnsi="Arial"/>
          <w:color w:val="2C2C2C"/>
          <w:sz w:val="22"/>
          <w:szCs w:val="22"/>
        </w:rPr>
        <w:t xml:space="preserve">Several of these sources require decisions that only the CTO can make. This section isolates them.</w:t>
      </w:r>
    </w:p>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b/>
                <w:bCs/>
                <w:color w:val="FFFFFF"/>
                <w:sz w:val="20"/>
                <w:szCs w:val="20"/>
              </w:rPr>
              <w:t xml:space="preserve">Decision needed</w:t>
            </w:r>
          </w:p>
        </w:tc>
        <w:tc>
          <w:tcPr>
            <w:tcW w:type="dxa" w:w="6560"/>
            <w:tcBorders>
              <w:top w:val="single" w:color="CCCCCC" w:sz="1"/>
              <w:left w:val="single" w:color="CCCCCC" w:sz="1"/>
              <w:bottom w:val="single" w:color="CCCCCC" w:sz="1"/>
              <w:right w:val="single" w:color="CCCCCC" w:sz="1"/>
            </w:tcBorders>
            <w:shd w:fill="4A3AB5" w:val="clear"/>
            <w:tcMar>
              <w:top w:type="dxa" w:w="90"/>
              <w:left w:type="dxa" w:w="140"/>
              <w:bottom w:type="dxa" w:w="90"/>
              <w:right w:type="dxa" w:w="120"/>
            </w:tcMar>
          </w:tcPr>
          <w:p>
            <w:r>
              <w:rPr>
                <w:rFonts w:ascii="Arial" w:cs="Arial" w:eastAsia="Arial" w:hAnsi="Arial"/>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X / Twitter API budget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Confirm what tier of access is needed and what it costs. This is the highest-cost API in the stack. If the cost is prohibitive for an early-stage company, we need to know now so we can adjust the architecture to weight Facebook and TikTok more heavily.</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Safaricom partnership lead time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This negotiation will take 6–12 months. Someone needs to be making calls to Safaricom's data division in month 3. Who owns this relationship — the CEO or the CTO?</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Radio transcription architecture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Live stream capture and real-time speech-to-text at scale is a non-trivial engineering problem. The CTO needs to decide in month 3 whether to build this in-house, use a managed service (AWS Transcribe, Google STT), or defer to Phase 3.</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Vernacular NLP timeline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Building Kikuyu, Luo, and Kalenjin models requires training data that does not readily exist. Does the CTO see a path to this in Phase 3, or does it require a dedicated research partnership from the start?</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IEBC data relationship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The full voter register requires an institutional agreement. This is a CEO/Political Director conversation, but the CTO needs to define what data format and update cadence we need so the request is technically precise.</w:t>
            </w:r>
          </w:p>
        </w:tc>
      </w:tr>
      <w:tr>
        <w:tc>
          <w:tcPr>
            <w:tcW w:type="dxa" w:w="2800"/>
            <w:tcBorders>
              <w:top w:val="single" w:color="CCCCCC" w:sz="1"/>
              <w:left w:val="single" w:color="CCCCCC" w:sz="1"/>
              <w:bottom w:val="single" w:color="CCCCCC" w:sz="1"/>
              <w:right w:val="single" w:color="CCCCCC" w:sz="1"/>
            </w:tcBorders>
            <w:shd w:fill="F5F4F0" w:val="clear"/>
            <w:tcMar>
              <w:top w:type="dxa" w:w="90"/>
              <w:left w:type="dxa" w:w="140"/>
              <w:bottom w:type="dxa" w:w="90"/>
              <w:right w:type="dxa" w:w="120"/>
            </w:tcMar>
          </w:tcPr>
          <w:p>
            <w:r>
              <w:rPr>
                <w:rFonts w:ascii="Arial" w:cs="Arial" w:eastAsia="Arial" w:hAnsi="Arial"/>
                <w:b/>
                <w:bCs/>
                <w:color w:val="1A1A2E"/>
                <w:sz w:val="20"/>
                <w:szCs w:val="20"/>
              </w:rPr>
              <w:t xml:space="preserve">Telco data legal architecture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2C2C2C"/>
                <w:sz w:val="20"/>
                <w:szCs w:val="20"/>
              </w:rPr>
              <w:t xml:space="preserve">Before any Safaricom data integration begins, the DPO must sign off on the data model ensuring all processing is genuinely aggregate and anonymised. The CTO should design the data schema with this constraint as a first-class architectural requirement.</w:t>
            </w:r>
          </w:p>
        </w:tc>
      </w:tr>
    </w:tbl>
    <w:p>
      <w:pPr>
        <w:spacing w:before="0" w:after="7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4A3AB5" w:val="clear"/>
            <w:tcMar>
              <w:top w:type="dxa" w:w="0"/>
              <w:left w:type="dxa" w:w="0"/>
              <w:bottom w:type="dxa" w:w="0"/>
              <w:right w:type="dxa" w:w="0"/>
            </w:tcMar>
          </w:tcPr>
          <w:p>
            <w:r>
              <w:rPr>
                <w:sz w:val="22"/>
                <w:szCs w:val="22"/>
              </w:rPr>
              <w:t xml:space="preserve"> </w:t>
            </w:r>
          </w:p>
        </w:tc>
        <w:tc>
          <w:tcPr>
            <w:tcW w:type="dxa" w:w="9160"/>
            <w:tcBorders>
              <w:top w:val="single" w:color="CCCCCC" w:sz="1"/>
              <w:left w:val="single" w:color="CCCCCC" w:sz="1"/>
              <w:bottom w:val="single" w:color="CCCCCC" w:sz="1"/>
              <w:right w:val="single" w:color="CCCCCC" w:sz="1"/>
            </w:tcBorders>
            <w:shd w:fill="F5F4F0" w:val="clear"/>
            <w:tcMar>
              <w:top w:type="dxa" w:w="120"/>
              <w:left w:type="dxa" w:w="200"/>
              <w:bottom w:type="dxa" w:w="120"/>
              <w:right w:type="dxa" w:w="160"/>
            </w:tcMar>
          </w:tcPr>
          <w:p>
            <w:pPr>
              <w:spacing w:before="0" w:after="60"/>
            </w:pPr>
            <w:r>
              <w:rPr>
                <w:rFonts w:ascii="Arial" w:cs="Arial" w:eastAsia="Arial" w:hAnsi="Arial"/>
                <w:b/>
                <w:bCs/>
                <w:color w:val="4A3AB5"/>
                <w:sz w:val="20"/>
                <w:szCs w:val="20"/>
              </w:rPr>
              <w:t xml:space="preserve">FINAL NOTE</w:t>
            </w:r>
          </w:p>
          <w:p>
            <w:pPr>
              <w:spacing w:before="0" w:after="0"/>
            </w:pPr>
            <w:r>
              <w:rPr>
                <w:rFonts w:ascii="Arial" w:cs="Arial" w:eastAsia="Arial" w:hAnsi="Arial"/>
                <w:color w:val="2C2C2C"/>
                <w:sz w:val="21"/>
                <w:szCs w:val="21"/>
              </w:rPr>
              <w:t xml:space="preserve">The sources in this document are not all equal. Facebook, Hansard, and field agent reports will drive 80% of the platform's intelligence value at MVP scale. The exotic sources — telco data, vernacular transcription, full voter register — are what separates Kampeni from a well-configured open-source tool two years from now. Build the basics brilliantly first. Then build the moat.</w:t>
            </w:r>
          </w:p>
        </w:tc>
      </w:tr>
    </w:tbl>
    <w:p>
      <w:pPr>
        <w:spacing w:before="0" w:after="70"/>
      </w:pPr>
      <w:r>
        <w:rPr>
          <w:sz w:val="20"/>
          <w:szCs w:val="20"/>
        </w:rPr>
        <w:t xml:space="preserve"/>
      </w:r>
    </w:p>
    <w:p>
      <w:pPr>
        <w:pBdr>
          <w:top w:val="single" w:color="CCCCCC" w:sz="2" w:space="6"/>
        </w:pBdr>
        <w:spacing w:before="200" w:after="40"/>
      </w:pPr>
      <w:r>
        <w:rPr>
          <w:rFonts w:ascii="Arial" w:cs="Arial" w:eastAsia="Arial" w:hAnsi="Arial"/>
          <w:i/>
          <w:iCs/>
          <w:color w:val="AAAAAA"/>
          <w:sz w:val="16"/>
          <w:szCs w:val="16"/>
        </w:rPr>
        <w:t xml:space="preserve">Kampeni Intelligence Platform  ·  Complete Data Sources  ·  For CTO Review  ·  Confidential  ·  March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after="0"/>
    </w:pPr>
    <w:r>
      <w:rPr>
        <w:rFonts w:ascii="Arial" w:cs="Arial" w:eastAsia="Arial" w:hAnsi="Arial"/>
        <w:color w:val="AAAAAA"/>
        <w:sz w:val="16"/>
        <w:szCs w:val="16"/>
      </w:rPr>
      <w:t xml:space="preserve">Founding Team  ·  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AB5" w:sz="4" w:space="4"/>
      </w:pBdr>
      <w:spacing w:before="0" w:after="80"/>
    </w:pPr>
    <w:r>
      <w:rPr>
        <w:rFonts w:ascii="Arial" w:cs="Arial" w:eastAsia="Arial" w:hAnsi="Arial"/>
        <w:color w:val="AAAAAA"/>
        <w:sz w:val="18"/>
        <w:szCs w:val="18"/>
      </w:rPr>
      <w:t xml:space="preserve">Kampeni  ·  Complete Data Sources  ·  For CTO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4A3AB5"/>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2026-03-24T05:16:42.489Z</dcterms:created>
  <dcterms:modified xsi:type="dcterms:W3CDTF">2026-03-24T05:16:42.489Z</dcterms:modified>
</cp:coreProperties>
</file>

<file path=docProps/custom.xml><?xml version="1.0" encoding="utf-8"?>
<Properties xmlns="http://schemas.openxmlformats.org/officeDocument/2006/custom-properties" xmlns:vt="http://schemas.openxmlformats.org/officeDocument/2006/docPropsVTypes"/>
</file>