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sz w:val="20"/>
          <w:szCs w:val="20"/>
        </w:rPr>
        <w:t xml:space="preserve"/>
      </w:r>
    </w:p>
    <w:p>
      <w:pPr>
        <w:spacing w:before="0" w:after="80"/>
      </w:pPr>
      <w:r>
        <w:rPr>
          <w:sz w:val="20"/>
          <w:szCs w:val="20"/>
        </w:rPr>
        <w:t xml:space="preserve"/>
      </w:r>
    </w:p>
    <w:p>
      <w:pPr>
        <w:spacing w:before="0" w:after="80"/>
      </w:pPr>
      <w:r>
        <w:rPr>
          <w:sz w:val="20"/>
          <w:szCs w:val="20"/>
        </w:rPr>
        <w:t xml:space="preserve"/>
      </w:r>
    </w:p>
    <w:p>
      <w:pPr>
        <w:spacing w:before="0" w:after="60"/>
        <w:jc w:val="center"/>
      </w:pPr>
      <w:r>
        <w:rPr>
          <w:rFonts w:ascii="Arial" w:cs="Arial" w:eastAsia="Arial" w:hAnsi="Arial"/>
          <w:b/>
          <w:bCs/>
          <w:color w:val="4A3AB5"/>
          <w:spacing w:val="300"/>
          <w:sz w:val="20"/>
          <w:szCs w:val="20"/>
        </w:rPr>
        <w:t xml:space="preserve">MVP TECHNICAL SPECIFICATION</w:t>
      </w:r>
    </w:p>
    <w:p>
      <w:pPr>
        <w:spacing w:before="0" w:after="40"/>
        <w:jc w:val="center"/>
      </w:pPr>
      <w:r>
        <w:rPr>
          <w:rFonts w:ascii="Arial" w:cs="Arial" w:eastAsia="Arial" w:hAnsi="Arial"/>
          <w:b/>
          <w:bCs/>
          <w:color w:val="1A1A2E"/>
          <w:sz w:val="72"/>
          <w:szCs w:val="72"/>
        </w:rPr>
        <w:t xml:space="preserve">Kampeni</w:t>
      </w:r>
    </w:p>
    <w:p>
      <w:pPr>
        <w:spacing w:before="0" w:after="60"/>
        <w:jc w:val="center"/>
      </w:pPr>
      <w:r>
        <w:rPr>
          <w:rFonts w:ascii="Arial" w:cs="Arial" w:eastAsia="Arial" w:hAnsi="Arial"/>
          <w:b w:val="false"/>
          <w:bCs w:val="false"/>
          <w:color w:val="444441"/>
          <w:sz w:val="40"/>
          <w:szCs w:val="40"/>
        </w:rPr>
        <w:t xml:space="preserve">Intelligence Platform</w:t>
      </w:r>
    </w:p>
    <w:p>
      <w:pPr>
        <w:pBdr>
          <w:top w:val="single" w:color="D3D1C7" w:sz="3" w:space="0"/>
          <w:bottom w:val="single" w:color="D3D1C7" w:sz="3" w:space="0"/>
        </w:pBdr>
        <w:spacing w:before="40" w:after="40"/>
        <w:jc w:val="center"/>
      </w:pPr>
      <w:r>
        <w:rPr>
          <w:rFonts w:ascii="Arial" w:cs="Arial" w:eastAsia="Arial" w:hAnsi="Arial"/>
          <w:color w:val="444441"/>
          <w:spacing w:val="100"/>
          <w:sz w:val="20"/>
          <w:szCs w:val="20"/>
        </w:rPr>
        <w:t xml:space="preserve">For CTO Review  ·  March 2026  ·  Confidential</w:t>
      </w:r>
    </w:p>
    <w:p>
      <w:pPr>
        <w:spacing w:before="0" w:after="80"/>
      </w:pPr>
      <w:r>
        <w:rPr>
          <w:sz w:val="20"/>
          <w:szCs w:val="20"/>
        </w:rPr>
        <w:t xml:space="preserve"/>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4F0" w:val="clear"/>
            <w:tcMar>
              <w:top w:type="dxa" w:w="120"/>
              <w:left w:type="dxa" w:w="160"/>
              <w:bottom w:type="dxa" w:w="120"/>
              <w:right w:type="dxa" w:w="160"/>
            </w:tcMar>
          </w:tcPr>
          <w:p>
            <w:pPr>
              <w:jc w:val="center"/>
            </w:pPr>
            <w:r>
              <w:rPr>
                <w:rFonts w:ascii="Arial" w:cs="Arial" w:eastAsia="Arial" w:hAnsi="Arial"/>
                <w:b/>
                <w:bCs/>
                <w:color w:val="4A3AB5"/>
                <w:sz w:val="40"/>
                <w:szCs w:val="40"/>
              </w:rPr>
              <w:t xml:space="preserve">6 mo</w:t>
            </w:r>
          </w:p>
          <w:p>
            <w:pPr>
              <w:jc w:val="center"/>
            </w:pPr>
            <w:r>
              <w:rPr>
                <w:rFonts w:ascii="Arial" w:cs="Arial" w:eastAsia="Arial" w:hAnsi="Arial"/>
                <w:b/>
                <w:bCs/>
                <w:color w:val="1A1A2E"/>
                <w:sz w:val="18"/>
                <w:szCs w:val="18"/>
              </w:rPr>
              <w:t xml:space="preserve">MVP Timeline</w:t>
            </w:r>
          </w:p>
          <w:p>
            <w:pPr>
              <w:jc w:val="center"/>
            </w:pPr>
            <w:r>
              <w:rPr>
                <w:rFonts w:ascii="Arial" w:cs="Arial" w:eastAsia="Arial" w:hAnsi="Arial"/>
                <w:i/>
                <w:iCs/>
                <w:color w:val="444441"/>
                <w:sz w:val="16"/>
                <w:szCs w:val="16"/>
              </w:rPr>
              <w:t xml:space="preserve">to PoC launch</w:t>
            </w:r>
          </w:p>
        </w:tc>
        <w:tc>
          <w:tcPr>
            <w:tcW w:type="dxa" w:w="2340"/>
            <w:tcBorders>
              <w:top w:val="single" w:color="CCCCCC" w:sz="1"/>
              <w:left w:val="single" w:color="CCCCCC" w:sz="1"/>
              <w:bottom w:val="single" w:color="CCCCCC" w:sz="1"/>
              <w:right w:val="single" w:color="CCCCCC" w:sz="1"/>
            </w:tcBorders>
            <w:shd w:fill="F5F4F0" w:val="clear"/>
            <w:tcMar>
              <w:top w:type="dxa" w:w="120"/>
              <w:left w:type="dxa" w:w="160"/>
              <w:bottom w:type="dxa" w:w="120"/>
              <w:right w:type="dxa" w:w="160"/>
            </w:tcMar>
          </w:tcPr>
          <w:p>
            <w:pPr>
              <w:jc w:val="center"/>
            </w:pPr>
            <w:r>
              <w:rPr>
                <w:rFonts w:ascii="Arial" w:cs="Arial" w:eastAsia="Arial" w:hAnsi="Arial"/>
                <w:b/>
                <w:bCs/>
                <w:color w:val="4A3AB5"/>
                <w:sz w:val="40"/>
                <w:szCs w:val="40"/>
              </w:rPr>
              <w:t xml:space="preserve">2–3</w:t>
            </w:r>
          </w:p>
          <w:p>
            <w:pPr>
              <w:jc w:val="center"/>
            </w:pPr>
            <w:r>
              <w:rPr>
                <w:rFonts w:ascii="Arial" w:cs="Arial" w:eastAsia="Arial" w:hAnsi="Arial"/>
                <w:b/>
                <w:bCs/>
                <w:color w:val="1A1A2E"/>
                <w:sz w:val="18"/>
                <w:szCs w:val="18"/>
              </w:rPr>
              <w:t xml:space="preserve">Target Users</w:t>
            </w:r>
          </w:p>
          <w:p>
            <w:pPr>
              <w:jc w:val="center"/>
            </w:pPr>
            <w:r>
              <w:rPr>
                <w:rFonts w:ascii="Arial" w:cs="Arial" w:eastAsia="Arial" w:hAnsi="Arial"/>
                <w:i/>
                <w:iCs/>
                <w:color w:val="444441"/>
                <w:sz w:val="16"/>
                <w:szCs w:val="16"/>
              </w:rPr>
              <w:t xml:space="preserve">Nairobi MCA candidates</w:t>
            </w:r>
          </w:p>
        </w:tc>
        <w:tc>
          <w:tcPr>
            <w:tcW w:type="dxa" w:w="2340"/>
            <w:tcBorders>
              <w:top w:val="single" w:color="CCCCCC" w:sz="1"/>
              <w:left w:val="single" w:color="CCCCCC" w:sz="1"/>
              <w:bottom w:val="single" w:color="CCCCCC" w:sz="1"/>
              <w:right w:val="single" w:color="CCCCCC" w:sz="1"/>
            </w:tcBorders>
            <w:shd w:fill="F5F4F0" w:val="clear"/>
            <w:tcMar>
              <w:top w:type="dxa" w:w="120"/>
              <w:left w:type="dxa" w:w="160"/>
              <w:bottom w:type="dxa" w:w="120"/>
              <w:right w:type="dxa" w:w="160"/>
            </w:tcMar>
          </w:tcPr>
          <w:p>
            <w:pPr>
              <w:jc w:val="center"/>
            </w:pPr>
            <w:r>
              <w:rPr>
                <w:rFonts w:ascii="Arial" w:cs="Arial" w:eastAsia="Arial" w:hAnsi="Arial"/>
                <w:b/>
                <w:bCs/>
                <w:color w:val="4A3AB5"/>
                <w:sz w:val="40"/>
                <w:szCs w:val="40"/>
              </w:rPr>
              <w:t xml:space="preserve">3</w:t>
            </w:r>
          </w:p>
          <w:p>
            <w:pPr>
              <w:jc w:val="center"/>
            </w:pPr>
            <w:r>
              <w:rPr>
                <w:rFonts w:ascii="Arial" w:cs="Arial" w:eastAsia="Arial" w:hAnsi="Arial"/>
                <w:b/>
                <w:bCs/>
                <w:color w:val="1A1A2E"/>
                <w:sz w:val="18"/>
                <w:szCs w:val="18"/>
              </w:rPr>
              <w:t xml:space="preserve">Core Features</w:t>
            </w:r>
          </w:p>
          <w:p>
            <w:pPr>
              <w:jc w:val="center"/>
            </w:pPr>
            <w:r>
              <w:rPr>
                <w:rFonts w:ascii="Arial" w:cs="Arial" w:eastAsia="Arial" w:hAnsi="Arial"/>
                <w:i/>
                <w:iCs/>
                <w:color w:val="444441"/>
                <w:sz w:val="16"/>
                <w:szCs w:val="16"/>
              </w:rPr>
              <w:t xml:space="preserve">Sentiment · Opponent · Briefing</w:t>
            </w:r>
          </w:p>
        </w:tc>
        <w:tc>
          <w:tcPr>
            <w:tcW w:type="dxa" w:w="2340"/>
            <w:tcBorders>
              <w:top w:val="single" w:color="CCCCCC" w:sz="1"/>
              <w:left w:val="single" w:color="CCCCCC" w:sz="1"/>
              <w:bottom w:val="single" w:color="CCCCCC" w:sz="1"/>
              <w:right w:val="single" w:color="CCCCCC" w:sz="1"/>
            </w:tcBorders>
            <w:shd w:fill="F5F4F0" w:val="clear"/>
            <w:tcMar>
              <w:top w:type="dxa" w:w="120"/>
              <w:left w:type="dxa" w:w="160"/>
              <w:bottom w:type="dxa" w:w="120"/>
              <w:right w:type="dxa" w:w="160"/>
            </w:tcMar>
          </w:tcPr>
          <w:p>
            <w:pPr>
              <w:jc w:val="center"/>
            </w:pPr>
            <w:r>
              <w:rPr>
                <w:rFonts w:ascii="Arial" w:cs="Arial" w:eastAsia="Arial" w:hAnsi="Arial"/>
                <w:b/>
                <w:bCs/>
                <w:color w:val="4A3AB5"/>
                <w:sz w:val="40"/>
                <w:szCs w:val="40"/>
              </w:rPr>
              <w:t xml:space="preserve">9+</w:t>
            </w:r>
          </w:p>
          <w:p>
            <w:pPr>
              <w:jc w:val="center"/>
            </w:pPr>
            <w:r>
              <w:rPr>
                <w:rFonts w:ascii="Arial" w:cs="Arial" w:eastAsia="Arial" w:hAnsi="Arial"/>
                <w:b/>
                <w:bCs/>
                <w:color w:val="1A1A2E"/>
                <w:sz w:val="18"/>
                <w:szCs w:val="18"/>
              </w:rPr>
              <w:t xml:space="preserve">Data Sources</w:t>
            </w:r>
          </w:p>
          <w:p>
            <w:pPr>
              <w:jc w:val="center"/>
            </w:pPr>
            <w:r>
              <w:rPr>
                <w:rFonts w:ascii="Arial" w:cs="Arial" w:eastAsia="Arial" w:hAnsi="Arial"/>
                <w:i/>
                <w:iCs/>
                <w:color w:val="444441"/>
                <w:sz w:val="16"/>
                <w:szCs w:val="16"/>
              </w:rPr>
              <w:t xml:space="preserve">APIs, feeds &amp; field agents</w:t>
            </w:r>
          </w:p>
        </w:tc>
      </w:tr>
    </w:tbl>
    <w:p>
      <w:pPr>
        <w:spacing w:before="0" w:after="80"/>
      </w:pPr>
      <w:r>
        <w:rPr>
          <w:sz w:val="20"/>
          <w:szCs w:val="20"/>
        </w:rPr>
        <w:t xml:space="preserve"/>
      </w:r>
    </w:p>
    <w:p>
      <w:pPr>
        <w:spacing w:before="0" w:after="80"/>
      </w:pPr>
      <w:r>
        <w:rPr>
          <w:sz w:val="20"/>
          <w:szCs w:val="20"/>
        </w:rPr>
        <w:t xml:space="preserve"/>
      </w:r>
    </w:p>
    <w:p>
      <w:pPr>
        <w:spacing w:before="0" w:after="40"/>
        <w:jc w:val="center"/>
      </w:pPr>
      <w:r>
        <w:rPr>
          <w:rFonts w:ascii="Arial" w:cs="Arial" w:eastAsia="Arial" w:hAnsi="Arial"/>
          <w:color w:val="444441"/>
          <w:sz w:val="20"/>
          <w:szCs w:val="20"/>
        </w:rPr>
        <w:t xml:space="preserve">Prepared by the Founding Team</w:t>
      </w:r>
    </w:p>
    <w:p>
      <w:r>
        <w:br w:type="page"/>
      </w:r>
    </w:p>
    <w:p>
      <w:pPr>
        <w:pStyle w:val="Heading1"/>
        <w:pBdr>
          <w:bottom w:val="single" w:color="4A3AB5" w:sz="8" w:space="4"/>
        </w:pBdr>
        <w:spacing w:before="400" w:after="160"/>
      </w:pPr>
      <w:r>
        <w:rPr>
          <w:rFonts w:ascii="Arial" w:cs="Arial" w:eastAsia="Arial" w:hAnsi="Arial"/>
          <w:b/>
          <w:bCs/>
          <w:color w:val="4A3AB5"/>
          <w:sz w:val="34"/>
          <w:szCs w:val="34"/>
        </w:rPr>
        <w:t xml:space="preserve">What We Are Building</w:t>
      </w:r>
    </w:p>
    <w:p>
      <w:pPr>
        <w:spacing w:before="60" w:after="100"/>
      </w:pPr>
      <w:r>
        <w:rPr>
          <w:rFonts w:ascii="Arial" w:cs="Arial" w:eastAsia="Arial" w:hAnsi="Arial"/>
          <w:color w:val="2C2C2C"/>
          <w:sz w:val="22"/>
          <w:szCs w:val="22"/>
        </w:rPr>
        <w:t xml:space="preserve">Kampeni is Kenya's first AI-powered political intelligence platform. It turns data — social media activity, news coverage, field agent reports, public records, polling — into clear, timely decisions for political candidates. Rather than spending millions on intuition-driven campaigns, clients get a system that tells them exactly what voters care about, what opponents are doing, where their money works hardest, and what they should say tomorrow morning.</w:t>
      </w:r>
    </w:p>
    <w:p>
      <w:pPr>
        <w:spacing w:before="0" w:after="80"/>
      </w:pPr>
      <w:r>
        <w:rPr>
          <w:sz w:val="20"/>
          <w:szCs w:val="20"/>
        </w:rPr>
        <w:t xml:space="preserve"/>
      </w:r>
    </w:p>
    <w:p>
      <w:pPr>
        <w:spacing w:before="60" w:after="100"/>
      </w:pPr>
      <w:r>
        <w:rPr>
          <w:rFonts w:ascii="Arial" w:cs="Arial" w:eastAsia="Arial" w:hAnsi="Arial"/>
          <w:color w:val="2C2C2C"/>
          <w:sz w:val="22"/>
          <w:szCs w:val="22"/>
        </w:rPr>
        <w:t xml:space="preserve">This MVP specification covers the first six months of development: three core features, a production-grade technical foundation, and a clear path to onboarding the first 2–3 paying clients ahead of the 2027 election cycle.</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0F6E56" w:val="clear"/>
            <w:tcMar>
              <w:top w:type="dxa" w:w="0"/>
              <w:left w:type="dxa" w:w="0"/>
              <w:bottom w:type="dxa" w:w="0"/>
              <w:right w:type="dxa" w:w="0"/>
            </w:tcMar>
          </w:tcPr>
          <w:p>
            <w:r>
              <w:rPr>
                <w:sz w:val="22"/>
                <w:szCs w:val="22"/>
              </w:rPr>
              <w:t xml:space="preserve"> </w:t>
            </w:r>
          </w:p>
        </w:tc>
        <w:tc>
          <w:tcPr>
            <w:tcW w:type="dxa" w:w="918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0F6E56"/>
                <w:sz w:val="20"/>
                <w:szCs w:val="20"/>
              </w:rPr>
              <w:t xml:space="preserve">WHY THE MVP IS SCOPED THIS WAY</w:t>
            </w:r>
          </w:p>
          <w:p>
            <w:pPr>
              <w:spacing w:before="0" w:after="0"/>
            </w:pPr>
            <w:r>
              <w:rPr>
                <w:rFonts w:ascii="Arial" w:cs="Arial" w:eastAsia="Arial" w:hAnsi="Arial"/>
                <w:color w:val="2C2C2C"/>
                <w:sz w:val="21"/>
                <w:szCs w:val="21"/>
              </w:rPr>
              <w:t xml:space="preserve">We deliberately launch with three features rather than ten. Sentiment tracking, opponent monitoring, and the daily AI briefing are the three things a candidate needs most urgently and will use every single day. Everything else — the field agent app, the message engine, resource allocation tools — ships in subsequent releases once these three have proven daily-use value with real clients.</w:t>
            </w:r>
          </w:p>
        </w:tc>
      </w:tr>
    </w:tbl>
    <w:p>
      <w:pPr>
        <w:spacing w:before="0" w:after="8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1. MVP Feature Scope</w:t>
      </w:r>
    </w:p>
    <w:p>
      <w:pPr>
        <w:spacing w:before="60" w:after="100"/>
      </w:pPr>
      <w:r>
        <w:rPr>
          <w:rFonts w:ascii="Arial" w:cs="Arial" w:eastAsia="Arial" w:hAnsi="Arial"/>
          <w:color w:val="2C2C2C"/>
          <w:sz w:val="22"/>
          <w:szCs w:val="22"/>
        </w:rPr>
        <w:t xml:space="preserve">The MVP delivers three tightly scoped features. Each is described below with its purpose, data sources, output format, and key technical requirements.</w:t>
      </w:r>
    </w:p>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Feature 1 — Sentiment Dashboard</w:t>
      </w:r>
    </w:p>
    <w:p>
      <w:pPr>
        <w:spacing w:before="60" w:after="100"/>
      </w:pPr>
      <w:r>
        <w:rPr>
          <w:rFonts w:ascii="Arial" w:cs="Arial" w:eastAsia="Arial" w:hAnsi="Arial"/>
          <w:color w:val="2C2C2C"/>
          <w:sz w:val="22"/>
          <w:szCs w:val="22"/>
        </w:rPr>
        <w:t xml:space="preserve">The candidate's real-time read on public opinion. Not a vanity metric — a decision-making tool. When sentiment in a specific ward drops sharply overnight, the morning briefing flags it, the dashboard shows why, and the communications team has talking points ready before the candidate leaves the house.</w:t>
      </w:r>
    </w:p>
    <w:p>
      <w:pPr>
        <w:spacing w:before="0" w:after="80"/>
      </w:pPr>
      <w:r>
        <w:rPr>
          <w:sz w:val="20"/>
          <w:szCs w:val="20"/>
        </w:rPr>
        <w:t xml:space="preserve"/>
      </w:r>
    </w:p>
    <w:p>
      <w:pPr>
        <w:spacing w:before="200" w:after="80"/>
      </w:pPr>
      <w:r>
        <w:rPr>
          <w:rFonts w:ascii="Arial" w:cs="Arial" w:eastAsia="Arial" w:hAnsi="Arial"/>
          <w:b/>
          <w:bCs/>
          <w:color w:val="1A1A2E"/>
          <w:sz w:val="22"/>
          <w:szCs w:val="22"/>
        </w:rPr>
        <w:t xml:space="preserve">Data sources</w:t>
      </w:r>
    </w:p>
    <w:p>
      <w:pPr>
        <w:pStyle w:val="ListParagraph"/>
        <w:numPr>
          <w:ilvl w:val="0"/>
          <w:numId w:val="2"/>
        </w:numPr>
        <w:spacing w:before="40" w:after="40"/>
      </w:pPr>
      <w:r>
        <w:rPr>
          <w:rFonts w:ascii="Arial" w:cs="Arial" w:eastAsia="Arial" w:hAnsi="Arial"/>
          <w:color w:val="2C2C2C"/>
          <w:sz w:val="22"/>
          <w:szCs w:val="22"/>
        </w:rPr>
        <w:t xml:space="preserve">X (Twitter) — mentions, hashtags, replies, trending topics in Kenyan political conversation</w:t>
      </w:r>
    </w:p>
    <w:p>
      <w:pPr>
        <w:pStyle w:val="ListParagraph"/>
        <w:numPr>
          <w:ilvl w:val="0"/>
          <w:numId w:val="2"/>
        </w:numPr>
        <w:spacing w:before="40" w:after="40"/>
      </w:pPr>
      <w:r>
        <w:rPr>
          <w:rFonts w:ascii="Arial" w:cs="Arial" w:eastAsia="Arial" w:hAnsi="Arial"/>
          <w:color w:val="2C2C2C"/>
          <w:sz w:val="22"/>
          <w:szCs w:val="22"/>
        </w:rPr>
        <w:t xml:space="preserve">Facebook — public posts and comments via Graph API, engagement signals</w:t>
      </w:r>
    </w:p>
    <w:p>
      <w:pPr>
        <w:pStyle w:val="ListParagraph"/>
        <w:numPr>
          <w:ilvl w:val="0"/>
          <w:numId w:val="2"/>
        </w:numPr>
        <w:spacing w:before="40" w:after="40"/>
      </w:pPr>
      <w:r>
        <w:rPr>
          <w:rFonts w:ascii="Arial" w:cs="Arial" w:eastAsia="Arial" w:hAnsi="Arial"/>
          <w:color w:val="2C2C2C"/>
          <w:sz w:val="22"/>
          <w:szCs w:val="22"/>
        </w:rPr>
        <w:t xml:space="preserve">TikTok — video comments and share velocity, increasingly the dominant political platform for under-35 voters</w:t>
      </w:r>
    </w:p>
    <w:p>
      <w:pPr>
        <w:pStyle w:val="ListParagraph"/>
        <w:numPr>
          <w:ilvl w:val="0"/>
          <w:numId w:val="2"/>
        </w:numPr>
        <w:spacing w:before="40" w:after="40"/>
      </w:pPr>
      <w:r>
        <w:rPr>
          <w:rFonts w:ascii="Arial" w:cs="Arial" w:eastAsia="Arial" w:hAnsi="Arial"/>
          <w:color w:val="2C2C2C"/>
          <w:sz w:val="22"/>
          <w:szCs w:val="22"/>
        </w:rPr>
        <w:t xml:space="preserve">YouTube — comment sentiment on political content, news clips, candidate speeches</w:t>
      </w:r>
    </w:p>
    <w:p>
      <w:pPr>
        <w:pStyle w:val="ListParagraph"/>
        <w:numPr>
          <w:ilvl w:val="0"/>
          <w:numId w:val="2"/>
        </w:numPr>
        <w:spacing w:before="40" w:after="40"/>
      </w:pPr>
      <w:r>
        <w:rPr>
          <w:rFonts w:ascii="Arial" w:cs="Arial" w:eastAsia="Arial" w:hAnsi="Arial"/>
          <w:color w:val="2C2C2C"/>
          <w:sz w:val="22"/>
          <w:szCs w:val="22"/>
        </w:rPr>
        <w:t xml:space="preserve">WhatsApp — field agent sentiment reports submitted via mobile app (manual input layer)</w:t>
      </w:r>
    </w:p>
    <w:p>
      <w:pPr>
        <w:pStyle w:val="ListParagraph"/>
        <w:numPr>
          <w:ilvl w:val="0"/>
          <w:numId w:val="2"/>
        </w:numPr>
        <w:spacing w:before="40" w:after="40"/>
      </w:pPr>
      <w:r>
        <w:rPr>
          <w:rFonts w:ascii="Arial" w:cs="Arial" w:eastAsia="Arial" w:hAnsi="Arial"/>
          <w:color w:val="2C2C2C"/>
          <w:sz w:val="22"/>
          <w:szCs w:val="22"/>
        </w:rPr>
        <w:t xml:space="preserve">Rally and event feedback — crowd sentiment, key issues raised, attendance figures logged by agents</w:t>
      </w:r>
    </w:p>
    <w:p>
      <w:pPr>
        <w:spacing w:before="0" w:after="80"/>
      </w:pPr>
      <w:r>
        <w:rPr>
          <w:sz w:val="20"/>
          <w:szCs w:val="20"/>
        </w:rPr>
        <w:t xml:space="preserve"/>
      </w:r>
    </w:p>
    <w:p>
      <w:pPr>
        <w:spacing w:before="200" w:after="80"/>
      </w:pPr>
      <w:r>
        <w:rPr>
          <w:rFonts w:ascii="Arial" w:cs="Arial" w:eastAsia="Arial" w:hAnsi="Arial"/>
          <w:b/>
          <w:bCs/>
          <w:color w:val="1A1A2E"/>
          <w:sz w:val="22"/>
          <w:szCs w:val="22"/>
        </w:rPr>
        <w:t xml:space="preserve">What the dashboard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View</w:t>
            </w:r>
          </w:p>
        </w:tc>
        <w:tc>
          <w:tcPr>
            <w:tcW w:type="dxa" w:w="67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What it tells the candidate</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Sentiment timeline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Positive / negative / neutral trend over the last 7 and 30 days, broken down by platform</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Ward-level map</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Geographic sentiment heat map — which constituencies are warming, which are cooling</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Issue tracker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Top 5 issues being discussed: jobs, infrastructure, education, security, local services — ranked by volume and sentiment</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Platform breakdown</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Where the candidate is strongest and weakest: X vs. Facebook vs. TikTok</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Trend alerts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Automated notifications when sentiment shifts more than 10% in any ward within 24 hours</w:t>
            </w:r>
          </w:p>
        </w:tc>
      </w:tr>
    </w:tbl>
    <w:p>
      <w:pPr>
        <w:spacing w:before="0" w:after="80"/>
      </w:pPr>
      <w:r>
        <w:rPr>
          <w:sz w:val="20"/>
          <w:szCs w:val="20"/>
        </w:rPr>
        <w:t xml:space="preserve"/>
      </w:r>
    </w:p>
    <w:p>
      <w:pPr>
        <w:spacing w:before="200" w:after="80"/>
      </w:pPr>
      <w:r>
        <w:rPr>
          <w:rFonts w:ascii="Arial" w:cs="Arial" w:eastAsia="Arial" w:hAnsi="Arial"/>
          <w:b/>
          <w:bCs/>
          <w:color w:val="1A1A2E"/>
          <w:sz w:val="22"/>
          <w:szCs w:val="22"/>
        </w:rPr>
        <w:t xml:space="preserve">Key technical requirements</w:t>
      </w:r>
    </w:p>
    <w:p>
      <w:pPr>
        <w:pStyle w:val="ListParagraph"/>
        <w:numPr>
          <w:ilvl w:val="0"/>
          <w:numId w:val="2"/>
        </w:numPr>
        <w:spacing w:before="40" w:after="40"/>
      </w:pPr>
      <w:r>
        <w:rPr>
          <w:rFonts w:ascii="Arial" w:cs="Arial" w:eastAsia="Arial" w:hAnsi="Arial"/>
          <w:color w:val="2C2C2C"/>
          <w:sz w:val="22"/>
          <w:szCs w:val="22"/>
        </w:rPr>
        <w:t xml:space="preserve">Real-time ingestion pipeline — social data refreshed every 15 minutes during business hours</w:t>
      </w:r>
    </w:p>
    <w:p>
      <w:pPr>
        <w:pStyle w:val="ListParagraph"/>
        <w:numPr>
          <w:ilvl w:val="0"/>
          <w:numId w:val="2"/>
        </w:numPr>
        <w:spacing w:before="40" w:after="40"/>
      </w:pPr>
      <w:r>
        <w:rPr>
          <w:rFonts w:ascii="Arial" w:cs="Arial" w:eastAsia="Arial" w:hAnsi="Arial"/>
          <w:color w:val="2C2C2C"/>
          <w:sz w:val="22"/>
          <w:szCs w:val="22"/>
        </w:rPr>
        <w:t xml:space="preserve">Swahili + English + Sheng NLP models for accurate sentiment classification across all three registers</w:t>
      </w:r>
    </w:p>
    <w:p>
      <w:pPr>
        <w:pStyle w:val="ListParagraph"/>
        <w:numPr>
          <w:ilvl w:val="0"/>
          <w:numId w:val="2"/>
        </w:numPr>
        <w:spacing w:before="40" w:after="40"/>
      </w:pPr>
      <w:r>
        <w:rPr>
          <w:rFonts w:ascii="Arial" w:cs="Arial" w:eastAsia="Arial" w:hAnsi="Arial"/>
          <w:color w:val="2C2C2C"/>
          <w:sz w:val="22"/>
          <w:szCs w:val="22"/>
        </w:rPr>
        <w:t xml:space="preserve">Named entity recognition trained on Kenyan political figures, parties, constituencies, and issues</w:t>
      </w:r>
    </w:p>
    <w:p>
      <w:pPr>
        <w:pStyle w:val="ListParagraph"/>
        <w:numPr>
          <w:ilvl w:val="0"/>
          <w:numId w:val="2"/>
        </w:numPr>
        <w:spacing w:before="40" w:after="40"/>
      </w:pPr>
      <w:r>
        <w:rPr>
          <w:rFonts w:ascii="Arial" w:cs="Arial" w:eastAsia="Arial" w:hAnsi="Arial"/>
          <w:color w:val="2C2C2C"/>
          <w:sz w:val="22"/>
          <w:szCs w:val="22"/>
        </w:rPr>
        <w:t xml:space="preserve">Anomaly detection to surface viral content before it peaks — the platform should flag a story 24+ hours before it hits mainstream media</w:t>
      </w:r>
    </w:p>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Feature 2 — Opponent Tracker</w:t>
      </w:r>
    </w:p>
    <w:p>
      <w:pPr>
        <w:spacing w:before="60" w:after="100"/>
      </w:pPr>
      <w:r>
        <w:rPr>
          <w:rFonts w:ascii="Arial" w:cs="Arial" w:eastAsia="Arial" w:hAnsi="Arial"/>
          <w:color w:val="2C2C2C"/>
          <w:sz w:val="22"/>
          <w:szCs w:val="22"/>
        </w:rPr>
        <w:t xml:space="preserve">A continuous intelligence file on every declared and likely opponent. The tracker monitors everything they say and do publicly, surfaces inconsistencies between past and present statements, and generates suggested counter-narratives automatically. The candidate should never be caught off-guard by an opponent's move.</w:t>
      </w:r>
    </w:p>
    <w:p>
      <w:pPr>
        <w:spacing w:before="0" w:after="80"/>
      </w:pPr>
      <w:r>
        <w:rPr>
          <w:sz w:val="20"/>
          <w:szCs w:val="20"/>
        </w:rPr>
        <w:t xml:space="preserve"/>
      </w:r>
    </w:p>
    <w:p>
      <w:pPr>
        <w:spacing w:before="200" w:after="80"/>
      </w:pPr>
      <w:r>
        <w:rPr>
          <w:rFonts w:ascii="Arial" w:cs="Arial" w:eastAsia="Arial" w:hAnsi="Arial"/>
          <w:b/>
          <w:bCs/>
          <w:color w:val="1A1A2E"/>
          <w:sz w:val="22"/>
          <w:szCs w:val="22"/>
        </w:rPr>
        <w:t xml:space="preserve">What we monitor</w:t>
      </w:r>
    </w:p>
    <w:p>
      <w:pPr>
        <w:pStyle w:val="ListParagraph"/>
        <w:numPr>
          <w:ilvl w:val="0"/>
          <w:numId w:val="2"/>
        </w:numPr>
        <w:spacing w:before="40" w:after="40"/>
      </w:pPr>
      <w:r>
        <w:rPr>
          <w:rFonts w:ascii="Arial" w:cs="Arial" w:eastAsia="Arial" w:hAnsi="Arial"/>
          <w:color w:val="2C2C2C"/>
          <w:sz w:val="22"/>
          <w:szCs w:val="22"/>
        </w:rPr>
        <w:t xml:space="preserve">Social media activity — all opponent posts, engagement rates, message themes, and audience responses across every platform</w:t>
      </w:r>
    </w:p>
    <w:p>
      <w:pPr>
        <w:pStyle w:val="ListParagraph"/>
        <w:numPr>
          <w:ilvl w:val="0"/>
          <w:numId w:val="2"/>
        </w:numPr>
        <w:spacing w:before="40" w:after="40"/>
      </w:pPr>
      <w:r>
        <w:rPr>
          <w:rFonts w:ascii="Arial" w:cs="Arial" w:eastAsia="Arial" w:hAnsi="Arial"/>
          <w:color w:val="2C2C2C"/>
          <w:sz w:val="22"/>
          <w:szCs w:val="22"/>
        </w:rPr>
        <w:t xml:space="preserve">Press coverage — automated scraping and indexing across Nation Media Group, Standard Group, Royal Media, and key digital outlets</w:t>
      </w:r>
    </w:p>
    <w:p>
      <w:pPr>
        <w:pStyle w:val="ListParagraph"/>
        <w:numPr>
          <w:ilvl w:val="0"/>
          <w:numId w:val="2"/>
        </w:numPr>
        <w:spacing w:before="40" w:after="40"/>
      </w:pPr>
      <w:r>
        <w:rPr>
          <w:rFonts w:ascii="Arial" w:cs="Arial" w:eastAsia="Arial" w:hAnsi="Arial"/>
          <w:color w:val="2C2C2C"/>
          <w:sz w:val="22"/>
          <w:szCs w:val="22"/>
        </w:rPr>
        <w:t xml:space="preserve">Radio transcription — AI transcription of major political shows on Citizen, NTV, KTN for mentions and quotes</w:t>
      </w:r>
    </w:p>
    <w:p>
      <w:pPr>
        <w:pStyle w:val="ListParagraph"/>
        <w:numPr>
          <w:ilvl w:val="0"/>
          <w:numId w:val="2"/>
        </w:numPr>
        <w:spacing w:before="40" w:after="40"/>
      </w:pPr>
      <w:r>
        <w:rPr>
          <w:rFonts w:ascii="Arial" w:cs="Arial" w:eastAsia="Arial" w:hAnsi="Arial"/>
          <w:color w:val="2C2C2C"/>
          <w:sz w:val="22"/>
          <w:szCs w:val="22"/>
        </w:rPr>
        <w:t xml:space="preserve">Public events — rally schedules, estimated attendance, speech topics, promises made</w:t>
      </w:r>
    </w:p>
    <w:p>
      <w:pPr>
        <w:pStyle w:val="ListParagraph"/>
        <w:numPr>
          <w:ilvl w:val="0"/>
          <w:numId w:val="2"/>
        </w:numPr>
        <w:spacing w:before="40" w:after="40"/>
      </w:pPr>
      <w:r>
        <w:rPr>
          <w:rFonts w:ascii="Arial" w:cs="Arial" w:eastAsia="Arial" w:hAnsi="Arial"/>
          <w:color w:val="2C2C2C"/>
          <w:sz w:val="22"/>
          <w:szCs w:val="22"/>
        </w:rPr>
        <w:t xml:space="preserve">Hansard — voting record, parliamentary statements, and committee participation for incumbent opponents</w:t>
      </w:r>
    </w:p>
    <w:p>
      <w:pPr>
        <w:pStyle w:val="ListParagraph"/>
        <w:numPr>
          <w:ilvl w:val="0"/>
          <w:numId w:val="2"/>
        </w:numPr>
        <w:spacing w:before="40" w:after="40"/>
      </w:pPr>
      <w:r>
        <w:rPr>
          <w:rFonts w:ascii="Arial" w:cs="Arial" w:eastAsia="Arial" w:hAnsi="Arial"/>
          <w:color w:val="2C2C2C"/>
          <w:sz w:val="22"/>
          <w:szCs w:val="22"/>
        </w:rPr>
        <w:t xml:space="preserve">Financial disclosures — publicly available wealth declarations and business interests</w:t>
      </w:r>
    </w:p>
    <w:p>
      <w:pPr>
        <w:spacing w:before="0" w:after="80"/>
      </w:pPr>
      <w:r>
        <w:rPr>
          <w:sz w:val="20"/>
          <w:szCs w:val="20"/>
        </w:rPr>
        <w:t xml:space="preserve"/>
      </w:r>
    </w:p>
    <w:p>
      <w:pPr>
        <w:spacing w:before="200" w:after="80"/>
      </w:pPr>
      <w:r>
        <w:rPr>
          <w:rFonts w:ascii="Arial" w:cs="Arial" w:eastAsia="Arial" w:hAnsi="Arial"/>
          <w:b/>
          <w:bCs/>
          <w:color w:val="1A1A2E"/>
          <w:sz w:val="22"/>
          <w:szCs w:val="22"/>
        </w:rPr>
        <w:t xml:space="preserve">Weekly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Report</w:t>
            </w:r>
          </w:p>
        </w:tc>
        <w:tc>
          <w:tcPr>
            <w:tcW w:type="dxa" w:w="67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Daily digest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Everything the opponent said and did in the last 24 hours, summarised in plain language</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Vulnerability analysis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A ranked list of the opponent's exposed positions — broken promises, contradictions, unpopular votes — with evidence links</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Inconsistency flags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Side-by-side comparison of what the opponent said previously vs. what they are saying now</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Counter-narrative engine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For each opponent attack or claim, three suggested response angles with supporting facts</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Competitive positioning</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How the candidate's message and approval compare to each opponent's, ward by ward</w:t>
            </w:r>
          </w:p>
        </w:tc>
      </w:tr>
    </w:tbl>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Feature 3 — Daily AI Briefing</w:t>
      </w:r>
    </w:p>
    <w:p>
      <w:pPr>
        <w:spacing w:before="60" w:after="100"/>
      </w:pPr>
      <w:r>
        <w:rPr>
          <w:rFonts w:ascii="Arial" w:cs="Arial" w:eastAsia="Arial" w:hAnsi="Arial"/>
          <w:color w:val="2C2C2C"/>
          <w:sz w:val="22"/>
          <w:szCs w:val="22"/>
        </w:rPr>
        <w:t xml:space="preserve">A one-page intelligence summary delivered to the candidate's phone at 6am every morning. No scrolling through dashboards, no reading reports — everything they need to know before the day starts, distilled by AI into a two-minute read. This is the feature that will create daily habits and define the platform's value in the client's mind.</w:t>
      </w:r>
    </w:p>
    <w:p>
      <w:pPr>
        <w:spacing w:before="0" w:after="80"/>
      </w:pPr>
      <w:r>
        <w:rPr>
          <w:sz w:val="20"/>
          <w:szCs w:val="20"/>
        </w:rPr>
        <w:t xml:space="preserve"/>
      </w:r>
    </w:p>
    <w:p>
      <w:pPr>
        <w:spacing w:before="200" w:after="80"/>
      </w:pPr>
      <w:r>
        <w:rPr>
          <w:rFonts w:ascii="Arial" w:cs="Arial" w:eastAsia="Arial" w:hAnsi="Arial"/>
          <w:b/>
          <w:bCs/>
          <w:color w:val="1A1A2E"/>
          <w:sz w:val="22"/>
          <w:szCs w:val="22"/>
        </w:rPr>
        <w:t xml:space="preserve">Format and delivery</w:t>
      </w:r>
    </w:p>
    <w:p>
      <w:pPr>
        <w:pStyle w:val="ListParagraph"/>
        <w:numPr>
          <w:ilvl w:val="0"/>
          <w:numId w:val="2"/>
        </w:numPr>
        <w:spacing w:before="40" w:after="40"/>
      </w:pPr>
      <w:r>
        <w:rPr>
          <w:rFonts w:ascii="Arial" w:cs="Arial" w:eastAsia="Arial" w:hAnsi="Arial"/>
          <w:color w:val="2C2C2C"/>
          <w:sz w:val="22"/>
          <w:szCs w:val="22"/>
        </w:rPr>
        <w:t xml:space="preserve">Primary: mobile-optimised one-page summary, designed for a 2-minute read on a phone screen</w:t>
      </w:r>
    </w:p>
    <w:p>
      <w:pPr>
        <w:pStyle w:val="ListParagraph"/>
        <w:numPr>
          <w:ilvl w:val="0"/>
          <w:numId w:val="2"/>
        </w:numPr>
        <w:spacing w:before="40" w:after="40"/>
      </w:pPr>
      <w:r>
        <w:rPr>
          <w:rFonts w:ascii="Arial" w:cs="Arial" w:eastAsia="Arial" w:hAnsi="Arial"/>
          <w:color w:val="2C2C2C"/>
          <w:sz w:val="22"/>
          <w:szCs w:val="22"/>
        </w:rPr>
        <w:t xml:space="preserve">Secondary: optional 5-minute audio version read by text-to-speech — for candidates on the move</w:t>
      </w:r>
    </w:p>
    <w:p>
      <w:pPr>
        <w:pStyle w:val="ListParagraph"/>
        <w:numPr>
          <w:ilvl w:val="0"/>
          <w:numId w:val="2"/>
        </w:numPr>
        <w:spacing w:before="40" w:after="40"/>
      </w:pPr>
      <w:r>
        <w:rPr>
          <w:rFonts w:ascii="Arial" w:cs="Arial" w:eastAsia="Arial" w:hAnsi="Arial"/>
          <w:color w:val="2C2C2C"/>
          <w:sz w:val="22"/>
          <w:szCs w:val="22"/>
        </w:rPr>
        <w:t xml:space="preserve">Delivery: push notification at 6am sharp, email backup, SMS fallback for low-connectivity days</w:t>
      </w:r>
    </w:p>
    <w:p>
      <w:pPr>
        <w:pStyle w:val="ListParagraph"/>
        <w:numPr>
          <w:ilvl w:val="0"/>
          <w:numId w:val="2"/>
        </w:numPr>
        <w:spacing w:before="40" w:after="40"/>
      </w:pPr>
      <w:r>
        <w:rPr>
          <w:rFonts w:ascii="Arial" w:cs="Arial" w:eastAsia="Arial" w:hAnsi="Arial"/>
          <w:color w:val="2C2C2C"/>
          <w:sz w:val="22"/>
          <w:szCs w:val="22"/>
        </w:rPr>
        <w:t xml:space="preserve">Offline-capable: the briefing caches locally so it is readable without a data connection</w:t>
      </w:r>
    </w:p>
    <w:p>
      <w:pPr>
        <w:spacing w:before="0" w:after="80"/>
      </w:pPr>
      <w:r>
        <w:rPr>
          <w:sz w:val="20"/>
          <w:szCs w:val="20"/>
        </w:rPr>
        <w:t xml:space="preserve"/>
      </w:r>
    </w:p>
    <w:p>
      <w:pPr>
        <w:spacing w:before="200" w:after="80"/>
      </w:pPr>
      <w:r>
        <w:rPr>
          <w:rFonts w:ascii="Arial" w:cs="Arial" w:eastAsia="Arial" w:hAnsi="Arial"/>
          <w:b/>
          <w:bCs/>
          <w:color w:val="1A1A2E"/>
          <w:sz w:val="22"/>
          <w:szCs w:val="22"/>
        </w:rPr>
        <w:t xml:space="preserve">Briefing structure — five sections, no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What it covers</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Overnight developments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What happened while you slept — major news, social media events, opponent activity</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Sentiment shifts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Key changes in public opinion since yesterday — which wards moved and why</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Opponent activity</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Everything your competitors said or did in the last 24 hours, with risk rating</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Today's 3 actions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Three specific recommended actions for the day — a call to make, a message to send, a ward to focus on</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Ward focus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The one constituency that most needs attention today, with context and suggested approach</w:t>
            </w:r>
          </w:p>
        </w:tc>
      </w:tr>
    </w:tbl>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4A3AB5" w:val="clear"/>
            <w:tcMar>
              <w:top w:type="dxa" w:w="0"/>
              <w:left w:type="dxa" w:w="0"/>
              <w:bottom w:type="dxa" w:w="0"/>
              <w:right w:type="dxa" w:w="0"/>
            </w:tcMar>
          </w:tcPr>
          <w:p>
            <w:r>
              <w:rPr>
                <w:sz w:val="22"/>
                <w:szCs w:val="22"/>
              </w:rPr>
              <w:t xml:space="preserve"> </w:t>
            </w:r>
          </w:p>
        </w:tc>
        <w:tc>
          <w:tcPr>
            <w:tcW w:type="dxa" w:w="918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4A3AB5"/>
                <w:sz w:val="20"/>
                <w:szCs w:val="20"/>
              </w:rPr>
              <w:t xml:space="preserve">DESIGN PRINCIPLE</w:t>
            </w:r>
          </w:p>
          <w:p>
            <w:pPr>
              <w:spacing w:before="0" w:after="0"/>
            </w:pPr>
            <w:r>
              <w:rPr>
                <w:rFonts w:ascii="Arial" w:cs="Arial" w:eastAsia="Arial" w:hAnsi="Arial"/>
                <w:color w:val="2C2C2C"/>
                <w:sz w:val="21"/>
                <w:szCs w:val="21"/>
              </w:rPr>
              <w:t xml:space="preserve">The briefing is written for a candidate under pressure, not a data analyst. Every section must be scannable in 30 seconds. No tables, no raw data, no jargon. Plain language, clear recommendations, actionable next steps. The AI generates a draft; the Political Director reviews and approves before delivery.</w:t>
            </w:r>
          </w:p>
        </w:tc>
      </w:tr>
    </w:tbl>
    <w:p>
      <w:pPr>
        <w:spacing w:before="0" w:after="8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2. Technical Architecture</w:t>
      </w:r>
    </w:p>
    <w:p>
      <w:pPr>
        <w:spacing w:before="60" w:after="100"/>
      </w:pPr>
      <w:r>
        <w:rPr>
          <w:rFonts w:ascii="Arial" w:cs="Arial" w:eastAsia="Arial" w:hAnsi="Arial"/>
          <w:color w:val="2C2C2C"/>
          <w:sz w:val="22"/>
          <w:szCs w:val="22"/>
        </w:rPr>
        <w:t xml:space="preserve">The architecture is designed for three non-negotiable constraints: it must work reliably on Safaricom 3G, it must be compliant with Kenya's Data Protection Act from day one, and it must be extensible — the MVP foundation needs to support the full platform described in the CTO brief without requiring a rebuild.</w:t>
      </w:r>
    </w:p>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2.1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Choice and rationale</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Language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Python 3.11+ — strongest ecosystem for AI/ML work; extensive NLP library support</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API framework</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FastAPI — async-native, high performance, automatic OpenAPI docs, excellent for microservices</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Architecture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Microservices from day one — not a monolith we will have to split later. Each feature (sentiment, opponent tracker, briefing engine) is an independent service.</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Primary database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PostgreSQL — relational data for users, campaigns, profiles, opponent records</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Vector database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Qdrant — semantic search across the political content corpus; essential for finding related statements and inconsistencies</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Message queue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Redis — real-time event processing between services; also used for API response caching</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Time-series analytics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ClickHouse — purpose-built for the high-volume, time-stamped political data we will be ingesting continuously</w:t>
            </w:r>
          </w:p>
        </w:tc>
      </w:tr>
    </w:tbl>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2.2 AI and NLP Pipeline</w:t>
      </w:r>
    </w:p>
    <w:p>
      <w:pPr>
        <w:spacing w:before="60" w:after="100"/>
      </w:pPr>
      <w:r>
        <w:rPr>
          <w:rFonts w:ascii="Arial" w:cs="Arial" w:eastAsia="Arial" w:hAnsi="Arial"/>
          <w:color w:val="2C2C2C"/>
          <w:sz w:val="22"/>
          <w:szCs w:val="22"/>
        </w:rPr>
        <w:t xml:space="preserve">The intelligence quality of the platform is entirely determined by the quality of its AI models. We use a layered approach: open-source base models fine-tuned on Kenyan political data, with commercial API fallback for content generation.</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Model / component</w:t>
            </w:r>
          </w:p>
        </w:tc>
        <w:tc>
          <w:tcPr>
            <w:tcW w:type="dxa" w:w="65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Purpose and approach</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Swahili-English translation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Helsinki-NLP opus-mt-en-sw as base; fine-tuned on Kenyan political corpus including parliamentary records and local news. Handles code-switching between Swahili, English, and Sheng.</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Sentiment classification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Fine-tuned Llama 3.1 8B on labelled Kenyan political social media data. Target: &gt;75% accuracy vs. human annotation. Partner with University of Nairobi linguistics department for training data labelling.</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Named entity recognition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spaCy custom models trained to recognise Kenyan politicians, parties, constituencies, landmarks, and political events. Critical for connecting mentions across sources.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Briefing generation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OpenAI GPT-4o API for final natural language generation of the daily briefing. Open-source models handle the analysis; GPT-4o handles the writing. Reviewed by Political Director before delivery.</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Anomaly detection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Statistical time-series model (Prophet or similar) to identify abnormal spikes in mentions, sentiment shifts, or engagement velocity — the early warning system.</w:t>
            </w:r>
          </w:p>
        </w:tc>
      </w:tr>
    </w:tbl>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0F6E56" w:val="clear"/>
            <w:tcMar>
              <w:top w:type="dxa" w:w="0"/>
              <w:left w:type="dxa" w:w="0"/>
              <w:bottom w:type="dxa" w:w="0"/>
              <w:right w:type="dxa" w:w="0"/>
            </w:tcMar>
          </w:tcPr>
          <w:p>
            <w:r>
              <w:rPr>
                <w:sz w:val="22"/>
                <w:szCs w:val="22"/>
              </w:rPr>
              <w:t xml:space="preserve"> </w:t>
            </w:r>
          </w:p>
        </w:tc>
        <w:tc>
          <w:tcPr>
            <w:tcW w:type="dxa" w:w="918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0F6E56"/>
                <w:sz w:val="20"/>
                <w:szCs w:val="20"/>
              </w:rPr>
              <w:t xml:space="preserve">TRAINING DATA STRATEGY</w:t>
            </w:r>
          </w:p>
          <w:p>
            <w:pPr>
              <w:spacing w:before="0" w:after="0"/>
            </w:pPr>
            <w:r>
              <w:rPr>
                <w:rFonts w:ascii="Arial" w:cs="Arial" w:eastAsia="Arial" w:hAnsi="Arial"/>
                <w:color w:val="2C2C2C"/>
                <w:sz w:val="21"/>
                <w:szCs w:val="21"/>
              </w:rPr>
              <w:t xml:space="preserve">Kenyan political NLP is only as good as its training data. From day one, we systematically archive: Hansard records (2013–present), Nation and Standard digital archives, IEBC public records, and labelled social media data. This corpus becomes a competitive moat — the longer we run, the better our models get, and this data cannot be replicated quickly by a new entrant.</w:t>
            </w:r>
          </w:p>
        </w:tc>
      </w:tr>
    </w:tbl>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2.3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Technology and purpose</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Streaming ingestion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Apache Kafka — handles high-volume real-time data from social APIs, news scrapers, and field agent inputs without data loss</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Transformation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dbt (data build tool) — structured, version-controlled data transformations; makes the pipeline auditable and testable</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Raw storage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S3-compatible object store — all raw ingested content archived before processing; critical for model retraining and compliance audit trails</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Processed store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PostgreSQL + Qdrant — structured data and vector embeddings for querying</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Analytics layer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ClickHouse — sub-second queries across millions of political data points for dashboard rendering</w:t>
            </w:r>
          </w:p>
        </w:tc>
      </w:tr>
    </w:tbl>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2.4 Frontend and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Approach</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Dashboard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React + TypeScript — mobile-first responsive design. Every screen tested on a KES 8,000 Android device on Safaricom 3G before release.</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Auth0 with role-based access control — candidates, campaign managers, and analysts have different permission levels and different default views</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Real-time updates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WebSocket connections for live sentiment data and opponent alerts — no manual refresh required</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Offline support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Service workers cache the daily briefing and last known dashboard state locally. The platform remains usable without connectivity.</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Language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Swahili and English toggle available on every screen. Swahili is the default.</w:t>
            </w:r>
          </w:p>
        </w:tc>
      </w:tr>
    </w:tbl>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2.5 Infrastructure and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Approach</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Primary cloud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AWS Africa (Cape Town) — lowest latency to Kenyan users of any major cloud provider currently operating on the continent</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DPA compliance hosting</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Kenyan co-location facility for personal data storage — required for Data Protection Act Section 50 compliance. Budget for this from day one; retrofitting is expensive.</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CDN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CloudFront — static asset delivery and API response caching for low-bandwidth environments</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Monitoring</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DataDog — application performance, infrastructure health, and error tracking. Uptime SLA of 99.5% during business hours.</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CI/CD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GitHub Actions — automated testing and deployment pipeline. No manual deployments to production.</w:t>
            </w:r>
          </w:p>
        </w:tc>
      </w:tr>
    </w:tbl>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2.6 Security and Compliance</w:t>
      </w:r>
    </w:p>
    <w:p>
      <w:pPr>
        <w:spacing w:before="60" w:after="100"/>
      </w:pPr>
      <w:r>
        <w:rPr>
          <w:rFonts w:ascii="Arial" w:cs="Arial" w:eastAsia="Arial" w:hAnsi="Arial"/>
          <w:color w:val="2C2C2C"/>
          <w:sz w:val="22"/>
          <w:szCs w:val="22"/>
        </w:rPr>
        <w:t xml:space="preserve">Security is not a phase 3 concern. Given that this platform holds sensitive political intelligence, a breach would be existential. The following are non-negotiable requirements from day one, not post-launch additions.</w:t>
      </w:r>
    </w:p>
    <w:p>
      <w:pPr>
        <w:spacing w:before="0" w:after="80"/>
      </w:pPr>
      <w:r>
        <w:rPr>
          <w:sz w:val="20"/>
          <w:szCs w:val="20"/>
        </w:rPr>
        <w:t xml:space="preserve"/>
      </w:r>
    </w:p>
    <w:p>
      <w:pPr>
        <w:pStyle w:val="ListParagraph"/>
        <w:numPr>
          <w:ilvl w:val="0"/>
          <w:numId w:val="2"/>
        </w:numPr>
        <w:spacing w:before="40" w:after="40"/>
      </w:pPr>
      <w:r>
        <w:rPr>
          <w:rFonts w:ascii="Arial" w:cs="Arial" w:eastAsia="Arial" w:hAnsi="Arial"/>
          <w:color w:val="2C2C2C"/>
          <w:sz w:val="22"/>
          <w:szCs w:val="22"/>
        </w:rPr>
        <w:t xml:space="preserve">Encryption: AES-256 at rest for all stored data, TLS 1.3 in transit for all API communication</w:t>
      </w:r>
    </w:p>
    <w:p>
      <w:pPr>
        <w:pStyle w:val="ListParagraph"/>
        <w:numPr>
          <w:ilvl w:val="0"/>
          <w:numId w:val="2"/>
        </w:numPr>
        <w:spacing w:before="40" w:after="40"/>
      </w:pPr>
      <w:r>
        <w:rPr>
          <w:rFonts w:ascii="Arial" w:cs="Arial" w:eastAsia="Arial" w:hAnsi="Arial"/>
          <w:color w:val="2C2C2C"/>
          <w:sz w:val="22"/>
          <w:szCs w:val="22"/>
        </w:rPr>
        <w:t xml:space="preserve">API security: OAuth 2.0 with short-expiry JWT tokens. No long-lived API keys in production.</w:t>
      </w:r>
    </w:p>
    <w:p>
      <w:pPr>
        <w:pStyle w:val="ListParagraph"/>
        <w:numPr>
          <w:ilvl w:val="0"/>
          <w:numId w:val="2"/>
        </w:numPr>
        <w:spacing w:before="40" w:after="40"/>
      </w:pPr>
      <w:r>
        <w:rPr>
          <w:rFonts w:ascii="Arial" w:cs="Arial" w:eastAsia="Arial" w:hAnsi="Arial"/>
          <w:color w:val="2C2C2C"/>
          <w:sz w:val="22"/>
          <w:szCs w:val="22"/>
        </w:rPr>
        <w:t xml:space="preserve">Audit logs: Complete, tamper-proof trail of every data access and modification — required for DPA compliance and for the platform's own legal protection</w:t>
      </w:r>
    </w:p>
    <w:p>
      <w:pPr>
        <w:pStyle w:val="ListParagraph"/>
        <w:numPr>
          <w:ilvl w:val="0"/>
          <w:numId w:val="2"/>
        </w:numPr>
        <w:spacing w:before="40" w:after="40"/>
      </w:pPr>
      <w:r>
        <w:rPr>
          <w:rFonts w:ascii="Arial" w:cs="Arial" w:eastAsia="Arial" w:hAnsi="Arial"/>
          <w:color w:val="2C2C2C"/>
          <w:sz w:val="22"/>
          <w:szCs w:val="22"/>
        </w:rPr>
        <w:t xml:space="preserve">Role-based access: candidates cannot see other clients' data; analysts cannot access billing; agents can only see their ward-level data</w:t>
      </w:r>
    </w:p>
    <w:p>
      <w:pPr>
        <w:pStyle w:val="ListParagraph"/>
        <w:numPr>
          <w:ilvl w:val="0"/>
          <w:numId w:val="2"/>
        </w:numPr>
        <w:spacing w:before="40" w:after="40"/>
      </w:pPr>
      <w:r>
        <w:rPr>
          <w:rFonts w:ascii="Arial" w:cs="Arial" w:eastAsia="Arial" w:hAnsi="Arial"/>
          <w:color w:val="2C2C2C"/>
          <w:sz w:val="22"/>
          <w:szCs w:val="22"/>
        </w:rPr>
        <w:t xml:space="preserve">ODPC registration: must be completed before any personal data is processed. This is a legal requirement, not a suggestion.</w:t>
      </w:r>
    </w:p>
    <w:p>
      <w:pPr>
        <w:pStyle w:val="ListParagraph"/>
        <w:numPr>
          <w:ilvl w:val="0"/>
          <w:numId w:val="2"/>
        </w:numPr>
        <w:spacing w:before="40" w:after="40"/>
      </w:pPr>
      <w:r>
        <w:rPr>
          <w:rFonts w:ascii="Arial" w:cs="Arial" w:eastAsia="Arial" w:hAnsi="Arial"/>
          <w:color w:val="2C2C2C"/>
          <w:sz w:val="22"/>
          <w:szCs w:val="22"/>
        </w:rPr>
        <w:t xml:space="preserve">Penetration testing: scheduled for end of Phase 2 (month 4) before any real client data is onboarded</w:t>
      </w:r>
    </w:p>
    <w:p>
      <w:pPr>
        <w:spacing w:before="0" w:after="8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3. Development Phases</w:t>
      </w:r>
    </w:p>
    <w:p>
      <w:pPr>
        <w:spacing w:before="60" w:after="100"/>
      </w:pPr>
      <w:r>
        <w:rPr>
          <w:rFonts w:ascii="Arial" w:cs="Arial" w:eastAsia="Arial" w:hAnsi="Arial"/>
          <w:color w:val="2C2C2C"/>
          <w:sz w:val="22"/>
          <w:szCs w:val="22"/>
        </w:rPr>
        <w:t xml:space="preserve">Six months, three phases. Each phase has a clear deliverable and a gate condition — we do not move to the next phase until the current one is demonstrably working.</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4A3AB5" w:val="clear"/>
            <w:tcMar>
              <w:top w:type="dxa" w:w="140"/>
              <w:left w:type="dxa" w:w="160"/>
              <w:bottom w:type="dxa" w:w="140"/>
              <w:right w:type="dxa" w:w="140"/>
            </w:tcMar>
            <w:vAlign w:val="center"/>
          </w:tcPr>
          <w:p>
            <w:pPr>
              <w:jc w:val="center"/>
            </w:pPr>
            <w:r>
              <w:rPr>
                <w:rFonts w:ascii="Arial" w:cs="Arial" w:eastAsia="Arial" w:hAnsi="Arial"/>
                <w:b/>
                <w:bCs/>
                <w:color w:val="FFFFFF"/>
                <w:sz w:val="24"/>
                <w:szCs w:val="24"/>
              </w:rPr>
              <w:t xml:space="preserve">Phase 1</w:t>
            </w:r>
          </w:p>
          <w:p>
            <w:pPr>
              <w:jc w:val="center"/>
            </w:pPr>
            <w:r>
              <w:rPr>
                <w:rFonts w:ascii="Arial" w:cs="Arial" w:eastAsia="Arial" w:hAnsi="Arial"/>
                <w:color w:val="CECBF6"/>
                <w:sz w:val="18"/>
                <w:szCs w:val="18"/>
              </w:rPr>
              <w:t xml:space="preserve">Months 1–2</w:t>
            </w:r>
          </w:p>
        </w:tc>
        <w:tc>
          <w:tcPr>
            <w:tcW w:type="dxa" w:w="77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1A1A2E"/>
                <w:sz w:val="22"/>
                <w:szCs w:val="22"/>
              </w:rPr>
              <w:t xml:space="preserve">Foundation — build the pipes before the intelligence</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Core microservices architecture deployed to AWS Africa</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Social media API integrations live: X, Facebook, TikTok, YouTube</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Basic Swahili + English sentiment model running on real data</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Simple dashboard prototype — not pretty, but functionally correct</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PostgreSQL + Qdrant + Kafka pipeline operational</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Auth0 authentication with role-based access working</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ODPC registration completed; DPA compliance framework in place</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Gate condition: live sentiment data from all 4 social APIs flowing into dashboard</w:t>
            </w:r>
          </w:p>
        </w:tc>
      </w:tr>
    </w:tbl>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4A3AB5" w:val="clear"/>
            <w:tcMar>
              <w:top w:type="dxa" w:w="140"/>
              <w:left w:type="dxa" w:w="160"/>
              <w:bottom w:type="dxa" w:w="140"/>
              <w:right w:type="dxa" w:w="140"/>
            </w:tcMar>
            <w:vAlign w:val="center"/>
          </w:tcPr>
          <w:p>
            <w:pPr>
              <w:jc w:val="center"/>
            </w:pPr>
            <w:r>
              <w:rPr>
                <w:rFonts w:ascii="Arial" w:cs="Arial" w:eastAsia="Arial" w:hAnsi="Arial"/>
                <w:b/>
                <w:bCs/>
                <w:color w:val="FFFFFF"/>
                <w:sz w:val="24"/>
                <w:szCs w:val="24"/>
              </w:rPr>
              <w:t xml:space="preserve">Phase 2</w:t>
            </w:r>
          </w:p>
          <w:p>
            <w:pPr>
              <w:jc w:val="center"/>
            </w:pPr>
            <w:r>
              <w:rPr>
                <w:rFonts w:ascii="Arial" w:cs="Arial" w:eastAsia="Arial" w:hAnsi="Arial"/>
                <w:color w:val="CECBF6"/>
                <w:sz w:val="18"/>
                <w:szCs w:val="18"/>
              </w:rPr>
              <w:t xml:space="preserve">Months 3–4</w:t>
            </w:r>
          </w:p>
        </w:tc>
        <w:tc>
          <w:tcPr>
            <w:tcW w:type="dxa" w:w="77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1A1A2E"/>
                <w:sz w:val="22"/>
                <w:szCs w:val="22"/>
              </w:rPr>
              <w:t xml:space="preserve">Intelligence layer — the product starts thinking</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Opponent tracker live: social monitoring, news scraping, Hansard integration</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Nation, Standard, Royal Media scrapers operational and indexed</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NER models trained on Kenyan political entities</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Daily AI briefing engine generating drafts (Political Director reviews each one)</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WhatsApp field agent input pipeline — manual reports feeding sentiment layer</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Anomaly detection deployed — early warning system for viral content</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Penetration test completed; security audit findings resolved</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Gate condition: a full day's briefing generated, reviewed, and judged accurate by Political Director</w:t>
            </w:r>
          </w:p>
        </w:tc>
      </w:tr>
    </w:tbl>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4A3AB5" w:val="clear"/>
            <w:tcMar>
              <w:top w:type="dxa" w:w="140"/>
              <w:left w:type="dxa" w:w="160"/>
              <w:bottom w:type="dxa" w:w="140"/>
              <w:right w:type="dxa" w:w="140"/>
            </w:tcMar>
            <w:vAlign w:val="center"/>
          </w:tcPr>
          <w:p>
            <w:pPr>
              <w:jc w:val="center"/>
            </w:pPr>
            <w:r>
              <w:rPr>
                <w:rFonts w:ascii="Arial" w:cs="Arial" w:eastAsia="Arial" w:hAnsi="Arial"/>
                <w:b/>
                <w:bCs/>
                <w:color w:val="FFFFFF"/>
                <w:sz w:val="24"/>
                <w:szCs w:val="24"/>
              </w:rPr>
              <w:t xml:space="preserve">Phase 3</w:t>
            </w:r>
          </w:p>
          <w:p>
            <w:pPr>
              <w:jc w:val="center"/>
            </w:pPr>
            <w:r>
              <w:rPr>
                <w:rFonts w:ascii="Arial" w:cs="Arial" w:eastAsia="Arial" w:hAnsi="Arial"/>
                <w:color w:val="CECBF6"/>
                <w:sz w:val="18"/>
                <w:szCs w:val="18"/>
              </w:rPr>
              <w:t xml:space="preserve">Months 5–6</w:t>
            </w:r>
          </w:p>
        </w:tc>
        <w:tc>
          <w:tcPr>
            <w:tcW w:type="dxa" w:w="77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1A1A2E"/>
                <w:sz w:val="22"/>
                <w:szCs w:val="22"/>
              </w:rPr>
              <w:t xml:space="preserve">Polish and launch — real clients, real data</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Mobile optimisation: every screen tested on low-end Android + Safaricom 3G</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Swahili default interface complete across all screens</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Client onboarding flow built: 2–3 Nairobi MCA candidates</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Performance optimisation: &lt;2 second dashboard load on 3G</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SMS fallback for daily briefing delivery in no-internet scenarios</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Offline caching for dashboard and briefing content</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User training materials in Swahili and English</w:t>
            </w:r>
          </w:p>
          <w:p>
            <w:pPr>
              <w:spacing w:before="30" w:after="30"/>
            </w:pPr>
            <w:r>
              <w:rPr>
                <w:rFonts w:ascii="Arial" w:cs="Arial" w:eastAsia="Arial" w:hAnsi="Arial"/>
                <w:b/>
                <w:bCs/>
                <w:color w:val="4A3AB5"/>
                <w:sz w:val="20"/>
                <w:szCs w:val="20"/>
              </w:rPr>
              <w:t xml:space="preserve">— </w:t>
            </w:r>
            <w:r>
              <w:rPr>
                <w:rFonts w:ascii="Arial" w:cs="Arial" w:eastAsia="Arial" w:hAnsi="Arial"/>
                <w:color w:val="444441"/>
                <w:sz w:val="20"/>
                <w:szCs w:val="20"/>
              </w:rPr>
              <w:t xml:space="preserve">Gate condition: all three MVP features in daily use by at least one paying client</w:t>
            </w:r>
          </w:p>
        </w:tc>
      </w:tr>
    </w:tbl>
    <w:p>
      <w:pPr>
        <w:spacing w:before="0" w:after="8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4. Success Metrics</w:t>
      </w:r>
    </w:p>
    <w:p>
      <w:pPr>
        <w:spacing w:before="60" w:after="100"/>
      </w:pPr>
      <w:r>
        <w:rPr>
          <w:rFonts w:ascii="Arial" w:cs="Arial" w:eastAsia="Arial" w:hAnsi="Arial"/>
          <w:color w:val="2C2C2C"/>
          <w:sz w:val="22"/>
          <w:szCs w:val="22"/>
        </w:rPr>
        <w:t xml:space="preserve">We measure success across three dimensions: technical performance, user engagement, and intelligence accuracy. If the platform meets all three, it earns the right to Phase 2 of the full product roadmap.</w:t>
      </w:r>
    </w:p>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4.1 Technical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Metric</w:t>
            </w:r>
          </w:p>
        </w:tc>
        <w:tc>
          <w:tcPr>
            <w:tcW w:type="dxa" w:w="67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Target</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Platform uptime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99.5% availability during Kenyan business hours (7am–10pm EAT)</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Dashboard load time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Under 2 seconds on Safaricom 3G — tested on a KES 8,000 Android device</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Social data freshness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New social media data reflected in dashboard within 15 minutes of posting</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Briefing delivery</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6am push notification delivered within ±5 minutes, every day, no exceptions</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API response time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95th percentile under 800ms for all dashboard API calls</w:t>
            </w:r>
          </w:p>
        </w:tc>
      </w:tr>
    </w:tbl>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4.2 User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Metric</w:t>
            </w:r>
          </w:p>
        </w:tc>
        <w:tc>
          <w:tcPr>
            <w:tcW w:type="dxa" w:w="67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Target</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Daily briefing open rate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&gt;80% opened within 2 hours of 6am delivery</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Dashboard sessions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Average 3 or more logins per day per client account</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Feature coverage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All three MVP features used at least once per week by every active client</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Retention</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Zero client churn during the 6-month PoC period — if a client stops using it, we have failed</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NPS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Net Promoter Score of 50+ from PoC clients at end of month 6</w:t>
            </w:r>
          </w:p>
        </w:tc>
      </w:tr>
    </w:tbl>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4.3 Intelligence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Sentiment classification accuracy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&gt;75% agreement with human annotation on a held-out test set of 1,000 labelled Kenyan political posts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Opponent activity capture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100% of major public statements, rallies, and media appearances captured within 24 hours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Early warning performance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Emerging narratives flagged at least 24 hours before they appear in mainstream Kenyan media</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Briefing accuracy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Political Director approval rate of &gt;90% on AI-generated briefing drafts before review edits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False positive rate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Sentiment anomaly alerts fewer than 2 false positives per week per client</w:t>
            </w:r>
          </w:p>
        </w:tc>
      </w:tr>
    </w:tbl>
    <w:p>
      <w:pPr>
        <w:spacing w:before="0" w:after="8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5. Risks and Mitigations</w:t>
      </w:r>
    </w:p>
    <w:p>
      <w:pPr>
        <w:spacing w:before="60" w:after="100"/>
      </w:pPr>
      <w:r>
        <w:rPr>
          <w:rFonts w:ascii="Arial" w:cs="Arial" w:eastAsia="Arial" w:hAnsi="Arial"/>
          <w:color w:val="2C2C2C"/>
          <w:sz w:val="22"/>
          <w:szCs w:val="22"/>
        </w:rPr>
        <w:t xml:space="preserve">These are the risks most likely to cause the MVP to miss timeline, quality, or compliance targets. They are categorised as technical, data, and regulatory.</w:t>
      </w:r>
    </w:p>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5.1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Likelihood</w:t>
            </w:r>
          </w:p>
        </w:tc>
        <w:tc>
          <w:tcPr>
            <w:tcW w:type="dxa" w:w="55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2C2C2C"/>
                <w:sz w:val="20"/>
                <w:szCs w:val="20"/>
              </w:rPr>
              <w:t xml:space="preserve">Social API rate limits throttle data freshness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Build redundant source coverage; cache aggressively; negotiate elevated API tiers early. Twitter/X API access is expensive — budget this upfront.</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2C2C2C"/>
                <w:sz w:val="20"/>
                <w:szCs w:val="20"/>
              </w:rPr>
              <w:t xml:space="preserve">Swahili NLP accuracy below 75% target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Partner with University of Nairobi linguistics department for training data labelling. Run human validation workflow in parallel until model meets accuracy gate.</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2C2C2C"/>
                <w:sz w:val="20"/>
                <w:szCs w:val="20"/>
              </w:rPr>
              <w:t xml:space="preserve">Infrastructure costs exceed budget before revenue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Start on AWS free tier and t3 instances; scale only when real client load demands it. ClickHouse and Kafka can run on modest hardware at MVP scale.</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2C2C2C"/>
                <w:sz w:val="20"/>
                <w:szCs w:val="20"/>
              </w:rPr>
              <w:t xml:space="preserve">6-month timeline slips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Phase gates enforce sequencing. If Phase 1 slips, we descope Phase 3 polish rather than delay the client onboarding. A rough product in front of real users beats a polished product that is late.</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2C2C2C"/>
                <w:sz w:val="20"/>
                <w:szCs w:val="20"/>
              </w:rPr>
              <w:t xml:space="preserve">Data quality from scrapers is inconsistent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Human validation workflow for all opponent tracker outputs before delivery to clients. The Political Director reviews the daily briefing; this is the quality gate.</w:t>
            </w:r>
          </w:p>
        </w:tc>
      </w:tr>
    </w:tbl>
    <w:p>
      <w:pPr>
        <w:spacing w:before="0" w:after="80"/>
      </w:pPr>
      <w:r>
        <w:rPr>
          <w:sz w:val="20"/>
          <w:szCs w:val="20"/>
        </w:rPr>
        <w:t xml:space="preserve"/>
      </w:r>
    </w:p>
    <w:p>
      <w:pPr>
        <w:pStyle w:val="Heading2"/>
        <w:spacing w:before="300" w:after="120"/>
      </w:pPr>
      <w:r>
        <w:rPr>
          <w:rFonts w:ascii="Arial" w:cs="Arial" w:eastAsia="Arial" w:hAnsi="Arial"/>
          <w:b/>
          <w:bCs/>
          <w:color w:val="0F6E56"/>
          <w:sz w:val="26"/>
          <w:szCs w:val="26"/>
        </w:rPr>
        <w:t xml:space="preserve">5.2 Regulatory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Likelihood</w:t>
            </w:r>
          </w:p>
        </w:tc>
        <w:tc>
          <w:tcPr>
            <w:tcW w:type="dxa" w:w="55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2C2C2C"/>
                <w:sz w:val="20"/>
                <w:szCs w:val="20"/>
              </w:rPr>
              <w:t xml:space="preserve">ODPC registration delayed or rejected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Low</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Engage data protection lawyer in month 1. ODPC registration is a process, not a discretionary approval — with correct documentation it is straightforward.</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2C2C2C"/>
                <w:sz w:val="20"/>
                <w:szCs w:val="20"/>
              </w:rPr>
              <w:t xml:space="preserve">Social media platform ToS changes restrict API access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Diversify data sources so no single platform is more than 30% of our data. Maintain manual input workflows as fallback for any API that goes dark.</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2C2C2C"/>
                <w:sz w:val="20"/>
                <w:szCs w:val="20"/>
              </w:rPr>
              <w:t xml:space="preserve">Kenyan election laws create unexpected compliance requirements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Low</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b w:val="false"/>
                <w:bCs w:val="false"/>
                <w:color w:val="2C2C2C"/>
                <w:sz w:val="20"/>
                <w:szCs w:val="20"/>
              </w:rPr>
              <w:t xml:space="preserve">Legal review of all political intelligence features before launch. Proactively brief IEBC on the platform's existence and purpose in month 4.</w:t>
            </w:r>
          </w:p>
        </w:tc>
      </w:tr>
    </w:tbl>
    <w:p>
      <w:pPr>
        <w:spacing w:before="0" w:after="8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6. Questions for the CTO</w:t>
      </w:r>
    </w:p>
    <w:p>
      <w:pPr>
        <w:spacing w:before="60" w:after="100"/>
      </w:pPr>
      <w:r>
        <w:rPr>
          <w:rFonts w:ascii="Arial" w:cs="Arial" w:eastAsia="Arial" w:hAnsi="Arial"/>
          <w:color w:val="2C2C2C"/>
          <w:sz w:val="22"/>
          <w:szCs w:val="22"/>
        </w:rPr>
        <w:t xml:space="preserve">This specification was written by the founding team to give the CTO a clear starting point. It is not meant to be final — the CTO's job is to pressure-test it, identify what is missing or wrong, and bring their own technical judgment to bear. The following questions are the most important ones for our first architecture review session.</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Context</w:t>
            </w:r>
          </w:p>
        </w:tc>
      </w:tr>
      <w:tr>
        <w:tc>
          <w:tcPr>
            <w:tcW w:type="dxa" w:w="30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Is the 6-month timeline realistic?</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Given the team we can assemble and the technical scope above — what can we cut from Phase 3 if we need to, and what is non-negotiable for a PoC launch?</w:t>
            </w:r>
          </w:p>
        </w:tc>
      </w:tr>
      <w:tr>
        <w:tc>
          <w:tcPr>
            <w:tcW w:type="dxa" w:w="30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What is the biggest technical red flag in this spec?</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Specifically: is there anything here that will not work as described, or that will cost 10x what we expect?</w:t>
            </w:r>
          </w:p>
        </w:tc>
      </w:tr>
      <w:tr>
        <w:tc>
          <w:tcPr>
            <w:tcW w:type="dxa" w:w="30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How many engineers do we need?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The CTO's view on team composition: backend, ML, frontend, DevOps — and whether we hire, contract, or outsource each role.</w:t>
            </w:r>
          </w:p>
        </w:tc>
      </w:tr>
      <w:tr>
        <w:tc>
          <w:tcPr>
            <w:tcW w:type="dxa" w:w="30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What does this cost to run?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AWS Africa + Kenyan co-location + API costs (OpenAI, social APIs, DataDog) — a monthly infrastructure burn estimate at MVP scale.</w:t>
            </w:r>
          </w:p>
        </w:tc>
      </w:tr>
      <w:tr>
        <w:tc>
          <w:tcPr>
            <w:tcW w:type="dxa" w:w="30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What is missing from the architecture?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The spec covers the obvious components. What is the CTO seeing that is not here — the gap between this document and a production system?</w:t>
            </w:r>
          </w:p>
        </w:tc>
      </w:tr>
      <w:tr>
        <w:tc>
          <w:tcPr>
            <w:tcW w:type="dxa" w:w="30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How do we handle the Swahili NLP gap?</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If the University of Nairobi partnership does not materialise quickly, what is the fallback strategy for training data?</w:t>
            </w:r>
          </w:p>
        </w:tc>
      </w:tr>
      <w:tr>
        <w:tc>
          <w:tcPr>
            <w:tcW w:type="dxa" w:w="30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Kafka and ClickHouse at MVP scale — are they premature?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These are powerful but operationally complex. Does the CTO think we should start simpler (Postgres for everything, Celery for queuing) and migrate later, or commit to the full stack from day one?</w:t>
            </w:r>
          </w:p>
        </w:tc>
      </w:tr>
    </w:tbl>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4A3AB5" w:val="clear"/>
            <w:tcMar>
              <w:top w:type="dxa" w:w="0"/>
              <w:left w:type="dxa" w:w="0"/>
              <w:bottom w:type="dxa" w:w="0"/>
              <w:right w:type="dxa" w:w="0"/>
            </w:tcMar>
          </w:tcPr>
          <w:p>
            <w:r>
              <w:rPr>
                <w:sz w:val="22"/>
                <w:szCs w:val="22"/>
              </w:rPr>
              <w:t xml:space="preserve"> </w:t>
            </w:r>
          </w:p>
        </w:tc>
        <w:tc>
          <w:tcPr>
            <w:tcW w:type="dxa" w:w="918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4A3AB5"/>
                <w:sz w:val="20"/>
                <w:szCs w:val="20"/>
              </w:rPr>
              <w:t xml:space="preserve">FOR THE FIRST MEETING</w:t>
            </w:r>
          </w:p>
          <w:p>
            <w:pPr>
              <w:spacing w:before="0" w:after="0"/>
            </w:pPr>
            <w:r>
              <w:rPr>
                <w:rFonts w:ascii="Arial" w:cs="Arial" w:eastAsia="Arial" w:hAnsi="Arial"/>
                <w:color w:val="2C2C2C"/>
                <w:sz w:val="21"/>
                <w:szCs w:val="21"/>
              </w:rPr>
              <w:t xml:space="preserve">Come prepared to challenge everything in this document. The founding team's job was to define what the product needs to do. The CTO's job is to define how it will actually get built. These are different problems and the second is harder. We want your honest assessment of what is achievable in six months — not the optimistic version.</w:t>
            </w:r>
          </w:p>
        </w:tc>
      </w:tr>
    </w:tbl>
    <w:p>
      <w:pPr>
        <w:spacing w:before="0" w:after="80"/>
      </w:pPr>
      <w:r>
        <w:rPr>
          <w:sz w:val="20"/>
          <w:szCs w:val="20"/>
        </w:rPr>
        <w:t xml:space="preserve"/>
      </w:r>
    </w:p>
    <w:p>
      <w:pPr>
        <w:pBdr>
          <w:top w:val="single" w:color="CCCCCC" w:sz="2" w:space="6"/>
        </w:pBdr>
        <w:spacing w:before="200" w:after="40"/>
      </w:pPr>
      <w:r>
        <w:rPr>
          <w:rFonts w:ascii="Arial" w:cs="Arial" w:eastAsia="Arial" w:hAnsi="Arial"/>
          <w:i/>
          <w:iCs/>
          <w:color w:val="AAAAAA"/>
          <w:sz w:val="16"/>
          <w:szCs w:val="16"/>
        </w:rPr>
        <w:t xml:space="preserve">Kampeni Intelligence Platform  ·  MVP Technical Specification  ·  Confidential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after="0"/>
    </w:pPr>
    <w:r>
      <w:rPr>
        <w:rFonts w:ascii="Arial" w:cs="Arial" w:eastAsia="Arial" w:hAnsi="Arial"/>
        <w:color w:val="AAAAAA"/>
        <w:sz w:val="16"/>
        <w:szCs w:val="16"/>
      </w:rPr>
      <w:t xml:space="preserve">Founding Team  ·  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AB5" w:sz="4" w:space="4"/>
      </w:pBdr>
      <w:spacing w:before="0" w:after="80"/>
    </w:pPr>
    <w:r>
      <w:rPr>
        <w:rFonts w:ascii="Arial" w:cs="Arial" w:eastAsia="Arial" w:hAnsi="Arial"/>
        <w:color w:val="AAAAAA"/>
        <w:sz w:val="18"/>
        <w:szCs w:val="18"/>
      </w:rPr>
      <w:t xml:space="preserve">Kampeni Intelligence Platform  ·  MVP Technical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4A3AB5"/>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2026-03-23T13:10:06.640Z</dcterms:created>
  <dcterms:modified xsi:type="dcterms:W3CDTF">2026-03-23T13:10:06.642Z</dcterms:modified>
</cp:coreProperties>
</file>

<file path=docProps/custom.xml><?xml version="1.0" encoding="utf-8"?>
<Properties xmlns="http://schemas.openxmlformats.org/officeDocument/2006/custom-properties" xmlns:vt="http://schemas.openxmlformats.org/officeDocument/2006/docPropsVTypes"/>
</file>