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E08E" w14:textId="77777777" w:rsidR="00D6628B" w:rsidRPr="00D6628B" w:rsidRDefault="00D6628B" w:rsidP="00D6628B">
      <w:pPr>
        <w:jc w:val="center"/>
        <w:rPr>
          <w:color w:val="002060"/>
          <w:sz w:val="48"/>
          <w:szCs w:val="48"/>
        </w:rPr>
      </w:pPr>
      <w:r w:rsidRPr="00D6628B">
        <w:rPr>
          <w:color w:val="002060"/>
          <w:sz w:val="48"/>
          <w:szCs w:val="48"/>
        </w:rPr>
        <w:t>Construction et BTP</w:t>
      </w:r>
    </w:p>
    <w:p w14:paraId="68F7706F" w14:textId="77A14CAE" w:rsidR="0039615B" w:rsidRPr="0039615B" w:rsidRDefault="00D6628B" w:rsidP="0039615B">
      <w:pPr>
        <w:pStyle w:val="Titre1"/>
        <w:spacing w:line="360" w:lineRule="auto"/>
      </w:pPr>
      <w:r w:rsidRPr="00D6628B">
        <w:t>Vue d’ensemble du secteur</w:t>
      </w:r>
    </w:p>
    <w:p w14:paraId="243BB596" w14:textId="77777777" w:rsidR="00D6628B" w:rsidRPr="00D6628B" w:rsidRDefault="00D6628B" w:rsidP="0039615B">
      <w:pPr>
        <w:numPr>
          <w:ilvl w:val="0"/>
          <w:numId w:val="1"/>
        </w:numPr>
        <w:jc w:val="both"/>
        <w:rPr>
          <w:sz w:val="24"/>
          <w:szCs w:val="24"/>
        </w:rPr>
      </w:pPr>
      <w:r w:rsidRPr="00D6628B">
        <w:rPr>
          <w:sz w:val="24"/>
          <w:szCs w:val="24"/>
        </w:rPr>
        <w:t>Le secteur représente environ 6% du PIB national avec un chiffre d’affaires annuel dépassant 59 milliards de dirhams.​</w:t>
      </w:r>
    </w:p>
    <w:p w14:paraId="21B1F6FD" w14:textId="77777777" w:rsidR="00D6628B" w:rsidRPr="00D6628B" w:rsidRDefault="00D6628B" w:rsidP="0039615B">
      <w:pPr>
        <w:numPr>
          <w:ilvl w:val="0"/>
          <w:numId w:val="1"/>
        </w:numPr>
        <w:jc w:val="both"/>
        <w:rPr>
          <w:sz w:val="24"/>
          <w:szCs w:val="24"/>
        </w:rPr>
      </w:pPr>
      <w:r w:rsidRPr="00D6628B">
        <w:rPr>
          <w:sz w:val="24"/>
          <w:szCs w:val="24"/>
        </w:rPr>
        <w:t>Il emploie plus de 1,2 million de personnes (près de 12% de la population active), ce qui en fait le quatrième pourvoyeur d’emplois du pays.​</w:t>
      </w:r>
    </w:p>
    <w:p w14:paraId="435D03EE" w14:textId="77777777" w:rsidR="00D6628B" w:rsidRPr="00D6628B" w:rsidRDefault="00D6628B" w:rsidP="0039615B">
      <w:pPr>
        <w:numPr>
          <w:ilvl w:val="0"/>
          <w:numId w:val="1"/>
        </w:numPr>
        <w:jc w:val="both"/>
        <w:rPr>
          <w:sz w:val="24"/>
          <w:szCs w:val="24"/>
        </w:rPr>
      </w:pPr>
      <w:r w:rsidRPr="00D6628B">
        <w:rPr>
          <w:sz w:val="24"/>
          <w:szCs w:val="24"/>
        </w:rPr>
        <w:t>La construction de logements représente environ 70% du chiffre d'affaires du secteur.​</w:t>
      </w:r>
    </w:p>
    <w:p w14:paraId="626C87E4" w14:textId="77777777" w:rsidR="00D6628B" w:rsidRPr="00D6628B" w:rsidRDefault="00D6628B" w:rsidP="0039615B">
      <w:pPr>
        <w:numPr>
          <w:ilvl w:val="0"/>
          <w:numId w:val="1"/>
        </w:numPr>
        <w:jc w:val="both"/>
        <w:rPr>
          <w:sz w:val="24"/>
          <w:szCs w:val="24"/>
        </w:rPr>
      </w:pPr>
      <w:r w:rsidRPr="00D6628B">
        <w:rPr>
          <w:sz w:val="24"/>
          <w:szCs w:val="24"/>
        </w:rPr>
        <w:t>Le secteur est marqué par une forte présence de PME et comprend une part significative d’informel (jusqu’à 30%).​</w:t>
      </w:r>
    </w:p>
    <w:p w14:paraId="33A2F447" w14:textId="0D821AE4" w:rsidR="0039615B" w:rsidRPr="0039615B" w:rsidRDefault="00D6628B" w:rsidP="0039615B">
      <w:pPr>
        <w:pStyle w:val="Titre1"/>
        <w:spacing w:line="360" w:lineRule="auto"/>
      </w:pPr>
      <w:r w:rsidRPr="00D6628B">
        <w:t>Projets phares et dynamisme</w:t>
      </w:r>
    </w:p>
    <w:p w14:paraId="19F833A7" w14:textId="77777777" w:rsidR="00D6628B" w:rsidRPr="00D6628B" w:rsidRDefault="00D6628B" w:rsidP="0039615B">
      <w:pPr>
        <w:numPr>
          <w:ilvl w:val="0"/>
          <w:numId w:val="2"/>
        </w:numPr>
        <w:jc w:val="both"/>
        <w:rPr>
          <w:sz w:val="24"/>
          <w:szCs w:val="24"/>
        </w:rPr>
      </w:pPr>
      <w:r w:rsidRPr="00D6628B">
        <w:rPr>
          <w:sz w:val="24"/>
          <w:szCs w:val="24"/>
        </w:rPr>
        <w:t>Le BTP marocain évolue grâce à de grands projets d’infrastructure : reconstruction post-séisme, extension de lignes ferroviaires LGV, développement des aéroports, stations de dessalement, infrastructures hydrauliques, équipements hospitaliers et touristiques.​</w:t>
      </w:r>
    </w:p>
    <w:p w14:paraId="61E247BC" w14:textId="77777777" w:rsidR="00D6628B" w:rsidRPr="00D6628B" w:rsidRDefault="00D6628B" w:rsidP="0039615B">
      <w:pPr>
        <w:numPr>
          <w:ilvl w:val="0"/>
          <w:numId w:val="2"/>
        </w:numPr>
        <w:jc w:val="both"/>
        <w:rPr>
          <w:sz w:val="24"/>
          <w:szCs w:val="24"/>
        </w:rPr>
      </w:pPr>
      <w:r w:rsidRPr="00D6628B">
        <w:rPr>
          <w:sz w:val="24"/>
          <w:szCs w:val="24"/>
        </w:rPr>
        <w:t>L’investissement public a fortement augmenté, porté par des événements majeurs (CAN 2025, Coupe du monde 2030), et l’État soutient le secteur à travers des programmes structurants.</w:t>
      </w:r>
    </w:p>
    <w:p w14:paraId="40E6EEBC" w14:textId="77777777" w:rsidR="00D6628B" w:rsidRPr="00D6628B" w:rsidRDefault="00D6628B" w:rsidP="0039615B">
      <w:pPr>
        <w:pStyle w:val="Titre1"/>
        <w:spacing w:line="360" w:lineRule="auto"/>
      </w:pPr>
      <w:r w:rsidRPr="00D6628B">
        <w:t>Innovations, tendances et enjeux</w:t>
      </w:r>
    </w:p>
    <w:p w14:paraId="76616A4D" w14:textId="77777777" w:rsidR="00D6628B" w:rsidRPr="00D6628B" w:rsidRDefault="00D6628B" w:rsidP="0039615B">
      <w:pPr>
        <w:jc w:val="both"/>
        <w:rPr>
          <w:sz w:val="24"/>
          <w:szCs w:val="24"/>
        </w:rPr>
      </w:pPr>
      <w:r w:rsidRPr="00D6628B">
        <w:rPr>
          <w:sz w:val="24"/>
          <w:szCs w:val="24"/>
        </w:rPr>
        <w:t xml:space="preserve">Digitalisation et data </w:t>
      </w:r>
      <w:proofErr w:type="spellStart"/>
      <w:r w:rsidRPr="00D6628B">
        <w:rPr>
          <w:sz w:val="24"/>
          <w:szCs w:val="24"/>
        </w:rPr>
        <w:t>analytics</w:t>
      </w:r>
      <w:proofErr w:type="spellEnd"/>
      <w:r w:rsidRPr="00D6628B">
        <w:rPr>
          <w:sz w:val="24"/>
          <w:szCs w:val="24"/>
        </w:rPr>
        <w:t xml:space="preserve"> : La digitalisation des chantiers prend de l’ampleur – emploi des outils BIM (Building Information Modeling), utilisation de capteurs IoT, gestion et analyse de données pour optimiser plannings, ressources, qualité et sécurité.​</w:t>
      </w:r>
    </w:p>
    <w:p w14:paraId="1237FB2B" w14:textId="77777777" w:rsidR="00D6628B" w:rsidRPr="00D6628B" w:rsidRDefault="00D6628B" w:rsidP="0039615B">
      <w:pPr>
        <w:jc w:val="both"/>
        <w:rPr>
          <w:sz w:val="24"/>
          <w:szCs w:val="24"/>
        </w:rPr>
      </w:pPr>
      <w:r w:rsidRPr="00D6628B">
        <w:rPr>
          <w:sz w:val="24"/>
          <w:szCs w:val="24"/>
        </w:rPr>
        <w:t xml:space="preserve">Applications concrètes de la data </w:t>
      </w:r>
      <w:proofErr w:type="spellStart"/>
      <w:r w:rsidRPr="00D6628B">
        <w:rPr>
          <w:sz w:val="24"/>
          <w:szCs w:val="24"/>
        </w:rPr>
        <w:t>analysis</w:t>
      </w:r>
      <w:proofErr w:type="spellEnd"/>
      <w:r w:rsidRPr="00D6628B">
        <w:rPr>
          <w:sz w:val="24"/>
          <w:szCs w:val="24"/>
        </w:rPr>
        <w:t xml:space="preserve"> :</w:t>
      </w:r>
    </w:p>
    <w:p w14:paraId="08AB6961" w14:textId="77777777" w:rsidR="00D6628B" w:rsidRPr="00D6628B" w:rsidRDefault="00D6628B" w:rsidP="0039615B">
      <w:pPr>
        <w:numPr>
          <w:ilvl w:val="0"/>
          <w:numId w:val="3"/>
        </w:numPr>
        <w:jc w:val="both"/>
        <w:rPr>
          <w:sz w:val="24"/>
          <w:szCs w:val="24"/>
        </w:rPr>
      </w:pPr>
      <w:r w:rsidRPr="00D6628B">
        <w:rPr>
          <w:sz w:val="24"/>
          <w:szCs w:val="24"/>
        </w:rPr>
        <w:t>Prédiction des retards et surcoûts</w:t>
      </w:r>
    </w:p>
    <w:p w14:paraId="32F67007" w14:textId="77777777" w:rsidR="00D6628B" w:rsidRPr="00D6628B" w:rsidRDefault="00D6628B" w:rsidP="0039615B">
      <w:pPr>
        <w:numPr>
          <w:ilvl w:val="0"/>
          <w:numId w:val="3"/>
        </w:numPr>
        <w:jc w:val="both"/>
        <w:rPr>
          <w:sz w:val="24"/>
          <w:szCs w:val="24"/>
        </w:rPr>
      </w:pPr>
      <w:r w:rsidRPr="00D6628B">
        <w:rPr>
          <w:sz w:val="24"/>
          <w:szCs w:val="24"/>
        </w:rPr>
        <w:t>Allocation intelligente des équipes et ressources</w:t>
      </w:r>
    </w:p>
    <w:p w14:paraId="33348274" w14:textId="77777777" w:rsidR="00D6628B" w:rsidRPr="00D6628B" w:rsidRDefault="00D6628B" w:rsidP="0039615B">
      <w:pPr>
        <w:numPr>
          <w:ilvl w:val="0"/>
          <w:numId w:val="3"/>
        </w:numPr>
        <w:jc w:val="both"/>
        <w:rPr>
          <w:sz w:val="24"/>
          <w:szCs w:val="24"/>
        </w:rPr>
      </w:pPr>
      <w:r w:rsidRPr="00D6628B">
        <w:rPr>
          <w:sz w:val="24"/>
          <w:szCs w:val="24"/>
        </w:rPr>
        <w:t>Analyse automatique des incidents et non-conformités</w:t>
      </w:r>
    </w:p>
    <w:p w14:paraId="007D61AE" w14:textId="77777777" w:rsidR="00D6628B" w:rsidRPr="00D6628B" w:rsidRDefault="00D6628B" w:rsidP="0039615B">
      <w:pPr>
        <w:numPr>
          <w:ilvl w:val="0"/>
          <w:numId w:val="3"/>
        </w:numPr>
        <w:jc w:val="both"/>
        <w:rPr>
          <w:sz w:val="24"/>
          <w:szCs w:val="24"/>
        </w:rPr>
      </w:pPr>
      <w:r w:rsidRPr="00D6628B">
        <w:rPr>
          <w:sz w:val="24"/>
          <w:szCs w:val="24"/>
        </w:rPr>
        <w:t>Prévision des besoins en matériaux</w:t>
      </w:r>
    </w:p>
    <w:p w14:paraId="6518F2E7" w14:textId="77777777" w:rsidR="00D6628B" w:rsidRPr="00D6628B" w:rsidRDefault="00D6628B" w:rsidP="0039615B">
      <w:pPr>
        <w:numPr>
          <w:ilvl w:val="0"/>
          <w:numId w:val="3"/>
        </w:numPr>
        <w:jc w:val="both"/>
        <w:rPr>
          <w:sz w:val="24"/>
          <w:szCs w:val="24"/>
        </w:rPr>
      </w:pPr>
      <w:r w:rsidRPr="00D6628B">
        <w:rPr>
          <w:sz w:val="24"/>
          <w:szCs w:val="24"/>
        </w:rPr>
        <w:t>Création de jumeaux numériques pour la maintenance future​</w:t>
      </w:r>
    </w:p>
    <w:p w14:paraId="092B6595" w14:textId="77777777" w:rsidR="00D6628B" w:rsidRPr="00D6628B" w:rsidRDefault="00D6628B" w:rsidP="0039615B">
      <w:pPr>
        <w:jc w:val="both"/>
        <w:rPr>
          <w:sz w:val="24"/>
          <w:szCs w:val="24"/>
        </w:rPr>
      </w:pPr>
      <w:r w:rsidRPr="00D6628B">
        <w:rPr>
          <w:sz w:val="24"/>
          <w:szCs w:val="24"/>
        </w:rPr>
        <w:lastRenderedPageBreak/>
        <w:t>Construction durable : Le secteur intègre de plus en plus des pratiques écologiques par la valorisation des matériaux locaux, optimisation énergétique, gestion des déchets et lutte contre le stress hydrique.</w:t>
      </w:r>
    </w:p>
    <w:p w14:paraId="60E4C604" w14:textId="77777777" w:rsidR="00D6628B" w:rsidRPr="00D6628B" w:rsidRDefault="00D6628B" w:rsidP="0039615B">
      <w:pPr>
        <w:pStyle w:val="Titre1"/>
        <w:spacing w:line="360" w:lineRule="auto"/>
      </w:pPr>
      <w:r w:rsidRPr="00D6628B">
        <w:t>Défis majeurs</w:t>
      </w:r>
    </w:p>
    <w:p w14:paraId="438D6CD5" w14:textId="77777777" w:rsidR="00D6628B" w:rsidRPr="00D6628B" w:rsidRDefault="00D6628B" w:rsidP="0039615B">
      <w:pPr>
        <w:numPr>
          <w:ilvl w:val="0"/>
          <w:numId w:val="4"/>
        </w:numPr>
        <w:jc w:val="both"/>
        <w:rPr>
          <w:sz w:val="24"/>
          <w:szCs w:val="24"/>
        </w:rPr>
      </w:pPr>
      <w:r w:rsidRPr="00D6628B">
        <w:rPr>
          <w:sz w:val="24"/>
          <w:szCs w:val="24"/>
        </w:rPr>
        <w:t xml:space="preserve">Pénurie de </w:t>
      </w:r>
      <w:proofErr w:type="spellStart"/>
      <w:r w:rsidRPr="00D6628B">
        <w:rPr>
          <w:sz w:val="24"/>
          <w:szCs w:val="24"/>
        </w:rPr>
        <w:t>main-d’oeuvre</w:t>
      </w:r>
      <w:proofErr w:type="spellEnd"/>
      <w:r w:rsidRPr="00D6628B">
        <w:rPr>
          <w:sz w:val="24"/>
          <w:szCs w:val="24"/>
        </w:rPr>
        <w:t xml:space="preserve"> qualifiée (cadres, ingénieurs spécialisés, techniciens), complexité croissante des projets et exigences techniques accrues.​</w:t>
      </w:r>
    </w:p>
    <w:p w14:paraId="2394F801" w14:textId="77777777" w:rsidR="00D6628B" w:rsidRPr="00D6628B" w:rsidRDefault="00D6628B" w:rsidP="0039615B">
      <w:pPr>
        <w:numPr>
          <w:ilvl w:val="0"/>
          <w:numId w:val="4"/>
        </w:numPr>
        <w:jc w:val="both"/>
        <w:rPr>
          <w:sz w:val="24"/>
          <w:szCs w:val="24"/>
        </w:rPr>
      </w:pPr>
      <w:r w:rsidRPr="00D6628B">
        <w:rPr>
          <w:sz w:val="24"/>
          <w:szCs w:val="24"/>
        </w:rPr>
        <w:t>Délais et surcoûts liés à la complexité des chantiers, la disponibilité des matériaux et des engins, mais également à une gestion optimisable de la chaîne de valeur.​</w:t>
      </w:r>
    </w:p>
    <w:p w14:paraId="24FB02ED" w14:textId="77777777" w:rsidR="00D6628B" w:rsidRPr="00D6628B" w:rsidRDefault="00D6628B" w:rsidP="0039615B">
      <w:pPr>
        <w:numPr>
          <w:ilvl w:val="0"/>
          <w:numId w:val="4"/>
        </w:numPr>
        <w:jc w:val="both"/>
        <w:rPr>
          <w:sz w:val="24"/>
          <w:szCs w:val="24"/>
        </w:rPr>
      </w:pPr>
      <w:r w:rsidRPr="00D6628B">
        <w:rPr>
          <w:sz w:val="24"/>
          <w:szCs w:val="24"/>
        </w:rPr>
        <w:t>Défaillance d’entreprises due à la gestion financière, aux facteurs macroéconomiques et aux défis de rentabilité.​</w:t>
      </w:r>
    </w:p>
    <w:p w14:paraId="4CABF94A" w14:textId="77777777" w:rsidR="00D6628B" w:rsidRPr="00D6628B" w:rsidRDefault="00D6628B" w:rsidP="0039615B">
      <w:pPr>
        <w:pStyle w:val="Titre1"/>
        <w:spacing w:line="360" w:lineRule="auto"/>
      </w:pPr>
      <w:r w:rsidRPr="00D6628B">
        <w:t xml:space="preserve">Rôle du data </w:t>
      </w:r>
      <w:proofErr w:type="spellStart"/>
      <w:r w:rsidRPr="00D6628B">
        <w:t>analyst</w:t>
      </w:r>
      <w:proofErr w:type="spellEnd"/>
      <w:r w:rsidRPr="00D6628B">
        <w:t xml:space="preserve"> dans le BTP</w:t>
      </w:r>
    </w:p>
    <w:p w14:paraId="7C8778C0" w14:textId="77777777" w:rsidR="00D6628B" w:rsidRPr="00D6628B" w:rsidRDefault="00D6628B" w:rsidP="0039615B">
      <w:pPr>
        <w:numPr>
          <w:ilvl w:val="0"/>
          <w:numId w:val="5"/>
        </w:numPr>
        <w:jc w:val="both"/>
        <w:rPr>
          <w:sz w:val="24"/>
          <w:szCs w:val="24"/>
        </w:rPr>
      </w:pPr>
      <w:r w:rsidRPr="00D6628B">
        <w:rPr>
          <w:sz w:val="24"/>
          <w:szCs w:val="24"/>
        </w:rPr>
        <w:t>Analyse des plannings et suivi d’avancement en temps réel​</w:t>
      </w:r>
    </w:p>
    <w:p w14:paraId="74305B07" w14:textId="77777777" w:rsidR="00D6628B" w:rsidRPr="00D6628B" w:rsidRDefault="00D6628B" w:rsidP="0039615B">
      <w:pPr>
        <w:numPr>
          <w:ilvl w:val="0"/>
          <w:numId w:val="5"/>
        </w:numPr>
        <w:jc w:val="both"/>
        <w:rPr>
          <w:sz w:val="24"/>
          <w:szCs w:val="24"/>
        </w:rPr>
      </w:pPr>
      <w:r w:rsidRPr="00D6628B">
        <w:rPr>
          <w:sz w:val="24"/>
          <w:szCs w:val="24"/>
        </w:rPr>
        <w:t>Optimisation des ressources matérielles et humaines​</w:t>
      </w:r>
    </w:p>
    <w:p w14:paraId="7E21105A" w14:textId="77777777" w:rsidR="00D6628B" w:rsidRPr="00D6628B" w:rsidRDefault="00D6628B" w:rsidP="0039615B">
      <w:pPr>
        <w:numPr>
          <w:ilvl w:val="0"/>
          <w:numId w:val="5"/>
        </w:numPr>
        <w:jc w:val="both"/>
        <w:rPr>
          <w:sz w:val="24"/>
          <w:szCs w:val="24"/>
        </w:rPr>
      </w:pPr>
      <w:r w:rsidRPr="00D6628B">
        <w:rPr>
          <w:sz w:val="24"/>
          <w:szCs w:val="24"/>
        </w:rPr>
        <w:t>Détection des points de blocage dans la chaîne de production</w:t>
      </w:r>
    </w:p>
    <w:p w14:paraId="557D53CA" w14:textId="77777777" w:rsidR="00D6628B" w:rsidRPr="00D6628B" w:rsidRDefault="00D6628B" w:rsidP="0039615B">
      <w:pPr>
        <w:numPr>
          <w:ilvl w:val="0"/>
          <w:numId w:val="5"/>
        </w:numPr>
        <w:jc w:val="both"/>
        <w:rPr>
          <w:sz w:val="24"/>
          <w:szCs w:val="24"/>
        </w:rPr>
      </w:pPr>
      <w:r w:rsidRPr="00D6628B">
        <w:rPr>
          <w:sz w:val="24"/>
          <w:szCs w:val="24"/>
        </w:rPr>
        <w:t>Visualisation des indicateurs-clés de performance (KPI)</w:t>
      </w:r>
    </w:p>
    <w:p w14:paraId="44045967" w14:textId="77777777" w:rsidR="00D6628B" w:rsidRPr="00D6628B" w:rsidRDefault="00D6628B" w:rsidP="0039615B">
      <w:pPr>
        <w:numPr>
          <w:ilvl w:val="0"/>
          <w:numId w:val="5"/>
        </w:numPr>
        <w:jc w:val="both"/>
        <w:rPr>
          <w:sz w:val="24"/>
          <w:szCs w:val="24"/>
        </w:rPr>
      </w:pPr>
      <w:r w:rsidRPr="00D6628B">
        <w:rPr>
          <w:sz w:val="24"/>
          <w:szCs w:val="24"/>
        </w:rPr>
        <w:t>Prévision et gestion des risques</w:t>
      </w:r>
    </w:p>
    <w:p w14:paraId="75E6A945" w14:textId="77777777" w:rsidR="00D6628B" w:rsidRPr="00D6628B" w:rsidRDefault="00D6628B" w:rsidP="0039615B">
      <w:pPr>
        <w:numPr>
          <w:ilvl w:val="0"/>
          <w:numId w:val="5"/>
        </w:numPr>
        <w:jc w:val="both"/>
        <w:rPr>
          <w:sz w:val="24"/>
          <w:szCs w:val="24"/>
        </w:rPr>
      </w:pPr>
      <w:r w:rsidRPr="00D6628B">
        <w:rPr>
          <w:sz w:val="24"/>
          <w:szCs w:val="24"/>
        </w:rPr>
        <w:t>Analyse de la qualité et de la conformité aux normes​</w:t>
      </w:r>
    </w:p>
    <w:p w14:paraId="2CF8A8A4" w14:textId="77777777" w:rsidR="00D6628B" w:rsidRPr="00D6628B" w:rsidRDefault="00D6628B" w:rsidP="0039615B">
      <w:pPr>
        <w:numPr>
          <w:ilvl w:val="0"/>
          <w:numId w:val="5"/>
        </w:numPr>
        <w:jc w:val="both"/>
        <w:rPr>
          <w:sz w:val="24"/>
          <w:szCs w:val="24"/>
        </w:rPr>
      </w:pPr>
      <w:r w:rsidRPr="00D6628B">
        <w:rPr>
          <w:sz w:val="24"/>
          <w:szCs w:val="24"/>
        </w:rPr>
        <w:t>Appui à la prise de décision pour les chefs de projet, bureaux d’étude et directions financières​</w:t>
      </w:r>
    </w:p>
    <w:p w14:paraId="5A6A56B2" w14:textId="77777777" w:rsidR="00D6628B" w:rsidRPr="00D6628B" w:rsidRDefault="00D6628B" w:rsidP="0039615B">
      <w:pPr>
        <w:pStyle w:val="Titre1"/>
        <w:spacing w:line="360" w:lineRule="auto"/>
      </w:pPr>
      <w:r w:rsidRPr="00D6628B">
        <w:t>Sources et données disponibles</w:t>
      </w:r>
    </w:p>
    <w:p w14:paraId="3C8CD091" w14:textId="77777777" w:rsidR="00D6628B" w:rsidRPr="00D6628B" w:rsidRDefault="00D6628B" w:rsidP="0039615B">
      <w:pPr>
        <w:numPr>
          <w:ilvl w:val="0"/>
          <w:numId w:val="6"/>
        </w:numPr>
        <w:jc w:val="both"/>
        <w:rPr>
          <w:sz w:val="24"/>
          <w:szCs w:val="24"/>
        </w:rPr>
      </w:pPr>
      <w:r w:rsidRPr="00D6628B">
        <w:rPr>
          <w:sz w:val="24"/>
          <w:szCs w:val="24"/>
        </w:rPr>
        <w:t>Données de chantiers (plannings, budgets, consommations)</w:t>
      </w:r>
    </w:p>
    <w:p w14:paraId="012A25B8" w14:textId="77777777" w:rsidR="00D6628B" w:rsidRPr="00D6628B" w:rsidRDefault="00D6628B" w:rsidP="0039615B">
      <w:pPr>
        <w:numPr>
          <w:ilvl w:val="0"/>
          <w:numId w:val="6"/>
        </w:numPr>
        <w:jc w:val="both"/>
        <w:rPr>
          <w:sz w:val="24"/>
          <w:szCs w:val="24"/>
        </w:rPr>
      </w:pPr>
      <w:r w:rsidRPr="00D6628B">
        <w:rPr>
          <w:sz w:val="24"/>
          <w:szCs w:val="24"/>
        </w:rPr>
        <w:t>Rapports d’incidents, de qualité, de non-conformité</w:t>
      </w:r>
    </w:p>
    <w:p w14:paraId="48F5AB8E" w14:textId="77777777" w:rsidR="00D6628B" w:rsidRPr="00D6628B" w:rsidRDefault="00D6628B" w:rsidP="0039615B">
      <w:pPr>
        <w:numPr>
          <w:ilvl w:val="0"/>
          <w:numId w:val="6"/>
        </w:numPr>
        <w:jc w:val="both"/>
        <w:rPr>
          <w:sz w:val="24"/>
          <w:szCs w:val="24"/>
        </w:rPr>
      </w:pPr>
      <w:r w:rsidRPr="00D6628B">
        <w:rPr>
          <w:sz w:val="24"/>
          <w:szCs w:val="24"/>
        </w:rPr>
        <w:t>Tableaux de bord opérationnels</w:t>
      </w:r>
    </w:p>
    <w:p w14:paraId="13C34AC5" w14:textId="77777777" w:rsidR="00D6628B" w:rsidRPr="00D6628B" w:rsidRDefault="00D6628B" w:rsidP="0039615B">
      <w:pPr>
        <w:numPr>
          <w:ilvl w:val="0"/>
          <w:numId w:val="6"/>
        </w:numPr>
        <w:jc w:val="both"/>
        <w:rPr>
          <w:sz w:val="24"/>
          <w:szCs w:val="24"/>
        </w:rPr>
      </w:pPr>
      <w:r w:rsidRPr="00D6628B">
        <w:rPr>
          <w:sz w:val="24"/>
          <w:szCs w:val="24"/>
        </w:rPr>
        <w:t>Statistiques sectorielles HCP, FNBTP et autres organismes</w:t>
      </w:r>
    </w:p>
    <w:p w14:paraId="461820E3" w14:textId="77777777" w:rsidR="00D6628B" w:rsidRDefault="00D6628B" w:rsidP="0039615B">
      <w:pPr>
        <w:numPr>
          <w:ilvl w:val="0"/>
          <w:numId w:val="6"/>
        </w:numPr>
        <w:jc w:val="both"/>
        <w:rPr>
          <w:sz w:val="24"/>
          <w:szCs w:val="24"/>
        </w:rPr>
      </w:pPr>
      <w:r w:rsidRPr="00D6628B">
        <w:rPr>
          <w:sz w:val="24"/>
          <w:szCs w:val="24"/>
        </w:rPr>
        <w:t>Données climatiques et environnementales</w:t>
      </w:r>
    </w:p>
    <w:p w14:paraId="216A579C" w14:textId="094E9FB1" w:rsidR="00644740" w:rsidRDefault="00644740" w:rsidP="00644740">
      <w:pPr>
        <w:pStyle w:val="Titre1"/>
      </w:pPr>
      <w:r>
        <w:t xml:space="preserve">Variables </w:t>
      </w:r>
    </w:p>
    <w:p w14:paraId="0B512B05" w14:textId="77777777" w:rsidR="00644740" w:rsidRPr="00644740" w:rsidRDefault="00644740" w:rsidP="00644740"/>
    <w:tbl>
      <w:tblPr>
        <w:tblStyle w:val="TableauGrille3-Accentuation1"/>
        <w:tblW w:w="5000" w:type="pct"/>
        <w:tblLook w:val="04A0" w:firstRow="1" w:lastRow="0" w:firstColumn="1" w:lastColumn="0" w:noHBand="0" w:noVBand="1"/>
      </w:tblPr>
      <w:tblGrid>
        <w:gridCol w:w="2138"/>
        <w:gridCol w:w="6934"/>
      </w:tblGrid>
      <w:tr w:rsidR="00644740" w:rsidRPr="00644740" w14:paraId="0751890F" w14:textId="77777777" w:rsidTr="006447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D6A85B" w14:textId="77777777" w:rsidR="00644740" w:rsidRPr="00644740" w:rsidRDefault="00644740" w:rsidP="00644740">
            <w:pPr>
              <w:spacing w:after="160" w:line="259" w:lineRule="auto"/>
            </w:pPr>
            <w:r w:rsidRPr="00644740">
              <w:lastRenderedPageBreak/>
              <w:t>Catégorie</w:t>
            </w:r>
          </w:p>
        </w:tc>
        <w:tc>
          <w:tcPr>
            <w:tcW w:w="0" w:type="auto"/>
            <w:hideMark/>
          </w:tcPr>
          <w:p w14:paraId="2405A32C" w14:textId="77777777" w:rsidR="00644740" w:rsidRPr="00644740" w:rsidRDefault="00644740" w:rsidP="00644740">
            <w:pPr>
              <w:spacing w:after="160" w:line="259" w:lineRule="auto"/>
              <w:cnfStyle w:val="100000000000" w:firstRow="1" w:lastRow="0" w:firstColumn="0" w:lastColumn="0" w:oddVBand="0" w:evenVBand="0" w:oddHBand="0" w:evenHBand="0" w:firstRowFirstColumn="0" w:firstRowLastColumn="0" w:lastRowFirstColumn="0" w:lastRowLastColumn="0"/>
            </w:pPr>
            <w:r w:rsidRPr="00644740">
              <w:t>Variables principales</w:t>
            </w:r>
          </w:p>
        </w:tc>
      </w:tr>
      <w:tr w:rsidR="00644740" w:rsidRPr="00644740" w14:paraId="5A2E89BF" w14:textId="77777777" w:rsidTr="006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3AF28" w14:textId="77777777" w:rsidR="00644740" w:rsidRPr="00644740" w:rsidRDefault="00644740" w:rsidP="00644740">
            <w:pPr>
              <w:spacing w:after="160" w:line="259" w:lineRule="auto"/>
            </w:pPr>
            <w:r w:rsidRPr="00644740">
              <w:t>Projet</w:t>
            </w:r>
          </w:p>
        </w:tc>
        <w:tc>
          <w:tcPr>
            <w:tcW w:w="0" w:type="auto"/>
            <w:hideMark/>
          </w:tcPr>
          <w:p w14:paraId="4E637FE6" w14:textId="77777777" w:rsidR="00644740" w:rsidRPr="00644740" w:rsidRDefault="00644740" w:rsidP="00644740">
            <w:pPr>
              <w:spacing w:after="160" w:line="259" w:lineRule="auto"/>
              <w:cnfStyle w:val="000000100000" w:firstRow="0" w:lastRow="0" w:firstColumn="0" w:lastColumn="0" w:oddVBand="0" w:evenVBand="0" w:oddHBand="1" w:evenHBand="0" w:firstRowFirstColumn="0" w:firstRowLastColumn="0" w:lastRowFirstColumn="0" w:lastRowLastColumn="0"/>
            </w:pPr>
            <w:r w:rsidRPr="00644740">
              <w:t>ID projet, Type de projet, Date début, Date fin, Coût estimé, Coût réel, Localisation (adresse, GPS), Statut d’avancement, Type de contrat</w:t>
            </w:r>
          </w:p>
        </w:tc>
      </w:tr>
      <w:tr w:rsidR="00644740" w:rsidRPr="00644740" w14:paraId="3B38B35D" w14:textId="77777777" w:rsidTr="00644740">
        <w:tc>
          <w:tcPr>
            <w:cnfStyle w:val="001000000000" w:firstRow="0" w:lastRow="0" w:firstColumn="1" w:lastColumn="0" w:oddVBand="0" w:evenVBand="0" w:oddHBand="0" w:evenHBand="0" w:firstRowFirstColumn="0" w:firstRowLastColumn="0" w:lastRowFirstColumn="0" w:lastRowLastColumn="0"/>
            <w:tcW w:w="0" w:type="auto"/>
            <w:hideMark/>
          </w:tcPr>
          <w:p w14:paraId="46675381" w14:textId="77777777" w:rsidR="00644740" w:rsidRPr="00644740" w:rsidRDefault="00644740" w:rsidP="00644740">
            <w:pPr>
              <w:spacing w:after="160" w:line="259" w:lineRule="auto"/>
            </w:pPr>
            <w:r w:rsidRPr="00644740">
              <w:t>Ressources</w:t>
            </w:r>
          </w:p>
        </w:tc>
        <w:tc>
          <w:tcPr>
            <w:tcW w:w="0" w:type="auto"/>
            <w:hideMark/>
          </w:tcPr>
          <w:p w14:paraId="04FB6404" w14:textId="77777777" w:rsidR="00644740" w:rsidRPr="00644740" w:rsidRDefault="00644740" w:rsidP="00644740">
            <w:pPr>
              <w:spacing w:after="160" w:line="259" w:lineRule="auto"/>
              <w:cnfStyle w:val="000000000000" w:firstRow="0" w:lastRow="0" w:firstColumn="0" w:lastColumn="0" w:oddVBand="0" w:evenVBand="0" w:oddHBand="0" w:evenHBand="0" w:firstRowFirstColumn="0" w:firstRowLastColumn="0" w:lastRowFirstColumn="0" w:lastRowLastColumn="0"/>
            </w:pPr>
            <w:r w:rsidRPr="00644740">
              <w:t>Type et quantité de matériaux, Heures de travail, Type personnel (ouvriers, ingénieurs), Équipements utilisés, Consommation énergétique</w:t>
            </w:r>
          </w:p>
        </w:tc>
      </w:tr>
      <w:tr w:rsidR="00644740" w:rsidRPr="00644740" w14:paraId="33816221" w14:textId="77777777" w:rsidTr="006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5BC53" w14:textId="77777777" w:rsidR="00644740" w:rsidRPr="00644740" w:rsidRDefault="00644740" w:rsidP="00644740">
            <w:pPr>
              <w:spacing w:after="160" w:line="259" w:lineRule="auto"/>
            </w:pPr>
            <w:r w:rsidRPr="00644740">
              <w:t>Caractéristiques bâtiment</w:t>
            </w:r>
          </w:p>
        </w:tc>
        <w:tc>
          <w:tcPr>
            <w:tcW w:w="0" w:type="auto"/>
            <w:hideMark/>
          </w:tcPr>
          <w:p w14:paraId="53565ED8" w14:textId="77777777" w:rsidR="00644740" w:rsidRPr="00644740" w:rsidRDefault="00644740" w:rsidP="00644740">
            <w:pPr>
              <w:spacing w:after="160" w:line="259" w:lineRule="auto"/>
              <w:cnfStyle w:val="000000100000" w:firstRow="0" w:lastRow="0" w:firstColumn="0" w:lastColumn="0" w:oddVBand="0" w:evenVBand="0" w:oddHBand="1" w:evenHBand="0" w:firstRowFirstColumn="0" w:firstRowLastColumn="0" w:lastRowFirstColumn="0" w:lastRowLastColumn="0"/>
            </w:pPr>
            <w:r w:rsidRPr="00644740">
              <w:t>Surface totale, Nombre d’étages, Volume, Hauteur, Matériaux murs/toits/fenêtres, Performances énergétiques (DPE, consommation)</w:t>
            </w:r>
          </w:p>
        </w:tc>
      </w:tr>
      <w:tr w:rsidR="00644740" w:rsidRPr="00644740" w14:paraId="00B2C57D" w14:textId="77777777" w:rsidTr="00644740">
        <w:tc>
          <w:tcPr>
            <w:cnfStyle w:val="001000000000" w:firstRow="0" w:lastRow="0" w:firstColumn="1" w:lastColumn="0" w:oddVBand="0" w:evenVBand="0" w:oddHBand="0" w:evenHBand="0" w:firstRowFirstColumn="0" w:firstRowLastColumn="0" w:lastRowFirstColumn="0" w:lastRowLastColumn="0"/>
            <w:tcW w:w="0" w:type="auto"/>
            <w:hideMark/>
          </w:tcPr>
          <w:p w14:paraId="059E67C8" w14:textId="77777777" w:rsidR="00644740" w:rsidRPr="00644740" w:rsidRDefault="00644740" w:rsidP="00644740">
            <w:pPr>
              <w:spacing w:after="160" w:line="259" w:lineRule="auto"/>
            </w:pPr>
            <w:r w:rsidRPr="00644740">
              <w:t>Qualité / Sécurité</w:t>
            </w:r>
          </w:p>
        </w:tc>
        <w:tc>
          <w:tcPr>
            <w:tcW w:w="0" w:type="auto"/>
            <w:hideMark/>
          </w:tcPr>
          <w:p w14:paraId="29000454" w14:textId="77777777" w:rsidR="00644740" w:rsidRPr="00644740" w:rsidRDefault="00644740" w:rsidP="00644740">
            <w:pPr>
              <w:spacing w:after="160" w:line="259" w:lineRule="auto"/>
              <w:cnfStyle w:val="000000000000" w:firstRow="0" w:lastRow="0" w:firstColumn="0" w:lastColumn="0" w:oddVBand="0" w:evenVBand="0" w:oddHBand="0" w:evenHBand="0" w:firstRowFirstColumn="0" w:firstRowLastColumn="0" w:lastRowFirstColumn="0" w:lastRowLastColumn="0"/>
            </w:pPr>
            <w:r w:rsidRPr="00644740">
              <w:t>Nombre d’incidents, Type d’accidents, Contrôles qualité, Respect normes, Conditions météo sur chantier</w:t>
            </w:r>
          </w:p>
        </w:tc>
      </w:tr>
      <w:tr w:rsidR="00644740" w:rsidRPr="00644740" w14:paraId="4842C14D" w14:textId="77777777" w:rsidTr="006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EFE03" w14:textId="77777777" w:rsidR="00644740" w:rsidRPr="00644740" w:rsidRDefault="00644740" w:rsidP="00644740">
            <w:pPr>
              <w:spacing w:after="160" w:line="259" w:lineRule="auto"/>
            </w:pPr>
            <w:r w:rsidRPr="00644740">
              <w:t>Environnement</w:t>
            </w:r>
          </w:p>
        </w:tc>
        <w:tc>
          <w:tcPr>
            <w:tcW w:w="0" w:type="auto"/>
            <w:hideMark/>
          </w:tcPr>
          <w:p w14:paraId="22739C60" w14:textId="77777777" w:rsidR="00644740" w:rsidRPr="00644740" w:rsidRDefault="00644740" w:rsidP="00644740">
            <w:pPr>
              <w:spacing w:after="160" w:line="259" w:lineRule="auto"/>
              <w:cnfStyle w:val="000000100000" w:firstRow="0" w:lastRow="0" w:firstColumn="0" w:lastColumn="0" w:oddVBand="0" w:evenVBand="0" w:oddHBand="1" w:evenHBand="0" w:firstRowFirstColumn="0" w:firstRowLastColumn="0" w:lastRowFirstColumn="0" w:lastRowLastColumn="0"/>
            </w:pPr>
            <w:r w:rsidRPr="00644740">
              <w:t>Déchets générés, Émissions carbone, Utilisation eau, Bruit, Impact environnemental général</w:t>
            </w:r>
          </w:p>
        </w:tc>
      </w:tr>
      <w:tr w:rsidR="00644740" w:rsidRPr="00644740" w14:paraId="2152F485" w14:textId="77777777" w:rsidTr="00644740">
        <w:tc>
          <w:tcPr>
            <w:cnfStyle w:val="001000000000" w:firstRow="0" w:lastRow="0" w:firstColumn="1" w:lastColumn="0" w:oddVBand="0" w:evenVBand="0" w:oddHBand="0" w:evenHBand="0" w:firstRowFirstColumn="0" w:firstRowLastColumn="0" w:lastRowFirstColumn="0" w:lastRowLastColumn="0"/>
            <w:tcW w:w="0" w:type="auto"/>
            <w:hideMark/>
          </w:tcPr>
          <w:p w14:paraId="43FE8A2E" w14:textId="77777777" w:rsidR="00644740" w:rsidRPr="00644740" w:rsidRDefault="00644740" w:rsidP="00644740">
            <w:pPr>
              <w:spacing w:after="160" w:line="259" w:lineRule="auto"/>
            </w:pPr>
            <w:r w:rsidRPr="00644740">
              <w:t>Données complémentaires</w:t>
            </w:r>
          </w:p>
        </w:tc>
        <w:tc>
          <w:tcPr>
            <w:tcW w:w="0" w:type="auto"/>
            <w:hideMark/>
          </w:tcPr>
          <w:p w14:paraId="1707CD12" w14:textId="77777777" w:rsidR="00644740" w:rsidRPr="00644740" w:rsidRDefault="00644740" w:rsidP="00644740">
            <w:pPr>
              <w:spacing w:after="160" w:line="259" w:lineRule="auto"/>
              <w:cnfStyle w:val="000000000000" w:firstRow="0" w:lastRow="0" w:firstColumn="0" w:lastColumn="0" w:oddVBand="0" w:evenVBand="0" w:oddHBand="0" w:evenHBand="0" w:firstRowFirstColumn="0" w:firstRowLastColumn="0" w:lastRowFirstColumn="0" w:lastRowLastColumn="0"/>
            </w:pPr>
            <w:r w:rsidRPr="00644740">
              <w:t>Satisfaction client, Données BIM (modélisation numérique), Données IoT/drones, Maintenance prévue</w:t>
            </w:r>
          </w:p>
        </w:tc>
      </w:tr>
    </w:tbl>
    <w:p w14:paraId="045BA979" w14:textId="77777777" w:rsidR="00644740" w:rsidRPr="00644740" w:rsidRDefault="00644740" w:rsidP="00644740"/>
    <w:p w14:paraId="26B27C95" w14:textId="77777777" w:rsidR="00D6628B" w:rsidRPr="00D6628B" w:rsidRDefault="00D6628B" w:rsidP="0039615B">
      <w:pPr>
        <w:pStyle w:val="Titre1"/>
        <w:spacing w:line="360" w:lineRule="auto"/>
      </w:pPr>
      <w:r w:rsidRPr="00D6628B">
        <w:t>Glossaire</w:t>
      </w:r>
    </w:p>
    <w:p w14:paraId="28622AFC" w14:textId="77777777" w:rsidR="00D6628B" w:rsidRPr="00D6628B" w:rsidRDefault="00D6628B" w:rsidP="0039615B">
      <w:pPr>
        <w:numPr>
          <w:ilvl w:val="0"/>
          <w:numId w:val="7"/>
        </w:numPr>
        <w:jc w:val="both"/>
      </w:pPr>
      <w:r w:rsidRPr="00D6628B">
        <w:t>PME (Petite et Moyenne Entreprise) : Entreprise de taille réduite en termes de chiffre d’affaires et d’employés, souvent flexible et innovante, jouant un rôle majeur dans l’économie et le secteur BTP marocain.​</w:t>
      </w:r>
    </w:p>
    <w:p w14:paraId="5917CAA1" w14:textId="77777777" w:rsidR="00D6628B" w:rsidRPr="00D6628B" w:rsidRDefault="00D6628B" w:rsidP="0039615B">
      <w:pPr>
        <w:numPr>
          <w:ilvl w:val="0"/>
          <w:numId w:val="7"/>
        </w:numPr>
        <w:jc w:val="both"/>
      </w:pPr>
      <w:r w:rsidRPr="00D6628B">
        <w:t>PIB (Produit Intérieur Brut) : Indicateur économique représentant la valeur totale de la production de biens et services dans un pays sur une période donnée. Il permet de mesurer la richesse créée par le secteur BTP.​</w:t>
      </w:r>
    </w:p>
    <w:p w14:paraId="00C56E77" w14:textId="77777777" w:rsidR="00D6628B" w:rsidRPr="00D6628B" w:rsidRDefault="00D6628B" w:rsidP="0039615B">
      <w:pPr>
        <w:numPr>
          <w:ilvl w:val="0"/>
          <w:numId w:val="7"/>
        </w:numPr>
        <w:jc w:val="both"/>
      </w:pPr>
      <w:r w:rsidRPr="00D6628B">
        <w:t>BTP (Bâtiment et Travaux Publics) : Secteur qui regroupe les activités de construction de bâtiments (habitat, industriels) et les travaux publics (routes, ponts, infrastructures…) au Maroc.​</w:t>
      </w:r>
    </w:p>
    <w:p w14:paraId="312B74E4" w14:textId="77777777" w:rsidR="00D6628B" w:rsidRPr="00D6628B" w:rsidRDefault="00D6628B" w:rsidP="0039615B">
      <w:pPr>
        <w:numPr>
          <w:ilvl w:val="0"/>
          <w:numId w:val="7"/>
        </w:numPr>
        <w:jc w:val="both"/>
      </w:pPr>
      <w:r w:rsidRPr="00D6628B">
        <w:t>LGV (Ligne à Grande Vitesse) : Voie ferroviaire dédiée aux trains rapides, comme la LGV Maroc Casablanca-Tanger, projet emblématique du secteur de la construction.​</w:t>
      </w:r>
    </w:p>
    <w:p w14:paraId="6B30285E" w14:textId="77777777" w:rsidR="00D6628B" w:rsidRPr="00D6628B" w:rsidRDefault="00D6628B" w:rsidP="0039615B">
      <w:pPr>
        <w:numPr>
          <w:ilvl w:val="0"/>
          <w:numId w:val="7"/>
        </w:numPr>
        <w:jc w:val="both"/>
      </w:pPr>
      <w:r w:rsidRPr="00D6628B">
        <w:t>Stations de dessalement : Installations industrielles permettant de transformer l’eau de mer en eau potable ou utilisable dans l’industrie, vitales en période de stress hydrique.​</w:t>
      </w:r>
    </w:p>
    <w:p w14:paraId="318985D0" w14:textId="77777777" w:rsidR="00D6628B" w:rsidRPr="00D6628B" w:rsidRDefault="00D6628B" w:rsidP="0039615B">
      <w:pPr>
        <w:numPr>
          <w:ilvl w:val="0"/>
          <w:numId w:val="7"/>
        </w:numPr>
        <w:jc w:val="both"/>
      </w:pPr>
      <w:r w:rsidRPr="00D6628B">
        <w:t>Outils BIM (Building Information Modeling) : Solutions numériques qui permettent de modéliser et gérer l’ensemble des phases d’un projet de construction (plans, ressources, avancement), facilitant la collaboration et le suivi.​</w:t>
      </w:r>
    </w:p>
    <w:p w14:paraId="03DF4EC3" w14:textId="77777777" w:rsidR="00D6628B" w:rsidRPr="00D6628B" w:rsidRDefault="00D6628B" w:rsidP="0039615B">
      <w:pPr>
        <w:numPr>
          <w:ilvl w:val="0"/>
          <w:numId w:val="7"/>
        </w:numPr>
        <w:jc w:val="both"/>
      </w:pPr>
      <w:r w:rsidRPr="00D6628B">
        <w:t xml:space="preserve">Capteurs IoT (Internet of </w:t>
      </w:r>
      <w:proofErr w:type="spellStart"/>
      <w:r w:rsidRPr="00D6628B">
        <w:t>Things</w:t>
      </w:r>
      <w:proofErr w:type="spellEnd"/>
      <w:r w:rsidRPr="00D6628B">
        <w:t>) : Appareils connectés qui récoltent et transmettent des données (température, humidité, présence…) pour surveiller et automatiser le suivi des chantiers.​</w:t>
      </w:r>
    </w:p>
    <w:p w14:paraId="28DD4C48" w14:textId="77777777" w:rsidR="00D6628B" w:rsidRPr="00D6628B" w:rsidRDefault="00D6628B" w:rsidP="0039615B">
      <w:pPr>
        <w:numPr>
          <w:ilvl w:val="0"/>
          <w:numId w:val="7"/>
        </w:numPr>
        <w:jc w:val="both"/>
      </w:pPr>
      <w:r w:rsidRPr="00D6628B">
        <w:t>La chaîne de valeur : Ensemble des étapes qui ajoutent de la valeur à un produit ou service, depuis la conception jusqu'à la livraison finale et la maintenance dans le BTP.​</w:t>
      </w:r>
    </w:p>
    <w:p w14:paraId="4CC43DE6" w14:textId="77777777" w:rsidR="00D6628B" w:rsidRPr="00D6628B" w:rsidRDefault="00D6628B" w:rsidP="0039615B">
      <w:pPr>
        <w:numPr>
          <w:ilvl w:val="0"/>
          <w:numId w:val="7"/>
        </w:numPr>
        <w:jc w:val="both"/>
      </w:pPr>
      <w:r w:rsidRPr="00D6628B">
        <w:lastRenderedPageBreak/>
        <w:t>Pénurie : Manque ou difficulté d’accès à une ressource (main-d’œuvre, matériaux…) pouvant entraver les projets de construction.​</w:t>
      </w:r>
    </w:p>
    <w:p w14:paraId="1F876EEF" w14:textId="77777777" w:rsidR="00D6628B" w:rsidRPr="00D6628B" w:rsidRDefault="00D6628B" w:rsidP="0039615B">
      <w:pPr>
        <w:numPr>
          <w:ilvl w:val="0"/>
          <w:numId w:val="7"/>
        </w:numPr>
        <w:jc w:val="both"/>
      </w:pPr>
      <w:r w:rsidRPr="00D6628B">
        <w:t>La chaîne de production : Suite d’opérations et de phases nécessaires à la réalisation d’un ouvrage, depuis la préparation du terrain jusqu’à la finition en BTP.​</w:t>
      </w:r>
    </w:p>
    <w:p w14:paraId="29B77A27" w14:textId="10C82115" w:rsidR="00D6628B" w:rsidRPr="00D6628B" w:rsidRDefault="00D6628B" w:rsidP="0039615B">
      <w:pPr>
        <w:numPr>
          <w:ilvl w:val="0"/>
          <w:numId w:val="7"/>
        </w:numPr>
        <w:jc w:val="both"/>
      </w:pPr>
      <w:r w:rsidRPr="00D6628B">
        <w:t xml:space="preserve">KPI (Key Performance Indicator) : Indicateurs-clés de </w:t>
      </w:r>
      <w:proofErr w:type="gramStart"/>
      <w:r w:rsidRPr="00D6628B">
        <w:t>performance utilisé</w:t>
      </w:r>
      <w:r>
        <w:t>s</w:t>
      </w:r>
      <w:proofErr w:type="gramEnd"/>
      <w:r>
        <w:t xml:space="preserve"> </w:t>
      </w:r>
      <w:r w:rsidRPr="00D6628B">
        <w:t>pour mesurer l’efficacité, le rendement ou la qualité de différents aspects d’un projet (délais, coûts, qualité).​</w:t>
      </w:r>
    </w:p>
    <w:p w14:paraId="7ED5EDE6" w14:textId="77777777" w:rsidR="00D6628B" w:rsidRPr="00D6628B" w:rsidRDefault="00D6628B" w:rsidP="0039615B">
      <w:pPr>
        <w:numPr>
          <w:ilvl w:val="0"/>
          <w:numId w:val="7"/>
        </w:numPr>
        <w:jc w:val="both"/>
      </w:pPr>
      <w:r w:rsidRPr="00D6628B">
        <w:t>Conformité aux normes : Respect des standards techniques et règlementaires (qualité, sécurité, environnement) imposés dans le secteur pour garantir la fiabilité des constructions.​</w:t>
      </w:r>
    </w:p>
    <w:p w14:paraId="7014988C" w14:textId="47E32D56" w:rsidR="00D6628B" w:rsidRPr="00D6628B" w:rsidRDefault="00D6628B" w:rsidP="0039615B">
      <w:pPr>
        <w:numPr>
          <w:ilvl w:val="0"/>
          <w:numId w:val="7"/>
        </w:numPr>
        <w:jc w:val="both"/>
      </w:pPr>
      <w:r w:rsidRPr="00D6628B">
        <w:t>HCP (Haut-Commissariat au Plan) : Institution publique marocaine qui collecte, analyse et publie les statistiques économiques, démographiques et sectorielles, y compris pour le BTP.​</w:t>
      </w:r>
    </w:p>
    <w:p w14:paraId="612D26C6" w14:textId="77777777" w:rsidR="00D6628B" w:rsidRPr="00D6628B" w:rsidRDefault="00D6628B" w:rsidP="0039615B">
      <w:pPr>
        <w:numPr>
          <w:ilvl w:val="0"/>
          <w:numId w:val="7"/>
        </w:numPr>
        <w:jc w:val="both"/>
      </w:pPr>
      <w:r w:rsidRPr="00D6628B">
        <w:t>FNBTP (Fédération Nationale du Bâtiment et des Travaux Publics) : Organisation professionnelle qui représente les entreprises du secteur BTP marocain, défend leurs intérêts et publie des études sectorielles.</w:t>
      </w:r>
    </w:p>
    <w:p w14:paraId="1C3553C5" w14:textId="77777777" w:rsidR="00D6628B" w:rsidRPr="00D6628B" w:rsidRDefault="00D6628B" w:rsidP="0039615B">
      <w:pPr>
        <w:pStyle w:val="Titre1"/>
        <w:spacing w:line="360" w:lineRule="auto"/>
      </w:pPr>
      <w:r w:rsidRPr="00D6628B">
        <w:t>Bibliographie</w:t>
      </w:r>
    </w:p>
    <w:p w14:paraId="5A339D86" w14:textId="77777777" w:rsidR="0039615B" w:rsidRPr="0039615B" w:rsidRDefault="0039615B" w:rsidP="0039615B">
      <w:pPr>
        <w:pStyle w:val="Bibliographie"/>
        <w:rPr>
          <w:rFonts w:ascii="Calibri" w:hAnsi="Calibri" w:cs="Calibri"/>
        </w:rPr>
      </w:pPr>
      <w:r>
        <w:fldChar w:fldCharType="begin"/>
      </w:r>
      <w:r>
        <w:instrText xml:space="preserve"> ADDIN ZOTERO_BIBL {"uncited":[],"omitted":[],"custom":[]} CSL_BIBLIOGRAPHY </w:instrText>
      </w:r>
      <w:r>
        <w:fldChar w:fldCharType="separate"/>
      </w:r>
      <w:r w:rsidRPr="0039615B">
        <w:rPr>
          <w:rFonts w:ascii="Calibri" w:hAnsi="Calibri" w:cs="Calibri"/>
        </w:rPr>
        <w:t>[1]</w:t>
      </w:r>
      <w:r w:rsidRPr="0039615B">
        <w:rPr>
          <w:rFonts w:ascii="Calibri" w:hAnsi="Calibri" w:cs="Calibri"/>
        </w:rPr>
        <w:tab/>
        <w:t>A. Team, « Top 10 des innovations BTP 2025 : tendances clés - AJBTP® ». Consulté le: 12 octobre 2025. [En ligne]. Disponible sur: https://ajbtp.com/top-10-innovations-btp-qui-transforment-la-construction-mondiale/</w:t>
      </w:r>
    </w:p>
    <w:p w14:paraId="092EFC05" w14:textId="77777777" w:rsidR="0039615B" w:rsidRPr="0039615B" w:rsidRDefault="0039615B" w:rsidP="0039615B">
      <w:pPr>
        <w:pStyle w:val="Bibliographie"/>
        <w:rPr>
          <w:rFonts w:ascii="Calibri" w:hAnsi="Calibri" w:cs="Calibri"/>
        </w:rPr>
      </w:pPr>
      <w:r w:rsidRPr="0039615B">
        <w:rPr>
          <w:rFonts w:ascii="Calibri" w:hAnsi="Calibri" w:cs="Calibri"/>
        </w:rPr>
        <w:t>[2]</w:t>
      </w:r>
      <w:r w:rsidRPr="0039615B">
        <w:rPr>
          <w:rFonts w:ascii="Calibri" w:hAnsi="Calibri" w:cs="Calibri"/>
        </w:rPr>
        <w:tab/>
        <w:t>M. NDIONGUE, « Le secteur du BTP reprend des couleurs, porté par de grands chantiers d’envergure », Maroc Diplomatique. Consulté le: 12 octobre 2025. [En ligne]. Disponible sur: https://maroc-diplomatique.net/le-secteur-du-btp-reprend-des-couleurs-porte-par-de-grands-chantiers-denvergure/</w:t>
      </w:r>
    </w:p>
    <w:p w14:paraId="6A86F33A" w14:textId="77777777" w:rsidR="0039615B" w:rsidRPr="0039615B" w:rsidRDefault="0039615B" w:rsidP="0039615B">
      <w:pPr>
        <w:pStyle w:val="Bibliographie"/>
        <w:rPr>
          <w:rFonts w:ascii="Calibri" w:hAnsi="Calibri" w:cs="Calibri"/>
        </w:rPr>
      </w:pPr>
      <w:r w:rsidRPr="0039615B">
        <w:rPr>
          <w:rFonts w:ascii="Calibri" w:hAnsi="Calibri" w:cs="Calibri"/>
        </w:rPr>
        <w:t>[3]</w:t>
      </w:r>
      <w:r w:rsidRPr="0039615B">
        <w:rPr>
          <w:rFonts w:ascii="Calibri" w:hAnsi="Calibri" w:cs="Calibri"/>
        </w:rPr>
        <w:tab/>
        <w:t>« Rapport M.S Secteur BTP | PDF | Maroc | Inflation », Scribd. Consulté le: 12 octobre 2025. [En ligne]. Disponible sur: https://fr.scribd.com/document/744426610/Rapport-m-s-Secteur-Btp</w:t>
      </w:r>
    </w:p>
    <w:p w14:paraId="562DE6BD" w14:textId="77777777" w:rsidR="0039615B" w:rsidRPr="0039615B" w:rsidRDefault="0039615B" w:rsidP="0039615B">
      <w:pPr>
        <w:pStyle w:val="Bibliographie"/>
        <w:rPr>
          <w:rFonts w:ascii="Calibri" w:hAnsi="Calibri" w:cs="Calibri"/>
        </w:rPr>
      </w:pPr>
      <w:r w:rsidRPr="0039615B">
        <w:rPr>
          <w:rFonts w:ascii="Calibri" w:hAnsi="Calibri" w:cs="Calibri"/>
        </w:rPr>
        <w:t>[4]</w:t>
      </w:r>
      <w:r w:rsidRPr="0039615B">
        <w:rPr>
          <w:rFonts w:ascii="Calibri" w:hAnsi="Calibri" w:cs="Calibri"/>
        </w:rPr>
        <w:tab/>
        <w:t>« BTP : «Ce qui marque la phase actuelle, c’est l’urgence et la complexité des projets à réaliser» », http://fnh.ma. Consulté le: 12 octobre 2025. [En ligne]. Disponible sur: https://fnh.ma/article/actualite-economique/btp-projets-2030</w:t>
      </w:r>
    </w:p>
    <w:p w14:paraId="39F9C55D" w14:textId="77777777" w:rsidR="0039615B" w:rsidRPr="0039615B" w:rsidRDefault="0039615B" w:rsidP="0039615B">
      <w:pPr>
        <w:pStyle w:val="Bibliographie"/>
        <w:rPr>
          <w:rFonts w:ascii="Calibri" w:hAnsi="Calibri" w:cs="Calibri"/>
        </w:rPr>
      </w:pPr>
      <w:r w:rsidRPr="0039615B">
        <w:rPr>
          <w:rFonts w:ascii="Calibri" w:hAnsi="Calibri" w:cs="Calibri"/>
        </w:rPr>
        <w:t>[5]</w:t>
      </w:r>
      <w:r w:rsidRPr="0039615B">
        <w:rPr>
          <w:rFonts w:ascii="Calibri" w:hAnsi="Calibri" w:cs="Calibri"/>
        </w:rPr>
        <w:tab/>
        <w:t>« BTP », CCISCS. Consulté le: 12 octobre 2025. [En ligne]. Disponible sur: https://cciscs.ma/btp/</w:t>
      </w:r>
    </w:p>
    <w:p w14:paraId="22B1C10D" w14:textId="277B4D81" w:rsidR="00AD41E5" w:rsidRDefault="0039615B">
      <w:r>
        <w:fldChar w:fldCharType="end"/>
      </w:r>
    </w:p>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7973"/>
    <w:multiLevelType w:val="multilevel"/>
    <w:tmpl w:val="1C8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801C4"/>
    <w:multiLevelType w:val="multilevel"/>
    <w:tmpl w:val="E44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70569C"/>
    <w:multiLevelType w:val="multilevel"/>
    <w:tmpl w:val="E5D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719A2"/>
    <w:multiLevelType w:val="multilevel"/>
    <w:tmpl w:val="49A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B5907"/>
    <w:multiLevelType w:val="multilevel"/>
    <w:tmpl w:val="43D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81A0B"/>
    <w:multiLevelType w:val="multilevel"/>
    <w:tmpl w:val="8B8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E080E"/>
    <w:multiLevelType w:val="multilevel"/>
    <w:tmpl w:val="840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868761">
    <w:abstractNumId w:val="0"/>
  </w:num>
  <w:num w:numId="2" w16cid:durableId="1462070311">
    <w:abstractNumId w:val="5"/>
  </w:num>
  <w:num w:numId="3" w16cid:durableId="1895314290">
    <w:abstractNumId w:val="2"/>
  </w:num>
  <w:num w:numId="4" w16cid:durableId="1304697470">
    <w:abstractNumId w:val="4"/>
  </w:num>
  <w:num w:numId="5" w16cid:durableId="1477258321">
    <w:abstractNumId w:val="6"/>
  </w:num>
  <w:num w:numId="6" w16cid:durableId="818351973">
    <w:abstractNumId w:val="3"/>
  </w:num>
  <w:num w:numId="7" w16cid:durableId="26057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8B"/>
    <w:rsid w:val="003618E1"/>
    <w:rsid w:val="0039615B"/>
    <w:rsid w:val="00443D41"/>
    <w:rsid w:val="00644740"/>
    <w:rsid w:val="006E46A5"/>
    <w:rsid w:val="007542C4"/>
    <w:rsid w:val="008477FE"/>
    <w:rsid w:val="00AD41E5"/>
    <w:rsid w:val="00D6628B"/>
    <w:rsid w:val="00D9367E"/>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BB28"/>
  <w15:chartTrackingRefBased/>
  <w15:docId w15:val="{C96D7343-58E6-43E2-8120-3695BB6C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6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6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62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62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62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62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62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62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62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62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62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62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62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62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62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62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62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628B"/>
    <w:rPr>
      <w:rFonts w:eastAsiaTheme="majorEastAsia" w:cstheme="majorBidi"/>
      <w:color w:val="272727" w:themeColor="text1" w:themeTint="D8"/>
    </w:rPr>
  </w:style>
  <w:style w:type="paragraph" w:styleId="Titre">
    <w:name w:val="Title"/>
    <w:basedOn w:val="Normal"/>
    <w:next w:val="Normal"/>
    <w:link w:val="TitreCar"/>
    <w:uiPriority w:val="10"/>
    <w:qFormat/>
    <w:rsid w:val="00D66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62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62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62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628B"/>
    <w:pPr>
      <w:spacing w:before="160"/>
      <w:jc w:val="center"/>
    </w:pPr>
    <w:rPr>
      <w:i/>
      <w:iCs/>
      <w:color w:val="404040" w:themeColor="text1" w:themeTint="BF"/>
    </w:rPr>
  </w:style>
  <w:style w:type="character" w:customStyle="1" w:styleId="CitationCar">
    <w:name w:val="Citation Car"/>
    <w:basedOn w:val="Policepardfaut"/>
    <w:link w:val="Citation"/>
    <w:uiPriority w:val="29"/>
    <w:rsid w:val="00D6628B"/>
    <w:rPr>
      <w:i/>
      <w:iCs/>
      <w:color w:val="404040" w:themeColor="text1" w:themeTint="BF"/>
    </w:rPr>
  </w:style>
  <w:style w:type="paragraph" w:styleId="Paragraphedeliste">
    <w:name w:val="List Paragraph"/>
    <w:basedOn w:val="Normal"/>
    <w:uiPriority w:val="34"/>
    <w:qFormat/>
    <w:rsid w:val="00D6628B"/>
    <w:pPr>
      <w:ind w:left="720"/>
      <w:contextualSpacing/>
    </w:pPr>
  </w:style>
  <w:style w:type="character" w:styleId="Accentuationintense">
    <w:name w:val="Intense Emphasis"/>
    <w:basedOn w:val="Policepardfaut"/>
    <w:uiPriority w:val="21"/>
    <w:qFormat/>
    <w:rsid w:val="00D6628B"/>
    <w:rPr>
      <w:i/>
      <w:iCs/>
      <w:color w:val="2F5496" w:themeColor="accent1" w:themeShade="BF"/>
    </w:rPr>
  </w:style>
  <w:style w:type="paragraph" w:styleId="Citationintense">
    <w:name w:val="Intense Quote"/>
    <w:basedOn w:val="Normal"/>
    <w:next w:val="Normal"/>
    <w:link w:val="CitationintenseCar"/>
    <w:uiPriority w:val="30"/>
    <w:qFormat/>
    <w:rsid w:val="00D66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628B"/>
    <w:rPr>
      <w:i/>
      <w:iCs/>
      <w:color w:val="2F5496" w:themeColor="accent1" w:themeShade="BF"/>
    </w:rPr>
  </w:style>
  <w:style w:type="character" w:styleId="Rfrenceintense">
    <w:name w:val="Intense Reference"/>
    <w:basedOn w:val="Policepardfaut"/>
    <w:uiPriority w:val="32"/>
    <w:qFormat/>
    <w:rsid w:val="00D6628B"/>
    <w:rPr>
      <w:b/>
      <w:bCs/>
      <w:smallCaps/>
      <w:color w:val="2F5496" w:themeColor="accent1" w:themeShade="BF"/>
      <w:spacing w:val="5"/>
    </w:rPr>
  </w:style>
  <w:style w:type="paragraph" w:styleId="Bibliographie">
    <w:name w:val="Bibliography"/>
    <w:basedOn w:val="Normal"/>
    <w:next w:val="Normal"/>
    <w:uiPriority w:val="37"/>
    <w:unhideWhenUsed/>
    <w:rsid w:val="0039615B"/>
    <w:pPr>
      <w:tabs>
        <w:tab w:val="left" w:pos="384"/>
      </w:tabs>
      <w:spacing w:after="0" w:line="240" w:lineRule="auto"/>
      <w:ind w:left="384" w:hanging="384"/>
    </w:pPr>
  </w:style>
  <w:style w:type="table" w:styleId="TableauGrille3-Accentuation1">
    <w:name w:val="Grid Table 3 Accent 1"/>
    <w:basedOn w:val="TableauNormal"/>
    <w:uiPriority w:val="48"/>
    <w:rsid w:val="0064474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1019</Words>
  <Characters>6507</Characters>
  <Application>Microsoft Office Word</Application>
  <DocSecurity>0</DocSecurity>
  <Lines>127</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4</cp:revision>
  <dcterms:created xsi:type="dcterms:W3CDTF">2025-10-12T13:45:00Z</dcterms:created>
  <dcterms:modified xsi:type="dcterms:W3CDTF">2025-11-18T21:18:00Z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id="UL5AGyrE"/&gt;&lt;style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