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799999" cy="39374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ems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39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99999" cy="435696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sigma log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435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Rapport Technique : Module de Classification et d’Extraction Automatique de Documents (Marchés Publics)</w:t>
      </w:r>
    </w:p>
    <w:p>
      <w:pPr>
        <w:pStyle w:val="BodyText"/>
      </w:pPr>
      <w:r>
        <w:t xml:space="preserve">Achraf AIT LAHCEN</w:t>
      </w:r>
    </w:p>
    <w:p>
      <w:pPr>
        <w:pStyle w:val="BodyText"/>
      </w:pPr>
      <w:r>
        <w:t xml:space="preserve">Juillet 2026</w:t>
      </w:r>
    </w:p>
    <w:bookmarkStart w:id="15" w:name="contexte-et-objectif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Contexte et Objectifs</w:t>
      </w:r>
    </w:p>
    <w:p>
      <w:pPr>
        <w:pStyle w:val="FirstParagraph"/>
      </w:pPr>
      <w:r>
        <w:t xml:space="preserve">Le module a pour objectif d’automatiser la chaîne de traitement des documents administratifs liés aux marchés publics marocains (Règlement de Consultation - RC, Cahier des Prescriptions Spéciales - CPS, Bordereau des Prix - BDR, Acte d’Engagement - AE).</w:t>
      </w:r>
    </w:p>
    <w:p>
      <w:pPr>
        <w:pStyle w:val="BodyText"/>
      </w:pPr>
      <w:r>
        <w:t xml:space="preserve">Le système doit être capable de :</w:t>
      </w:r>
    </w:p>
    <w:p>
      <w:pPr>
        <w:numPr>
          <w:ilvl w:val="0"/>
          <w:numId w:val="1001"/>
        </w:numPr>
      </w:pPr>
      <w:r>
        <w:t xml:space="preserve">Identifier et classifier de manière autonome la nature du document soumis.</w:t>
      </w:r>
    </w:p>
    <w:p>
      <w:pPr>
        <w:numPr>
          <w:ilvl w:val="0"/>
          <w:numId w:val="1001"/>
        </w:numPr>
      </w:pPr>
      <w:r>
        <w:t xml:space="preserve">Extraire les métadonnées clés requises pour la soumission.</w:t>
      </w:r>
    </w:p>
    <w:p>
      <w:pPr>
        <w:numPr>
          <w:ilvl w:val="0"/>
          <w:numId w:val="1001"/>
        </w:numPr>
      </w:pPr>
      <w:r>
        <w:t xml:space="preserve">Mettre à jour la base de données et archiver proprement les fichiers (renommage automatisé).</w:t>
      </w:r>
    </w:p>
    <w:p>
      <w:pPr>
        <w:numPr>
          <w:ilvl w:val="0"/>
          <w:numId w:val="1001"/>
        </w:numPr>
      </w:pPr>
      <w:r>
        <w:t xml:space="preserve">Alimenter la génération de documents légaux (Acte d’engagement et Déclaration d’honneur).</w:t>
      </w:r>
    </w:p>
    <w:bookmarkEnd w:id="15"/>
    <w:bookmarkStart w:id="18" w:name="X3d0e0e77e7b176e596dcb4a2fa1e1e999bfdd4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Contraintes Techniques et Choix d’Architecture</w:t>
      </w:r>
    </w:p>
    <w:bookmarkStart w:id="16" w:name="X5f19a4916647746e01b786817c0c5c798e4015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Gestion de la Réalité du Terrain (Scans, Inclinaisons, Bilinguisme)</w:t>
      </w:r>
    </w:p>
    <w:p>
      <w:pPr>
        <w:pStyle w:val="FirstParagraph"/>
      </w:pPr>
      <w:r>
        <w:t xml:space="preserve">Les documents de marchés publics au Maroc présentent trois défis majeurs : la nature scannée des PDF (images non textuelles), le désalignement ou l’inclinaison des pages, et l’usage fréquent du bilinguisme (Français / Arabe).</w:t>
      </w:r>
    </w:p>
    <w:p>
      <w:pPr>
        <w:pStyle w:val="BodyText"/>
      </w:pPr>
      <w:r>
        <w:rPr>
          <w:b/>
          <w:bCs/>
        </w:rPr>
        <w:t xml:space="preserve">Solution retenue :</w:t>
      </w:r>
      <w:r>
        <w:t xml:space="preserve"> </w:t>
      </w:r>
      <w:r>
        <w:t xml:space="preserve">Un pipeline séquentiel OCR + LLM. L’OCR fait office "d’yeux" pour extraire le texte brut, tandis que le LLM fait office "de cerveau" pour comprendre le sens, classifier et extraire les données.</w:t>
      </w:r>
    </w:p>
    <w:bookmarkEnd w:id="16"/>
    <w:bookmarkStart w:id="17" w:name="X6ff665c957247c3b5593fde41df562c0e73865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Contraintes Matérielles (Infrastructure Légère)</w:t>
      </w:r>
    </w:p>
    <w:p>
      <w:pPr>
        <w:pStyle w:val="FirstParagraph"/>
      </w:pPr>
      <w:r>
        <w:t xml:space="preserve">Pour garantir une exécution en local sans dépendance financière à des API Cloud et pour respecter l’usage de ressources matérielles limitées, le choix s’est porté sur des technologies open-source hautement optimisées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OCR :</w:t>
      </w:r>
      <w:r>
        <w:t xml:space="preserve"> </w:t>
      </w:r>
      <w:r>
        <w:t xml:space="preserve">PaddleOCR – Sélectionné pour sa légèreté, sa gestion native de l’arabe et son module de classification d’angle automatique permettant de redresser les textes penchés.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LLM :</w:t>
      </w:r>
      <w:r>
        <w:t xml:space="preserve"> </w:t>
      </w:r>
      <w:r>
        <w:t xml:space="preserve">Qwen2.5-3B (via Ollama) – Préféré à d’autres petits modèles (comme Phi-3) pour sa supériorité multilingue, offrant une compréhension parfaite du français administratif et de la langue arabe juridique sur des architectures matérielles CPU/GPU standards.</w:t>
      </w:r>
    </w:p>
    <w:bookmarkEnd w:id="17"/>
    <w:bookmarkEnd w:id="18"/>
    <w:bookmarkStart w:id="19" w:name="Xbbfae6224b5c1f251ee9bdaf4bc7f1fa4dd5385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Spécifications du Pipeline de Traitement (Workflow)</w:t>
      </w:r>
    </w:p>
    <w:p>
      <w:pPr>
        <w:pStyle w:val="FirstParagraph"/>
      </w:pPr>
      <w:r>
        <w:t xml:space="preserve">Le flux de traitement est structuré comme suit :</w:t>
      </w:r>
    </w:p>
    <w:p>
      <w:pPr>
        <w:pStyle w:val="BodyText"/>
      </w:pPr>
      <w:r>
        <w:rPr>
          <w:rStyle w:val="VerbatimChar"/>
        </w:rPr>
        <w:t xml:space="preserve">[Document</w:t>
      </w:r>
      <w:r>
        <w:rPr>
          <w:rStyle w:val="VerbatimChar"/>
        </w:rPr>
        <w:t xml:space="preserve">PDF]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v</w:t>
      </w:r>
      <w:r>
        <w:br/>
      </w:r>
      <w:r>
        <w:rPr>
          <w:rStyle w:val="VerbatimChar"/>
        </w:rPr>
        <w:t xml:space="preserve">+————————————–+</w:t>
      </w:r>
      <w:r>
        <w:br/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1.</w:t>
      </w:r>
      <w:r>
        <w:rPr>
          <w:rStyle w:val="VerbatimChar"/>
        </w:rPr>
        <w:t xml:space="preserve">Extraction</w:t>
      </w:r>
      <w:r>
        <w:rPr>
          <w:rStyle w:val="VerbatimChar"/>
        </w:rPr>
        <w:t xml:space="preserve">&amp;</w:t>
      </w:r>
      <w:r>
        <w:rPr>
          <w:rStyle w:val="VerbatimChar"/>
        </w:rPr>
        <w:t xml:space="preserve">Redressement</w:t>
      </w:r>
      <w:r>
        <w:rPr>
          <w:rStyle w:val="VerbatimChar"/>
        </w:rPr>
        <w:t xml:space="preserve">(OCR)</w:t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-&gt;</w:t>
      </w:r>
      <w:r>
        <w:rPr>
          <w:rStyle w:val="VerbatimChar"/>
        </w:rPr>
        <w:t xml:space="preserve">Exécution</w:t>
      </w:r>
      <w:r>
        <w:rPr>
          <w:rStyle w:val="VerbatimChar"/>
        </w:rPr>
        <w:t xml:space="preserve">via</w:t>
      </w:r>
      <w:r>
        <w:rPr>
          <w:rStyle w:val="VerbatimChar"/>
        </w:rPr>
        <w:t xml:space="preserve">PaddleOCR</w:t>
      </w:r>
      <w:r>
        <w:br/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(Correction</w:t>
      </w:r>
      <w:r>
        <w:rPr>
          <w:rStyle w:val="VerbatimChar"/>
        </w:rPr>
        <w:t xml:space="preserve">automatique</w:t>
      </w:r>
      <w:r>
        <w:rPr>
          <w:rStyle w:val="VerbatimChar"/>
        </w:rPr>
        <w:t xml:space="preserve">de</w:t>
      </w:r>
      <w:r>
        <w:rPr>
          <w:rStyle w:val="VerbatimChar"/>
        </w:rPr>
        <w:t xml:space="preserve">l’angle)</w:t>
      </w:r>
      <w:r>
        <w:br/>
      </w:r>
      <w:r>
        <w:rPr>
          <w:rStyle w:val="VerbatimChar"/>
        </w:rPr>
        <w:t xml:space="preserve">+—————-+———————+</w:t>
      </w:r>
      <w:r>
        <w:br/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(Texte</w:t>
      </w:r>
      <w:r>
        <w:rPr>
          <w:rStyle w:val="VerbatimChar"/>
        </w:rPr>
        <w:t xml:space="preserve">brut</w:t>
      </w:r>
      <w:r>
        <w:rPr>
          <w:rStyle w:val="VerbatimChar"/>
        </w:rPr>
        <w:t xml:space="preserve">extrait)</w:t>
      </w:r>
      <w:r>
        <w:br/>
      </w:r>
      <w:r>
        <w:rPr>
          <w:rStyle w:val="VerbatimChar"/>
        </w:rPr>
        <w:t xml:space="preserve">v</w:t>
      </w:r>
      <w:r>
        <w:br/>
      </w:r>
      <w:r>
        <w:rPr>
          <w:rStyle w:val="VerbatimChar"/>
        </w:rPr>
        <w:t xml:space="preserve">+————————————–+</w:t>
      </w:r>
      <w:r>
        <w:br/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2.</w:t>
      </w:r>
      <w:r>
        <w:rPr>
          <w:rStyle w:val="VerbatimChar"/>
        </w:rPr>
        <w:t xml:space="preserve">Classification</w:t>
      </w:r>
      <w:r>
        <w:rPr>
          <w:rStyle w:val="VerbatimChar"/>
        </w:rPr>
        <w:t xml:space="preserve">&amp;</w:t>
      </w:r>
      <w:r>
        <w:rPr>
          <w:rStyle w:val="VerbatimChar"/>
        </w:rPr>
        <w:t xml:space="preserve">Extraction</w:t>
      </w:r>
      <w:r>
        <w:rPr>
          <w:rStyle w:val="VerbatimChar"/>
        </w:rPr>
        <w:t xml:space="preserve">(LLM)</w:t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-&gt;</w:t>
      </w:r>
      <w:r>
        <w:rPr>
          <w:rStyle w:val="VerbatimChar"/>
        </w:rPr>
        <w:t xml:space="preserve">Requête</w:t>
      </w:r>
      <w:r>
        <w:rPr>
          <w:rStyle w:val="VerbatimChar"/>
        </w:rPr>
        <w:t xml:space="preserve">unique</w:t>
      </w:r>
      <w:r>
        <w:rPr>
          <w:rStyle w:val="VerbatimChar"/>
        </w:rPr>
        <w:t xml:space="preserve">au</w:t>
      </w:r>
      <w:r>
        <w:rPr>
          <w:rStyle w:val="VerbatimChar"/>
        </w:rPr>
        <w:t xml:space="preserve">format</w:t>
      </w:r>
      <w:r>
        <w:rPr>
          <w:rStyle w:val="VerbatimChar"/>
        </w:rPr>
        <w:t xml:space="preserve">JSON</w:t>
      </w:r>
      <w:r>
        <w:rPr>
          <w:rStyle w:val="VerbatimChar"/>
        </w:rPr>
        <w:t xml:space="preserve">strict</w:t>
      </w:r>
      <w:r>
        <w:br/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via</w:t>
      </w:r>
      <w:r>
        <w:rPr>
          <w:rStyle w:val="VerbatimChar"/>
        </w:rPr>
        <w:t xml:space="preserve">Qwen2.5</w:t>
      </w:r>
      <w:r>
        <w:rPr>
          <w:rStyle w:val="VerbatimChar"/>
        </w:rPr>
        <w:t xml:space="preserve">(Ollama)</w:t>
      </w:r>
      <w:r>
        <w:br/>
      </w:r>
      <w:r>
        <w:rPr>
          <w:rStyle w:val="VerbatimChar"/>
        </w:rPr>
        <w:t xml:space="preserve">+—————-+———————+</w:t>
      </w:r>
      <w:r>
        <w:br/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(Données</w:t>
      </w:r>
      <w:r>
        <w:rPr>
          <w:rStyle w:val="VerbatimChar"/>
        </w:rPr>
        <w:t xml:space="preserve">structurées</w:t>
      </w:r>
      <w:r>
        <w:rPr>
          <w:rStyle w:val="VerbatimChar"/>
        </w:rPr>
        <w:t xml:space="preserve">:</w:t>
      </w:r>
      <w:r>
        <w:rPr>
          <w:rStyle w:val="VerbatimChar"/>
        </w:rPr>
        <w:t xml:space="preserve">Type,</w:t>
      </w:r>
      <w:r>
        <w:rPr>
          <w:rStyle w:val="VerbatimChar"/>
        </w:rPr>
        <w:t xml:space="preserve">Client,</w:t>
      </w:r>
      <w:r>
        <w:rPr>
          <w:rStyle w:val="VerbatimChar"/>
        </w:rPr>
        <w:t xml:space="preserve">Objet,</w:t>
      </w:r>
      <w:r>
        <w:rPr>
          <w:rStyle w:val="VerbatimChar"/>
        </w:rPr>
        <w:t xml:space="preserve">Cautionnement)</w:t>
      </w:r>
      <w:r>
        <w:br/>
      </w:r>
      <w:r>
        <w:rPr>
          <w:rStyle w:val="VerbatimChar"/>
        </w:rPr>
        <w:t xml:space="preserve">v</w:t>
      </w:r>
      <w:r>
        <w:br/>
      </w:r>
      <w:r>
        <w:rPr>
          <w:rStyle w:val="VerbatimChar"/>
        </w:rPr>
        <w:t xml:space="preserve">+————————————–+</w:t>
      </w:r>
      <w:r>
        <w:br/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3.</w:t>
      </w:r>
      <w:r>
        <w:rPr>
          <w:rStyle w:val="VerbatimChar"/>
        </w:rPr>
        <w:t xml:space="preserve">Actions</w:t>
      </w:r>
      <w:r>
        <w:rPr>
          <w:rStyle w:val="VerbatimChar"/>
        </w:rPr>
        <w:t xml:space="preserve">Automatiques</w:t>
      </w:r>
      <w:r>
        <w:rPr>
          <w:rStyle w:val="VerbatimChar"/>
        </w:rPr>
        <w:t xml:space="preserve">Post-Analyse</w:t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-&gt;</w:t>
      </w:r>
      <w:r>
        <w:rPr>
          <w:rStyle w:val="VerbatimChar"/>
        </w:rPr>
        <w:t xml:space="preserve">Renommage</w:t>
      </w:r>
      <w:r>
        <w:rPr>
          <w:rStyle w:val="VerbatimChar"/>
        </w:rPr>
        <w:t xml:space="preserve">physique</w:t>
      </w:r>
      <w:r>
        <w:rPr>
          <w:rStyle w:val="VerbatimChar"/>
        </w:rPr>
        <w:t xml:space="preserve">du</w:t>
      </w:r>
      <w:r>
        <w:rPr>
          <w:rStyle w:val="VerbatimChar"/>
        </w:rPr>
        <w:t xml:space="preserve">fichier</w:t>
      </w:r>
      <w:r>
        <w:br/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|</w:t>
      </w:r>
      <w:r>
        <w:rPr>
          <w:rStyle w:val="VerbatimChar"/>
        </w:rPr>
        <w:t xml:space="preserve">-&gt;</w:t>
      </w:r>
      <w:r>
        <w:rPr>
          <w:rStyle w:val="VerbatimChar"/>
        </w:rPr>
        <w:t xml:space="preserve">‘UPDATE‘</w:t>
      </w:r>
      <w:r>
        <w:rPr>
          <w:rStyle w:val="VerbatimChar"/>
        </w:rPr>
        <w:t xml:space="preserve">en</w:t>
      </w:r>
      <w:r>
        <w:rPr>
          <w:rStyle w:val="VerbatimChar"/>
        </w:rPr>
        <w:t xml:space="preserve">base</w:t>
      </w:r>
      <w:r>
        <w:rPr>
          <w:rStyle w:val="VerbatimChar"/>
        </w:rPr>
        <w:t xml:space="preserve">de</w:t>
      </w:r>
      <w:r>
        <w:rPr>
          <w:rStyle w:val="VerbatimChar"/>
        </w:rPr>
        <w:t xml:space="preserve">données</w:t>
      </w:r>
      <w:r>
        <w:br/>
      </w:r>
      <w:r>
        <w:rPr>
          <w:rStyle w:val="VerbatimChar"/>
        </w:rPr>
        <w:t xml:space="preserve">+————————————–+</w:t>
      </w:r>
    </w:p>
    <w:p>
      <w:pPr>
        <w:pStyle w:val="BodyText"/>
      </w:pPr>
      <w:r>
        <w:t xml:space="preserve">Le pipeline repose sur trois étapes clés 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Extraction &amp; Redressement (OCR) :</w:t>
      </w:r>
      <w:r>
        <w:t xml:space="preserve"> </w:t>
      </w:r>
      <w:r>
        <w:t xml:space="preserve">Exécution via PaddleOCR.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Classification &amp; Extraction (LLM) :</w:t>
      </w:r>
      <w:r>
        <w:t xml:space="preserve"> </w:t>
      </w:r>
      <w:r>
        <w:t xml:space="preserve">Requête unique au format JSON strict via Qwen2.5.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Actions Automatiques Post-Analyse :</w:t>
      </w:r>
      <w:r>
        <w:t xml:space="preserve"> </w:t>
      </w:r>
      <w:r>
        <w:t xml:space="preserve">Renommage physique et mise à jour BDD.</w:t>
      </w:r>
    </w:p>
    <w:bookmarkEnd w:id="19"/>
    <w:bookmarkStart w:id="20" w:name="Xda3b2aba0ef77e419cd109746472ab1e433c99b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Gestion des Documents Hybrides (Multi-Documents / Segmentation)</w:t>
      </w:r>
    </w:p>
    <w:p>
      <w:pPr>
        <w:pStyle w:val="FirstParagraph"/>
      </w:pPr>
      <w:r>
        <w:t xml:space="preserve">Afin de pallier le risque d’un fichier unique contenant plusieurs pièces jointes fusionnées (ex: un scan continu contenant le RC puis le CPS), deux strategies barrières sont retenues 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Stratégie UX (Prioritaire) :</w:t>
      </w:r>
      <w:r>
        <w:t xml:space="preserve"> </w:t>
      </w:r>
      <w:r>
        <w:t xml:space="preserve">Interface de depot segmentee par document, combinée à une validation par le LLM (le système lève une alerte si le contenu de la case "RC" est détecté comme un "CPS").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Stratégie Algorithmique (Évolution) :</w:t>
      </w:r>
      <w:r>
        <w:t xml:space="preserve"> </w:t>
      </w:r>
      <w:r>
        <w:t xml:space="preserve">Analyse textuelle page par page pour détecter les ruptures de catégories ou l’apparition de pages de garde de chapitres via expressions régulières (Regex).</w:t>
      </w:r>
    </w:p>
    <w:bookmarkEnd w:id="20"/>
    <w:bookmarkStart w:id="21" w:name="indicateurs-de-succès-et-rentabilité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Indicateurs de Succès et Rentabilité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Gain de Temps :</w:t>
      </w:r>
      <w:r>
        <w:t xml:space="preserve"> </w:t>
      </w:r>
      <w:r>
        <w:t xml:space="preserve">Reduction du temps de traitement d’un dossier de 45 minutes (saisie manuelle) à moins de 10 secondes (pipeline automatisé).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Fiabilité :</w:t>
      </w:r>
      <w:r>
        <w:t xml:space="preserve"> </w:t>
      </w:r>
      <w:r>
        <w:t xml:space="preserve">Élimination des erreurs de recopie humaine dans l’acte d’engagement grâce à l’injection directe des variables extraites par le LLM dans des templates .docx pre-formates.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Indépendance financière :</w:t>
      </w:r>
      <w:r>
        <w:t xml:space="preserve"> </w:t>
      </w:r>
      <w:r>
        <w:t xml:space="preserve">Coût d’exploitation nul à l’utilisation grâce au deploiement des modeles en local.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2026-07-09T22:44:51Z</dcterms:created>
  <dcterms:modified xsi:type="dcterms:W3CDTF">2026-07-09T22:44:51Z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