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0A9F" w14:textId="57702D1C" w:rsidR="004F53F4" w:rsidRPr="004F53F4" w:rsidRDefault="00BC52CC" w:rsidP="004F53F4">
      <w:r w:rsidRPr="00BC52CC">
        <w:rPr>
          <w:rFonts w:asciiTheme="majorHAnsi" w:eastAsiaTheme="majorEastAsia" w:hAnsiTheme="majorHAnsi" w:cstheme="majorBidi"/>
          <w:spacing w:val="-10"/>
          <w:kern w:val="28"/>
          <w:sz w:val="56"/>
          <w:szCs w:val="56"/>
        </w:rPr>
        <w:t>Supply Chain Performance Investigation</w:t>
      </w:r>
    </w:p>
    <w:p w14:paraId="77D0B949" w14:textId="77777777" w:rsidR="004F53F4" w:rsidRPr="00623B86" w:rsidRDefault="004F53F4" w:rsidP="004F53F4">
      <w:pPr>
        <w:rPr>
          <w:b/>
          <w:bCs/>
        </w:rPr>
      </w:pPr>
      <w:r w:rsidRPr="00623B86">
        <w:rPr>
          <w:b/>
          <w:bCs/>
        </w:rPr>
        <w:t>Prepared For: Supply Chain Management</w:t>
      </w:r>
    </w:p>
    <w:p w14:paraId="2418035A" w14:textId="77777777" w:rsidR="004F53F4" w:rsidRPr="00623B86" w:rsidRDefault="004F53F4" w:rsidP="004F53F4">
      <w:pPr>
        <w:rPr>
          <w:b/>
          <w:bCs/>
        </w:rPr>
      </w:pPr>
    </w:p>
    <w:p w14:paraId="6B046D53" w14:textId="77777777" w:rsidR="004F53F4" w:rsidRPr="00623B86" w:rsidRDefault="004F53F4" w:rsidP="004F53F4">
      <w:pPr>
        <w:rPr>
          <w:b/>
          <w:bCs/>
        </w:rPr>
      </w:pPr>
    </w:p>
    <w:p w14:paraId="56FF0469" w14:textId="77777777" w:rsidR="004F53F4" w:rsidRPr="00623B86" w:rsidRDefault="004F53F4" w:rsidP="004F53F4">
      <w:pPr>
        <w:rPr>
          <w:b/>
          <w:bCs/>
        </w:rPr>
      </w:pPr>
    </w:p>
    <w:p w14:paraId="04560637" w14:textId="77777777" w:rsidR="004F53F4" w:rsidRPr="00623B86" w:rsidRDefault="004F53F4" w:rsidP="004F53F4">
      <w:pPr>
        <w:rPr>
          <w:b/>
          <w:bCs/>
        </w:rPr>
      </w:pPr>
    </w:p>
    <w:p w14:paraId="73B1C391" w14:textId="77777777" w:rsidR="004F53F4" w:rsidRPr="00623B86" w:rsidRDefault="004F53F4" w:rsidP="004F53F4">
      <w:pPr>
        <w:rPr>
          <w:b/>
          <w:bCs/>
        </w:rPr>
      </w:pPr>
    </w:p>
    <w:p w14:paraId="2D53491C" w14:textId="77777777" w:rsidR="004F53F4" w:rsidRPr="00623B86" w:rsidRDefault="004F53F4" w:rsidP="004F53F4">
      <w:pPr>
        <w:rPr>
          <w:b/>
          <w:bCs/>
        </w:rPr>
      </w:pPr>
    </w:p>
    <w:p w14:paraId="003C29B1" w14:textId="77777777" w:rsidR="004F53F4" w:rsidRPr="00623B86" w:rsidRDefault="004F53F4" w:rsidP="004F53F4">
      <w:pPr>
        <w:rPr>
          <w:b/>
          <w:bCs/>
        </w:rPr>
      </w:pPr>
    </w:p>
    <w:p w14:paraId="7A985304" w14:textId="77777777" w:rsidR="004F53F4" w:rsidRPr="00623B86" w:rsidRDefault="004F53F4" w:rsidP="004F53F4">
      <w:pPr>
        <w:rPr>
          <w:b/>
          <w:bCs/>
        </w:rPr>
      </w:pPr>
    </w:p>
    <w:p w14:paraId="1700468A" w14:textId="77777777" w:rsidR="004F53F4" w:rsidRPr="00623B86" w:rsidRDefault="004F53F4" w:rsidP="004F53F4">
      <w:pPr>
        <w:rPr>
          <w:b/>
          <w:bCs/>
        </w:rPr>
      </w:pPr>
    </w:p>
    <w:p w14:paraId="6B18DC9B" w14:textId="77777777" w:rsidR="004F53F4" w:rsidRPr="00623B86" w:rsidRDefault="004F53F4" w:rsidP="004F53F4">
      <w:pPr>
        <w:rPr>
          <w:b/>
          <w:bCs/>
        </w:rPr>
      </w:pPr>
    </w:p>
    <w:p w14:paraId="67F3E50E" w14:textId="77777777" w:rsidR="004F53F4" w:rsidRPr="00623B86" w:rsidRDefault="004F53F4" w:rsidP="004F53F4">
      <w:pPr>
        <w:rPr>
          <w:b/>
          <w:bCs/>
        </w:rPr>
      </w:pPr>
    </w:p>
    <w:p w14:paraId="3510BF1E" w14:textId="77777777" w:rsidR="004F53F4" w:rsidRPr="00623B86" w:rsidRDefault="004F53F4" w:rsidP="004F53F4">
      <w:pPr>
        <w:rPr>
          <w:b/>
          <w:bCs/>
        </w:rPr>
      </w:pPr>
    </w:p>
    <w:p w14:paraId="61D9B4B3" w14:textId="77777777" w:rsidR="004F53F4" w:rsidRPr="00623B86" w:rsidRDefault="004F53F4" w:rsidP="004F53F4">
      <w:pPr>
        <w:rPr>
          <w:b/>
          <w:bCs/>
        </w:rPr>
      </w:pPr>
    </w:p>
    <w:p w14:paraId="1AE8BD65" w14:textId="77777777" w:rsidR="004F53F4" w:rsidRPr="00623B86" w:rsidRDefault="004F53F4" w:rsidP="004F53F4">
      <w:pPr>
        <w:rPr>
          <w:b/>
          <w:bCs/>
        </w:rPr>
      </w:pPr>
    </w:p>
    <w:p w14:paraId="0CB52C3F" w14:textId="5FEB83EF" w:rsidR="004F53F4" w:rsidRPr="00623B86" w:rsidRDefault="00BC52CC" w:rsidP="004F53F4">
      <w:pPr>
        <w:rPr>
          <w:b/>
          <w:bCs/>
        </w:rPr>
      </w:pPr>
      <w:r w:rsidRPr="00BC52CC">
        <w:rPr>
          <w:b/>
          <w:bCs/>
        </w:rPr>
        <w:t>Prepared by</w:t>
      </w:r>
      <w:r w:rsidR="004F53F4" w:rsidRPr="00623B86">
        <w:rPr>
          <w:b/>
          <w:bCs/>
        </w:rPr>
        <w:t>: Achraf Noui</w:t>
      </w:r>
    </w:p>
    <w:p w14:paraId="7A0BA7D5" w14:textId="07F62750" w:rsidR="00BC52CC" w:rsidRPr="00BC52CC" w:rsidRDefault="00BC52CC" w:rsidP="00BC52CC">
      <w:pPr>
        <w:rPr>
          <w:b/>
          <w:bCs/>
        </w:rPr>
      </w:pPr>
      <w:r w:rsidRPr="00BC52CC">
        <w:rPr>
          <w:b/>
          <w:bCs/>
        </w:rPr>
        <w:t>Dataset:</w:t>
      </w:r>
      <w:r>
        <w:rPr>
          <w:b/>
          <w:bCs/>
        </w:rPr>
        <w:t xml:space="preserve"> </w:t>
      </w:r>
      <w:r w:rsidRPr="00BC52CC">
        <w:rPr>
          <w:b/>
          <w:bCs/>
        </w:rPr>
        <w:t>DataCo Supply Chain — cleaned star-schema exports  </w:t>
      </w:r>
    </w:p>
    <w:p w14:paraId="2C327D2F" w14:textId="094EDB04" w:rsidR="00BC52CC" w:rsidRPr="00BC52CC" w:rsidRDefault="00BC52CC" w:rsidP="00BC52CC">
      <w:pPr>
        <w:rPr>
          <w:b/>
          <w:bCs/>
        </w:rPr>
      </w:pPr>
      <w:r w:rsidRPr="00BC52CC">
        <w:rPr>
          <w:b/>
          <w:bCs/>
        </w:rPr>
        <w:t>Purpose:</w:t>
      </w:r>
      <w:r>
        <w:rPr>
          <w:b/>
          <w:bCs/>
        </w:rPr>
        <w:t xml:space="preserve"> </w:t>
      </w:r>
      <w:r w:rsidRPr="00BC52CC">
        <w:rPr>
          <w:b/>
          <w:bCs/>
        </w:rPr>
        <w:t>Investigate two signals identified in the Power BI dashboard and translate evidence into management actions.</w:t>
      </w:r>
    </w:p>
    <w:p w14:paraId="19EF53C3" w14:textId="77777777" w:rsidR="004F53F4" w:rsidRPr="00623B86" w:rsidRDefault="004F53F4" w:rsidP="004F53F4">
      <w:pPr>
        <w:rPr>
          <w:b/>
          <w:bCs/>
        </w:rPr>
      </w:pPr>
    </w:p>
    <w:p w14:paraId="2FB297C2" w14:textId="4CEECEC1" w:rsidR="00D452FF" w:rsidRDefault="004F53F4" w:rsidP="004F53F4">
      <w:pPr>
        <w:rPr>
          <w:b/>
          <w:bCs/>
        </w:rPr>
      </w:pPr>
      <w:r w:rsidRPr="00623B86">
        <w:rPr>
          <w:b/>
          <w:bCs/>
        </w:rPr>
        <w:t>Date: October 2026</w:t>
      </w:r>
    </w:p>
    <w:p w14:paraId="007EACBE" w14:textId="77777777" w:rsidR="00D452FF" w:rsidRDefault="00D452FF">
      <w:pPr>
        <w:rPr>
          <w:b/>
          <w:bCs/>
        </w:rPr>
      </w:pPr>
      <w:r>
        <w:rPr>
          <w:b/>
          <w:bCs/>
        </w:rPr>
        <w:br w:type="page"/>
      </w:r>
    </w:p>
    <w:sdt>
      <w:sdtPr>
        <w:rPr>
          <w:rFonts w:asciiTheme="minorHAnsi" w:eastAsiaTheme="minorHAnsi" w:hAnsiTheme="minorHAnsi" w:cstheme="minorBidi"/>
          <w:color w:val="auto"/>
          <w:kern w:val="2"/>
          <w:sz w:val="28"/>
          <w:szCs w:val="24"/>
          <w14:ligatures w14:val="standardContextual"/>
        </w:rPr>
        <w:id w:val="-936748720"/>
        <w:docPartObj>
          <w:docPartGallery w:val="Table of Contents"/>
          <w:docPartUnique/>
        </w:docPartObj>
      </w:sdtPr>
      <w:sdtEndPr>
        <w:rPr>
          <w:b/>
          <w:bCs/>
          <w:noProof/>
        </w:rPr>
      </w:sdtEndPr>
      <w:sdtContent>
        <w:p w14:paraId="16B59459" w14:textId="77777777" w:rsidR="00D452FF" w:rsidRDefault="00D452FF" w:rsidP="00D452FF">
          <w:pPr>
            <w:pStyle w:val="TOCHeading"/>
            <w:numPr>
              <w:ilvl w:val="0"/>
              <w:numId w:val="0"/>
            </w:numPr>
          </w:pPr>
          <w:r>
            <w:t>Table of Contents</w:t>
          </w:r>
        </w:p>
        <w:p w14:paraId="14F9C0A5" w14:textId="05298BE4" w:rsidR="00321E47" w:rsidRDefault="00D452FF">
          <w:pPr>
            <w:pStyle w:val="TOC1"/>
            <w:tabs>
              <w:tab w:val="right" w:leader="dot" w:pos="9350"/>
            </w:tabs>
            <w:rPr>
              <w:rFonts w:eastAsiaTheme="minorEastAsia"/>
              <w:noProof/>
              <w:sz w:val="24"/>
            </w:rPr>
          </w:pPr>
          <w:r>
            <w:fldChar w:fldCharType="begin"/>
          </w:r>
          <w:r>
            <w:instrText xml:space="preserve"> TOC \o "1-3" \h \z \u </w:instrText>
          </w:r>
          <w:r>
            <w:fldChar w:fldCharType="separate"/>
          </w:r>
          <w:hyperlink w:anchor="_Toc243729872" w:history="1">
            <w:r w:rsidR="00321E47" w:rsidRPr="006758B3">
              <w:rPr>
                <w:rStyle w:val="Hyperlink"/>
                <w:noProof/>
              </w:rPr>
              <w:t>Executive Summary</w:t>
            </w:r>
            <w:r w:rsidR="00321E47">
              <w:rPr>
                <w:noProof/>
                <w:webHidden/>
              </w:rPr>
              <w:tab/>
            </w:r>
            <w:r w:rsidR="00321E47">
              <w:rPr>
                <w:noProof/>
                <w:webHidden/>
              </w:rPr>
              <w:fldChar w:fldCharType="begin"/>
            </w:r>
            <w:r w:rsidR="00321E47">
              <w:rPr>
                <w:noProof/>
                <w:webHidden/>
              </w:rPr>
              <w:instrText xml:space="preserve"> PAGEREF _Toc243729872 \h </w:instrText>
            </w:r>
            <w:r w:rsidR="00321E47">
              <w:rPr>
                <w:noProof/>
                <w:webHidden/>
              </w:rPr>
            </w:r>
            <w:r w:rsidR="00321E47">
              <w:rPr>
                <w:noProof/>
                <w:webHidden/>
              </w:rPr>
              <w:fldChar w:fldCharType="separate"/>
            </w:r>
            <w:r w:rsidR="00321E47">
              <w:rPr>
                <w:noProof/>
                <w:webHidden/>
              </w:rPr>
              <w:t>3</w:t>
            </w:r>
            <w:r w:rsidR="00321E47">
              <w:rPr>
                <w:noProof/>
                <w:webHidden/>
              </w:rPr>
              <w:fldChar w:fldCharType="end"/>
            </w:r>
          </w:hyperlink>
        </w:p>
        <w:p w14:paraId="4C60240D" w14:textId="6097D0C1" w:rsidR="00321E47" w:rsidRDefault="00321E47">
          <w:pPr>
            <w:pStyle w:val="TOC1"/>
            <w:tabs>
              <w:tab w:val="left" w:pos="480"/>
              <w:tab w:val="right" w:leader="dot" w:pos="9350"/>
            </w:tabs>
            <w:rPr>
              <w:rFonts w:eastAsiaTheme="minorEastAsia"/>
              <w:noProof/>
              <w:sz w:val="24"/>
            </w:rPr>
          </w:pPr>
          <w:hyperlink w:anchor="_Toc243729873" w:history="1">
            <w:r w:rsidRPr="006758B3">
              <w:rPr>
                <w:rStyle w:val="Hyperlink"/>
                <w:noProof/>
              </w:rPr>
              <w:t>I.</w:t>
            </w:r>
            <w:r>
              <w:rPr>
                <w:rFonts w:eastAsiaTheme="minorEastAsia"/>
                <w:noProof/>
                <w:sz w:val="24"/>
              </w:rPr>
              <w:tab/>
            </w:r>
            <w:r w:rsidRPr="006758B3">
              <w:rPr>
                <w:rStyle w:val="Hyperlink"/>
                <w:noProof/>
              </w:rPr>
              <w:t>Introduction</w:t>
            </w:r>
            <w:r>
              <w:rPr>
                <w:noProof/>
                <w:webHidden/>
              </w:rPr>
              <w:tab/>
            </w:r>
            <w:r>
              <w:rPr>
                <w:noProof/>
                <w:webHidden/>
              </w:rPr>
              <w:fldChar w:fldCharType="begin"/>
            </w:r>
            <w:r>
              <w:rPr>
                <w:noProof/>
                <w:webHidden/>
              </w:rPr>
              <w:instrText xml:space="preserve"> PAGEREF _Toc243729873 \h </w:instrText>
            </w:r>
            <w:r>
              <w:rPr>
                <w:noProof/>
                <w:webHidden/>
              </w:rPr>
            </w:r>
            <w:r>
              <w:rPr>
                <w:noProof/>
                <w:webHidden/>
              </w:rPr>
              <w:fldChar w:fldCharType="separate"/>
            </w:r>
            <w:r>
              <w:rPr>
                <w:noProof/>
                <w:webHidden/>
              </w:rPr>
              <w:t>4</w:t>
            </w:r>
            <w:r>
              <w:rPr>
                <w:noProof/>
                <w:webHidden/>
              </w:rPr>
              <w:fldChar w:fldCharType="end"/>
            </w:r>
          </w:hyperlink>
        </w:p>
        <w:p w14:paraId="1F53E3B6" w14:textId="49699749" w:rsidR="00321E47" w:rsidRDefault="00321E47">
          <w:pPr>
            <w:pStyle w:val="TOC1"/>
            <w:tabs>
              <w:tab w:val="left" w:pos="480"/>
              <w:tab w:val="right" w:leader="dot" w:pos="9350"/>
            </w:tabs>
            <w:rPr>
              <w:rFonts w:eastAsiaTheme="minorEastAsia"/>
              <w:noProof/>
              <w:sz w:val="24"/>
            </w:rPr>
          </w:pPr>
          <w:hyperlink w:anchor="_Toc243729874" w:history="1">
            <w:r w:rsidRPr="006758B3">
              <w:rPr>
                <w:rStyle w:val="Hyperlink"/>
                <w:noProof/>
              </w:rPr>
              <w:t>II.</w:t>
            </w:r>
            <w:r>
              <w:rPr>
                <w:rFonts w:eastAsiaTheme="minorEastAsia"/>
                <w:noProof/>
                <w:sz w:val="24"/>
              </w:rPr>
              <w:tab/>
            </w:r>
            <w:r w:rsidRPr="006758B3">
              <w:rPr>
                <w:rStyle w:val="Hyperlink"/>
                <w:noProof/>
              </w:rPr>
              <w:t>Methodology</w:t>
            </w:r>
            <w:r>
              <w:rPr>
                <w:noProof/>
                <w:webHidden/>
              </w:rPr>
              <w:tab/>
            </w:r>
            <w:r>
              <w:rPr>
                <w:noProof/>
                <w:webHidden/>
              </w:rPr>
              <w:fldChar w:fldCharType="begin"/>
            </w:r>
            <w:r>
              <w:rPr>
                <w:noProof/>
                <w:webHidden/>
              </w:rPr>
              <w:instrText xml:space="preserve"> PAGEREF _Toc243729874 \h </w:instrText>
            </w:r>
            <w:r>
              <w:rPr>
                <w:noProof/>
                <w:webHidden/>
              </w:rPr>
            </w:r>
            <w:r>
              <w:rPr>
                <w:noProof/>
                <w:webHidden/>
              </w:rPr>
              <w:fldChar w:fldCharType="separate"/>
            </w:r>
            <w:r>
              <w:rPr>
                <w:noProof/>
                <w:webHidden/>
              </w:rPr>
              <w:t>5</w:t>
            </w:r>
            <w:r>
              <w:rPr>
                <w:noProof/>
                <w:webHidden/>
              </w:rPr>
              <w:fldChar w:fldCharType="end"/>
            </w:r>
          </w:hyperlink>
        </w:p>
        <w:p w14:paraId="7053808D" w14:textId="3C1AAC39" w:rsidR="00321E47" w:rsidRDefault="00321E47">
          <w:pPr>
            <w:pStyle w:val="TOC1"/>
            <w:tabs>
              <w:tab w:val="left" w:pos="720"/>
              <w:tab w:val="right" w:leader="dot" w:pos="9350"/>
            </w:tabs>
            <w:rPr>
              <w:rFonts w:eastAsiaTheme="minorEastAsia"/>
              <w:noProof/>
              <w:sz w:val="24"/>
            </w:rPr>
          </w:pPr>
          <w:hyperlink w:anchor="_Toc243729875" w:history="1">
            <w:r w:rsidRPr="006758B3">
              <w:rPr>
                <w:rStyle w:val="Hyperlink"/>
                <w:noProof/>
              </w:rPr>
              <w:t>III.</w:t>
            </w:r>
            <w:r>
              <w:rPr>
                <w:rFonts w:eastAsiaTheme="minorEastAsia"/>
                <w:noProof/>
                <w:sz w:val="24"/>
              </w:rPr>
              <w:tab/>
            </w:r>
            <w:r w:rsidRPr="006758B3">
              <w:rPr>
                <w:rStyle w:val="Hyperlink"/>
                <w:noProof/>
              </w:rPr>
              <w:t>Findings and Analysis</w:t>
            </w:r>
            <w:r>
              <w:rPr>
                <w:noProof/>
                <w:webHidden/>
              </w:rPr>
              <w:tab/>
            </w:r>
            <w:r>
              <w:rPr>
                <w:noProof/>
                <w:webHidden/>
              </w:rPr>
              <w:fldChar w:fldCharType="begin"/>
            </w:r>
            <w:r>
              <w:rPr>
                <w:noProof/>
                <w:webHidden/>
              </w:rPr>
              <w:instrText xml:space="preserve"> PAGEREF _Toc243729875 \h </w:instrText>
            </w:r>
            <w:r>
              <w:rPr>
                <w:noProof/>
                <w:webHidden/>
              </w:rPr>
            </w:r>
            <w:r>
              <w:rPr>
                <w:noProof/>
                <w:webHidden/>
              </w:rPr>
              <w:fldChar w:fldCharType="separate"/>
            </w:r>
            <w:r>
              <w:rPr>
                <w:noProof/>
                <w:webHidden/>
              </w:rPr>
              <w:t>7</w:t>
            </w:r>
            <w:r>
              <w:rPr>
                <w:noProof/>
                <w:webHidden/>
              </w:rPr>
              <w:fldChar w:fldCharType="end"/>
            </w:r>
          </w:hyperlink>
        </w:p>
        <w:p w14:paraId="4E778D58" w14:textId="553BE610" w:rsidR="00321E47" w:rsidRDefault="00321E47">
          <w:pPr>
            <w:pStyle w:val="TOC3"/>
            <w:tabs>
              <w:tab w:val="left" w:pos="960"/>
              <w:tab w:val="right" w:leader="dot" w:pos="9350"/>
            </w:tabs>
            <w:rPr>
              <w:noProof/>
            </w:rPr>
          </w:pPr>
          <w:hyperlink w:anchor="_Toc243729876" w:history="1">
            <w:r w:rsidRPr="006758B3">
              <w:rPr>
                <w:rStyle w:val="Hyperlink"/>
                <w:noProof/>
              </w:rPr>
              <w:t>A.</w:t>
            </w:r>
            <w:r>
              <w:rPr>
                <w:noProof/>
              </w:rPr>
              <w:tab/>
            </w:r>
            <w:r w:rsidRPr="006758B3">
              <w:rPr>
                <w:rStyle w:val="Hyperlink"/>
                <w:noProof/>
              </w:rPr>
              <w:t>2015 vs 2016</w:t>
            </w:r>
            <w:r>
              <w:rPr>
                <w:noProof/>
                <w:webHidden/>
              </w:rPr>
              <w:tab/>
            </w:r>
            <w:r>
              <w:rPr>
                <w:noProof/>
                <w:webHidden/>
              </w:rPr>
              <w:fldChar w:fldCharType="begin"/>
            </w:r>
            <w:r>
              <w:rPr>
                <w:noProof/>
                <w:webHidden/>
              </w:rPr>
              <w:instrText xml:space="preserve"> PAGEREF _Toc243729876 \h </w:instrText>
            </w:r>
            <w:r>
              <w:rPr>
                <w:noProof/>
                <w:webHidden/>
              </w:rPr>
            </w:r>
            <w:r>
              <w:rPr>
                <w:noProof/>
                <w:webHidden/>
              </w:rPr>
              <w:fldChar w:fldCharType="separate"/>
            </w:r>
            <w:r>
              <w:rPr>
                <w:noProof/>
                <w:webHidden/>
              </w:rPr>
              <w:t>7</w:t>
            </w:r>
            <w:r>
              <w:rPr>
                <w:noProof/>
                <w:webHidden/>
              </w:rPr>
              <w:fldChar w:fldCharType="end"/>
            </w:r>
          </w:hyperlink>
        </w:p>
        <w:p w14:paraId="5B764701" w14:textId="756BA878" w:rsidR="00321E47" w:rsidRDefault="00321E47">
          <w:pPr>
            <w:pStyle w:val="TOC3"/>
            <w:tabs>
              <w:tab w:val="left" w:pos="960"/>
              <w:tab w:val="right" w:leader="dot" w:pos="9350"/>
            </w:tabs>
            <w:rPr>
              <w:noProof/>
            </w:rPr>
          </w:pPr>
          <w:hyperlink w:anchor="_Toc243729877" w:history="1">
            <w:r w:rsidRPr="006758B3">
              <w:rPr>
                <w:rStyle w:val="Hyperlink"/>
                <w:noProof/>
              </w:rPr>
              <w:t>B.</w:t>
            </w:r>
            <w:r>
              <w:rPr>
                <w:noProof/>
              </w:rPr>
              <w:tab/>
            </w:r>
            <w:r w:rsidRPr="006758B3">
              <w:rPr>
                <w:rStyle w:val="Hyperlink"/>
                <w:noProof/>
              </w:rPr>
              <w:t>2016 vs 2017</w:t>
            </w:r>
            <w:r>
              <w:rPr>
                <w:noProof/>
                <w:webHidden/>
              </w:rPr>
              <w:tab/>
            </w:r>
            <w:r>
              <w:rPr>
                <w:noProof/>
                <w:webHidden/>
              </w:rPr>
              <w:fldChar w:fldCharType="begin"/>
            </w:r>
            <w:r>
              <w:rPr>
                <w:noProof/>
                <w:webHidden/>
              </w:rPr>
              <w:instrText xml:space="preserve"> PAGEREF _Toc243729877 \h </w:instrText>
            </w:r>
            <w:r>
              <w:rPr>
                <w:noProof/>
                <w:webHidden/>
              </w:rPr>
            </w:r>
            <w:r>
              <w:rPr>
                <w:noProof/>
                <w:webHidden/>
              </w:rPr>
              <w:fldChar w:fldCharType="separate"/>
            </w:r>
            <w:r>
              <w:rPr>
                <w:noProof/>
                <w:webHidden/>
              </w:rPr>
              <w:t>7</w:t>
            </w:r>
            <w:r>
              <w:rPr>
                <w:noProof/>
                <w:webHidden/>
              </w:rPr>
              <w:fldChar w:fldCharType="end"/>
            </w:r>
          </w:hyperlink>
        </w:p>
        <w:p w14:paraId="638EC9A1" w14:textId="138277C1" w:rsidR="00321E47" w:rsidRDefault="00321E47">
          <w:pPr>
            <w:pStyle w:val="TOC1"/>
            <w:tabs>
              <w:tab w:val="left" w:pos="560"/>
              <w:tab w:val="right" w:leader="dot" w:pos="9350"/>
            </w:tabs>
            <w:rPr>
              <w:rFonts w:eastAsiaTheme="minorEastAsia"/>
              <w:noProof/>
              <w:sz w:val="24"/>
            </w:rPr>
          </w:pPr>
          <w:hyperlink w:anchor="_Toc243729878" w:history="1">
            <w:r w:rsidRPr="006758B3">
              <w:rPr>
                <w:rStyle w:val="Hyperlink"/>
                <w:noProof/>
              </w:rPr>
              <w:t>IV.</w:t>
            </w:r>
            <w:r>
              <w:rPr>
                <w:rFonts w:eastAsiaTheme="minorEastAsia"/>
                <w:noProof/>
                <w:sz w:val="24"/>
              </w:rPr>
              <w:tab/>
            </w:r>
            <w:r w:rsidRPr="006758B3">
              <w:rPr>
                <w:rStyle w:val="Hyperlink"/>
                <w:noProof/>
              </w:rPr>
              <w:t>Conclusions</w:t>
            </w:r>
            <w:r>
              <w:rPr>
                <w:noProof/>
                <w:webHidden/>
              </w:rPr>
              <w:tab/>
            </w:r>
            <w:r>
              <w:rPr>
                <w:noProof/>
                <w:webHidden/>
              </w:rPr>
              <w:fldChar w:fldCharType="begin"/>
            </w:r>
            <w:r>
              <w:rPr>
                <w:noProof/>
                <w:webHidden/>
              </w:rPr>
              <w:instrText xml:space="preserve"> PAGEREF _Toc243729878 \h </w:instrText>
            </w:r>
            <w:r>
              <w:rPr>
                <w:noProof/>
                <w:webHidden/>
              </w:rPr>
            </w:r>
            <w:r>
              <w:rPr>
                <w:noProof/>
                <w:webHidden/>
              </w:rPr>
              <w:fldChar w:fldCharType="separate"/>
            </w:r>
            <w:r>
              <w:rPr>
                <w:noProof/>
                <w:webHidden/>
              </w:rPr>
              <w:t>8</w:t>
            </w:r>
            <w:r>
              <w:rPr>
                <w:noProof/>
                <w:webHidden/>
              </w:rPr>
              <w:fldChar w:fldCharType="end"/>
            </w:r>
          </w:hyperlink>
        </w:p>
        <w:p w14:paraId="77D9FE46" w14:textId="168D9D58" w:rsidR="00321E47" w:rsidRDefault="00321E47">
          <w:pPr>
            <w:pStyle w:val="TOC1"/>
            <w:tabs>
              <w:tab w:val="left" w:pos="560"/>
              <w:tab w:val="right" w:leader="dot" w:pos="9350"/>
            </w:tabs>
            <w:rPr>
              <w:rFonts w:eastAsiaTheme="minorEastAsia"/>
              <w:noProof/>
              <w:sz w:val="24"/>
            </w:rPr>
          </w:pPr>
          <w:hyperlink w:anchor="_Toc243729879" w:history="1">
            <w:r w:rsidRPr="006758B3">
              <w:rPr>
                <w:rStyle w:val="Hyperlink"/>
                <w:noProof/>
              </w:rPr>
              <w:t>V.</w:t>
            </w:r>
            <w:r>
              <w:rPr>
                <w:rFonts w:eastAsiaTheme="minorEastAsia"/>
                <w:noProof/>
                <w:sz w:val="24"/>
              </w:rPr>
              <w:tab/>
            </w:r>
            <w:r w:rsidRPr="006758B3">
              <w:rPr>
                <w:rStyle w:val="Hyperlink"/>
                <w:noProof/>
              </w:rPr>
              <w:t>Recommendations</w:t>
            </w:r>
            <w:r>
              <w:rPr>
                <w:noProof/>
                <w:webHidden/>
              </w:rPr>
              <w:tab/>
            </w:r>
            <w:r>
              <w:rPr>
                <w:noProof/>
                <w:webHidden/>
              </w:rPr>
              <w:fldChar w:fldCharType="begin"/>
            </w:r>
            <w:r>
              <w:rPr>
                <w:noProof/>
                <w:webHidden/>
              </w:rPr>
              <w:instrText xml:space="preserve"> PAGEREF _Toc243729879 \h </w:instrText>
            </w:r>
            <w:r>
              <w:rPr>
                <w:noProof/>
                <w:webHidden/>
              </w:rPr>
            </w:r>
            <w:r>
              <w:rPr>
                <w:noProof/>
                <w:webHidden/>
              </w:rPr>
              <w:fldChar w:fldCharType="separate"/>
            </w:r>
            <w:r>
              <w:rPr>
                <w:noProof/>
                <w:webHidden/>
              </w:rPr>
              <w:t>9</w:t>
            </w:r>
            <w:r>
              <w:rPr>
                <w:noProof/>
                <w:webHidden/>
              </w:rPr>
              <w:fldChar w:fldCharType="end"/>
            </w:r>
          </w:hyperlink>
        </w:p>
        <w:p w14:paraId="1F5F204A" w14:textId="00FCCD01" w:rsidR="00D452FF" w:rsidRDefault="00D452FF" w:rsidP="00D452FF">
          <w:pPr>
            <w:rPr>
              <w:b/>
              <w:bCs/>
              <w:noProof/>
            </w:rPr>
          </w:pPr>
          <w:r>
            <w:rPr>
              <w:b/>
              <w:bCs/>
              <w:noProof/>
            </w:rPr>
            <w:fldChar w:fldCharType="end"/>
          </w:r>
        </w:p>
      </w:sdtContent>
    </w:sdt>
    <w:p w14:paraId="2AE5CCCE" w14:textId="77777777" w:rsidR="004907AA" w:rsidRPr="00623B86" w:rsidRDefault="004907AA" w:rsidP="004F53F4">
      <w:pPr>
        <w:rPr>
          <w:b/>
          <w:bCs/>
        </w:rPr>
      </w:pPr>
    </w:p>
    <w:p w14:paraId="04518616" w14:textId="77777777" w:rsidR="004907AA" w:rsidRDefault="004907AA">
      <w:r>
        <w:br w:type="page"/>
      </w:r>
    </w:p>
    <w:p w14:paraId="2CF70F0D" w14:textId="08CCCCB0" w:rsidR="004907AA" w:rsidRDefault="004907AA" w:rsidP="00D452FF">
      <w:pPr>
        <w:pStyle w:val="Heading1"/>
        <w:numPr>
          <w:ilvl w:val="0"/>
          <w:numId w:val="0"/>
        </w:numPr>
      </w:pPr>
      <w:bookmarkStart w:id="0" w:name="_Toc243729872"/>
      <w:r w:rsidRPr="004907AA">
        <w:lastRenderedPageBreak/>
        <w:t>Executive Summary</w:t>
      </w:r>
      <w:bookmarkEnd w:id="0"/>
    </w:p>
    <w:p w14:paraId="4462BF97" w14:textId="77777777" w:rsidR="00C657EA" w:rsidRDefault="00013868" w:rsidP="00C657EA">
      <w:r>
        <w:t xml:space="preserve"> </w:t>
      </w:r>
      <w:r w:rsidR="00C657EA">
        <w:t>This investigation examines two operational signals identified in the Power BI report: a sharp decline in net revenue per order toward the end of 2017 despite continued order volume, and high late-delivery-risk rates for selected shipping modes. The analysis uses cleaned DataCo Supply Chain data organized into order-level and order-item-level tables.</w:t>
      </w:r>
    </w:p>
    <w:p w14:paraId="1B5CE6D7" w14:textId="77777777" w:rsidR="00C657EA" w:rsidRDefault="00C657EA" w:rsidP="00C657EA"/>
    <w:p w14:paraId="5610778F" w14:textId="77777777" w:rsidR="00C657EA" w:rsidRDefault="00C657EA" w:rsidP="00C657EA">
      <w:r>
        <w:t>The initial data review indicates that order counts alone do not explain revenue performance. In particular, November and December 2017 show a marked reduction in net revenue per order alongside an unusual pattern of exactly one item row and one unit per order. This pattern should be treated as a data-quality or source-structure question until checked against the raw source, rather than immediately interpreted as a genuine change in customer purchasing behavior.</w:t>
      </w:r>
    </w:p>
    <w:p w14:paraId="50C77E4B" w14:textId="77777777" w:rsidR="00C657EA" w:rsidRDefault="00C657EA" w:rsidP="00C657EA"/>
    <w:p w14:paraId="5534DECA" w14:textId="1044D8D1" w:rsidR="00D452FF" w:rsidRDefault="00C657EA" w:rsidP="00C657EA">
      <w:r>
        <w:t>The shipping-mode results also warrant investigation. The observed late-delivery-risk rates are highest for First Class and Second Class shipments, but the risk flag matches the delivery-status label in the cleaned data. These fields therefore should not be treated as independent confirmation of lateness. The report will document the supporting calculations, limitations, and follow-up checks before translating the results into management actions.</w:t>
      </w:r>
      <w:r w:rsidR="00BC52CC">
        <w:br w:type="page"/>
      </w:r>
    </w:p>
    <w:p w14:paraId="20B925B1" w14:textId="63C40503" w:rsidR="004907AA" w:rsidRDefault="004907AA" w:rsidP="00D452FF">
      <w:pPr>
        <w:pStyle w:val="Heading1"/>
        <w:numPr>
          <w:ilvl w:val="0"/>
          <w:numId w:val="4"/>
        </w:numPr>
      </w:pPr>
      <w:bookmarkStart w:id="1" w:name="_Toc243729873"/>
      <w:r w:rsidRPr="004907AA">
        <w:lastRenderedPageBreak/>
        <w:t>Introduction</w:t>
      </w:r>
      <w:bookmarkEnd w:id="1"/>
    </w:p>
    <w:p w14:paraId="7179DFF8" w14:textId="77777777" w:rsidR="00C657EA" w:rsidRDefault="00C657EA" w:rsidP="00C657EA">
      <w:r>
        <w:t>Supply chain dashboards help managers monitor commercial performance and delivery execution, but a dashboard signal is only the starting point for an investigation. A change in sales or delivery performance may reflect operational conditions, customer behavior, product mix, data definitions, or limitations in the source data. Distinguishing among these explanations is necessary before recommending corrective action.</w:t>
      </w:r>
    </w:p>
    <w:p w14:paraId="6B921B9C" w14:textId="77777777" w:rsidR="00C657EA" w:rsidRDefault="00C657EA" w:rsidP="00C657EA"/>
    <w:p w14:paraId="5F3A2CE0" w14:textId="77777777" w:rsidR="00C657EA" w:rsidRDefault="00C657EA" w:rsidP="00C657EA">
      <w:r>
        <w:t>This report investigates two signals surfaced during review of the DataCo Supply Chain Power BI dashboard. First, net revenue falls substantially in the final months of 2017 even though recorded order counts remain comparatively high. The key question is whether the change reflects lower value per order, fewer items or units per order, a change in product or customer mix, or an issue in the data pipeline. Second, late-delivery-risk rates differ substantially across shipping modes. The analysis asks how those differences should be interpreted and what additional checks are needed before attributing them to shipping-mode performance.</w:t>
      </w:r>
    </w:p>
    <w:p w14:paraId="55D87B4B" w14:textId="77777777" w:rsidR="00C657EA" w:rsidRDefault="00C657EA" w:rsidP="00C657EA"/>
    <w:p w14:paraId="1D9E187A" w14:textId="6CFED7FE" w:rsidR="00BC52CC" w:rsidRDefault="00C657EA" w:rsidP="00C657EA">
      <w:r>
        <w:t>The purpose is not to assume a cause from a chart. It is to separate observed facts from hypotheses, test whether the data supports the interpretation, and identify practical next steps for supply chain management.</w:t>
      </w:r>
    </w:p>
    <w:p w14:paraId="4B9BB895" w14:textId="73DA6D40" w:rsidR="004907AA" w:rsidRDefault="004907AA">
      <w:r>
        <w:br w:type="page"/>
      </w:r>
    </w:p>
    <w:p w14:paraId="1633CD95" w14:textId="494D3166" w:rsidR="004907AA" w:rsidRDefault="004907AA" w:rsidP="00D452FF">
      <w:pPr>
        <w:pStyle w:val="Heading1"/>
      </w:pPr>
      <w:bookmarkStart w:id="2" w:name="_Toc243729874"/>
      <w:r w:rsidRPr="004907AA">
        <w:lastRenderedPageBreak/>
        <w:t>Methodology</w:t>
      </w:r>
      <w:bookmarkEnd w:id="2"/>
    </w:p>
    <w:p w14:paraId="2D1A256D" w14:textId="77777777" w:rsidR="00C657EA" w:rsidRDefault="00C657EA" w:rsidP="00C657EA">
      <w:r>
        <w:t>The analysis uses the cleaned CSV exports prepared from the DataCo Supply Chain dataset and the existing Power BI dashboard as the signal-detection layer. The data is organized into a star-schema-style structure, including separate order-level and order-item-level fact tables. These tables have different grains and must be used carefully: order counts should be calculated from distinct order identifiers, while revenue and item quantities should be aggregated at the order-item level.</w:t>
      </w:r>
    </w:p>
    <w:p w14:paraId="5F1A90C6" w14:textId="77777777" w:rsidR="00C657EA" w:rsidRDefault="00C657EA" w:rsidP="00C657EA"/>
    <w:p w14:paraId="1930F564" w14:textId="77777777" w:rsidR="00C657EA" w:rsidRDefault="00C657EA" w:rsidP="00C657EA">
      <w:r>
        <w:t>The investigation follows these steps:</w:t>
      </w:r>
    </w:p>
    <w:p w14:paraId="0642C1AB" w14:textId="77777777" w:rsidR="00C657EA" w:rsidRDefault="00C657EA" w:rsidP="00C657EA"/>
    <w:p w14:paraId="4A0C6369" w14:textId="382A59C1" w:rsidR="00C657EA" w:rsidRDefault="00C657EA" w:rsidP="00C657EA">
      <w:pPr>
        <w:pStyle w:val="ListParagraph"/>
        <w:numPr>
          <w:ilvl w:val="0"/>
          <w:numId w:val="5"/>
        </w:numPr>
      </w:pPr>
      <w:r w:rsidRPr="00C657EA">
        <w:rPr>
          <w:b/>
          <w:bCs/>
          <w:u w:val="single"/>
        </w:rPr>
        <w:t>Validate data structure</w:t>
      </w:r>
      <w:r>
        <w:t>: Check table row counts, key uniqueness, missing values where relevant, and whether each order-item record maps to an order record.</w:t>
      </w:r>
    </w:p>
    <w:p w14:paraId="584E8604" w14:textId="50CA5012" w:rsidR="00C657EA" w:rsidRDefault="00C657EA" w:rsidP="00C657EA">
      <w:pPr>
        <w:pStyle w:val="ListParagraph"/>
        <w:numPr>
          <w:ilvl w:val="0"/>
          <w:numId w:val="5"/>
        </w:numPr>
      </w:pPr>
      <w:r w:rsidRPr="00C657EA">
        <w:rPr>
          <w:b/>
          <w:bCs/>
          <w:u w:val="single"/>
        </w:rPr>
        <w:t>Define measures consistently</w:t>
      </w:r>
      <w:r>
        <w:t xml:space="preserve">: Use distinct order IDs for order volume and the dataset's </w:t>
      </w:r>
      <w:r w:rsidRPr="00C657EA">
        <w:rPr>
          <w:highlight w:val="lightGray"/>
        </w:rPr>
        <w:t>order_item_total</w:t>
      </w:r>
      <w:r>
        <w:t xml:space="preserve"> field for net revenue after discount, as defined for this project. Keep these separates from other sales fields unless their business definitions are confirmed.</w:t>
      </w:r>
    </w:p>
    <w:p w14:paraId="57781D3F" w14:textId="74CC7576" w:rsidR="00C657EA" w:rsidRDefault="00C657EA" w:rsidP="00C657EA">
      <w:pPr>
        <w:pStyle w:val="ListParagraph"/>
        <w:numPr>
          <w:ilvl w:val="0"/>
          <w:numId w:val="5"/>
        </w:numPr>
      </w:pPr>
      <w:r w:rsidRPr="00C657EA">
        <w:rPr>
          <w:b/>
          <w:bCs/>
          <w:u w:val="single"/>
        </w:rPr>
        <w:t>Decompose the revenue signal</w:t>
      </w:r>
      <w:r>
        <w:t>: Compare monthly order count, net revenue, net revenue per order, item rows per order, units per order, and—where useful—product or market mix. This helps determine whether the decline is associated with order value, basket size, mix, or possible data completeness issues.</w:t>
      </w:r>
    </w:p>
    <w:p w14:paraId="3606D2E7" w14:textId="6A03D389" w:rsidR="00C657EA" w:rsidRDefault="00C657EA" w:rsidP="00C657EA">
      <w:pPr>
        <w:pStyle w:val="ListParagraph"/>
        <w:numPr>
          <w:ilvl w:val="0"/>
          <w:numId w:val="5"/>
        </w:numPr>
      </w:pPr>
      <w:r w:rsidRPr="00C657EA">
        <w:rPr>
          <w:b/>
          <w:bCs/>
          <w:u w:val="single"/>
        </w:rPr>
        <w:t>Examine the shipping signal</w:t>
      </w:r>
      <w:r>
        <w:t>: Calculate late-delivery-risk rates by shipping mode and inspect the underlying delivery-status field. Since the risk flag and delivery-status label match on the cleaned item rows, treat them as linked representations of the same outcome rather than independent evidence.</w:t>
      </w:r>
    </w:p>
    <w:p w14:paraId="3ED5B9AA" w14:textId="77777777" w:rsidR="00C657EA" w:rsidRDefault="00C657EA" w:rsidP="00C657EA">
      <w:r>
        <w:lastRenderedPageBreak/>
        <w:t xml:space="preserve">5. </w:t>
      </w:r>
      <w:r w:rsidRPr="00C657EA">
        <w:rPr>
          <w:b/>
          <w:bCs/>
          <w:u w:val="single"/>
        </w:rPr>
        <w:t>Separate evidence from interpretation</w:t>
      </w:r>
      <w:r>
        <w:t>. Record descriptive findings first, then test plausible explanations against raw-source records and relevant segments before making causal claims.</w:t>
      </w:r>
    </w:p>
    <w:p w14:paraId="28408F1E" w14:textId="77777777" w:rsidR="00C657EA" w:rsidRDefault="00C657EA" w:rsidP="00C657EA"/>
    <w:p w14:paraId="7358BECF" w14:textId="4FBF3C00" w:rsidR="00BC52CC" w:rsidRDefault="00C657EA" w:rsidP="00C657EA">
      <w:r>
        <w:t>The analysis is descriptive and diagnostic, not a controlled causal study. Any explanation involving customer behavior, carrier performance, or operational policy remains provisional until the relevant source records and definitions have been verified. Results should be reproducible from the notebook and cleaned data exports.</w:t>
      </w:r>
    </w:p>
    <w:p w14:paraId="6B440C77" w14:textId="551DCD45" w:rsidR="004907AA" w:rsidRDefault="004907AA">
      <w:r>
        <w:br w:type="page"/>
      </w:r>
    </w:p>
    <w:p w14:paraId="4B0AD50B" w14:textId="3FDC8D94" w:rsidR="004907AA" w:rsidRDefault="004907AA" w:rsidP="00D452FF">
      <w:pPr>
        <w:pStyle w:val="Heading1"/>
      </w:pPr>
      <w:bookmarkStart w:id="3" w:name="_Toc243729875"/>
      <w:r w:rsidRPr="004907AA">
        <w:lastRenderedPageBreak/>
        <w:t>Findings and Analysis</w:t>
      </w:r>
      <w:bookmarkEnd w:id="3"/>
    </w:p>
    <w:p w14:paraId="09987056" w14:textId="4AE206AB" w:rsidR="00013868" w:rsidRDefault="00321E47" w:rsidP="00321E47">
      <w:pPr>
        <w:pStyle w:val="Heading3"/>
      </w:pPr>
      <w:bookmarkStart w:id="4" w:name="_Toc243729876"/>
      <w:r>
        <w:t>2015 vs 2016</w:t>
      </w:r>
      <w:bookmarkEnd w:id="4"/>
    </w:p>
    <w:p w14:paraId="51FADA8E" w14:textId="2DEC46DF" w:rsidR="00321E47" w:rsidRDefault="00321E47" w:rsidP="00321E47">
      <w:pPr>
        <w:pStyle w:val="Heading4"/>
      </w:pPr>
      <w:r w:rsidRPr="00321E47">
        <w:t>Executive Overview</w:t>
      </w:r>
    </w:p>
    <w:p w14:paraId="39729EC8" w14:textId="300B2D07" w:rsidR="00E21D6C" w:rsidRDefault="00E21D6C" w:rsidP="00E21D6C">
      <w:r>
        <w:t>Business performance remained relatively stable in 2016, although sales declined by 0.3%, orders by 0.2%, and quantity sold by 0.8%.</w:t>
      </w:r>
    </w:p>
    <w:p w14:paraId="6D67B55F" w14:textId="15D5397D" w:rsidR="00E21D6C" w:rsidRDefault="00E21D6C" w:rsidP="00E21D6C">
      <w:r>
        <w:t>USCA ($5.04M) and Pacific Asia ($4.45M) dominated sales, while Fan Shop led all departments with $6.2M in revenue.</w:t>
      </w:r>
    </w:p>
    <w:p w14:paraId="7E514643" w14:textId="4632618D" w:rsidR="00E21D6C" w:rsidRDefault="00E21D6C" w:rsidP="00E21D6C">
      <w:r>
        <w:t>However, delivery reliability emerged as the biggest concern, with 55.12% of orders arriving late. First Class (95.34%) and Second Class (76.98%) recorded particularly alarming late delivery rates.</w:t>
      </w:r>
    </w:p>
    <w:p w14:paraId="7D88E697" w14:textId="0F0176AC" w:rsidR="00321E47" w:rsidRPr="00321E47" w:rsidRDefault="00E21D6C" w:rsidP="00E21D6C">
      <w:r>
        <w:t>Overall, the business maintained its sales performance but continued to struggle with delivery efficiency. Improving shipping reliability should be a management priority.</w:t>
      </w:r>
    </w:p>
    <w:p w14:paraId="0EE3C24A" w14:textId="42DADF19" w:rsidR="00321E47" w:rsidRDefault="00321E47" w:rsidP="00321E47">
      <w:pPr>
        <w:pStyle w:val="Heading4"/>
      </w:pPr>
      <w:r w:rsidRPr="00321E47">
        <w:t>Supply Chain Performance</w:t>
      </w:r>
    </w:p>
    <w:p w14:paraId="7DDE2C53" w14:textId="66A59F15" w:rsidR="0085637D" w:rsidRDefault="0085637D" w:rsidP="0085637D">
      <w:r>
        <w:t>Supply chain performance remained a major challenge, with 55.12% of orders delivered late, affecting approximately 11,000 orders. Actual shipping took an average of 3.49 days, compared with 2.92 scheduled days, resulting in an average delay of 0.57 days.</w:t>
      </w:r>
    </w:p>
    <w:p w14:paraId="7ACFBF9C" w14:textId="4F576409" w:rsidR="00321E47" w:rsidRPr="00321E47" w:rsidRDefault="0085637D" w:rsidP="0085637D">
      <w:r>
        <w:t>First Class and Second Class were the main problem areas, with late delivery rates of 95.34% and 76.98%, respectively. In contrast, Same Day and Standard Class showed better delivery performance, although delays remained an issue.</w:t>
      </w:r>
    </w:p>
    <w:p w14:paraId="5D60119A" w14:textId="22E7566D" w:rsidR="00321E47" w:rsidRDefault="00321E47" w:rsidP="00321E47">
      <w:pPr>
        <w:pStyle w:val="Heading4"/>
      </w:pPr>
      <w:r w:rsidRPr="00321E47">
        <w:t>Product &amp; Department Analysis</w:t>
      </w:r>
    </w:p>
    <w:p w14:paraId="47DE6C1B" w14:textId="77777777" w:rsidR="00F22A3B" w:rsidRDefault="00F22A3B" w:rsidP="00F22A3B">
      <w:r>
        <w:t>Product performance remained strong, with $12.30M in sales and $1.31M in profit. However, profit declined by 0.7%, while the profit margin fell slightly to 11.85%, suggesting a small deterioration in profitability.</w:t>
      </w:r>
    </w:p>
    <w:p w14:paraId="3AE61ECD" w14:textId="77777777" w:rsidR="00F22A3B" w:rsidRDefault="00F22A3B" w:rsidP="00F22A3B"/>
    <w:p w14:paraId="2B71DDF3" w14:textId="293873E5" w:rsidR="00321E47" w:rsidRPr="00321E47" w:rsidRDefault="00F22A3B" w:rsidP="00F22A3B">
      <w:r>
        <w:lastRenderedPageBreak/>
        <w:t>Fan Shop dominated department revenue with approximately $5.6M, followed by Apparel at $2.4M and Golf at $1.5M. At the category level, Fishing led with $2.3M, followed by Cleats at $1.5M and Camping &amp; Hiking at $1.3M. Revenue was therefore concentrated in a limited number of departments and product categories.</w:t>
      </w:r>
    </w:p>
    <w:p w14:paraId="22DE3560" w14:textId="5D734F7F" w:rsidR="00321E47" w:rsidRDefault="00321E47" w:rsidP="00321E47">
      <w:pPr>
        <w:pStyle w:val="Heading4"/>
      </w:pPr>
      <w:r w:rsidRPr="00321E47">
        <w:t>Customer &amp; Market Analysis</w:t>
      </w:r>
    </w:p>
    <w:p w14:paraId="037B9200" w14:textId="3371A1C6" w:rsidR="00F22A3B" w:rsidRDefault="00F22A3B" w:rsidP="00F22A3B">
      <w:r>
        <w:t>The business served approximately 10K customers, up 0.9%, but revenue per customer declined by 1.2% to $1,081.59. Despite attracting more customers, the business generated slightly less revenue per customer, while total profit fell by 0.7%.</w:t>
      </w:r>
    </w:p>
    <w:p w14:paraId="588DCCE0" w14:textId="369CABA5" w:rsidR="00321E47" w:rsidRPr="00321E47" w:rsidRDefault="00F22A3B" w:rsidP="00F22A3B">
      <w:r>
        <w:t>Consumers represented the largest customer segment, generating $5.8M in net revenue and approximately $0.7M in profit, followed by Corporate and Home Office customers. Geographically, USCA generated the highest market profit at $560K, followed by Pacific Asia at $448K. However, Pacific Asia showed weaker profit margins for Consumer and Home Office customers, highlighting potential opportunities to improve profitability.</w:t>
      </w:r>
    </w:p>
    <w:p w14:paraId="40B77298" w14:textId="5BC73516" w:rsidR="00321E47" w:rsidRDefault="00321E47" w:rsidP="00321E47">
      <w:pPr>
        <w:pStyle w:val="Heading3"/>
      </w:pPr>
      <w:bookmarkStart w:id="5" w:name="_Toc243729877"/>
      <w:r>
        <w:t>2016 vs 2017</w:t>
      </w:r>
      <w:bookmarkEnd w:id="5"/>
    </w:p>
    <w:p w14:paraId="79F0A592" w14:textId="77777777" w:rsidR="00321E47" w:rsidRDefault="00321E47" w:rsidP="00321E47">
      <w:pPr>
        <w:pStyle w:val="Heading4"/>
        <w:numPr>
          <w:ilvl w:val="0"/>
          <w:numId w:val="8"/>
        </w:numPr>
      </w:pPr>
      <w:r w:rsidRPr="00321E47">
        <w:t>Executive Overview</w:t>
      </w:r>
    </w:p>
    <w:p w14:paraId="29FFE549" w14:textId="3724DEBB" w:rsidR="00545F27" w:rsidRDefault="00545F27" w:rsidP="00545F27">
      <w:r>
        <w:t>Business performance weakened in 2017, with sales declining by 4.0% to $11.81M despite a 4.8% increase in orders. Quantity sold fell by 22.7%, while average order value dropped by 8.4%, suggesting that more orders generated less sales value overall.</w:t>
      </w:r>
    </w:p>
    <w:p w14:paraId="4B93E5D5" w14:textId="590BDCDD" w:rsidR="00321E47" w:rsidRPr="00321E47" w:rsidRDefault="00545F27" w:rsidP="00545F27">
      <w:r>
        <w:t>LATAM and Europe dominated sales, contributing approximately $5.21M and $5.20M, respectively. Fan Shop remained the leading department at $4.7M. Meanwhile, the late delivery rate improved slightly to 54.54%, but more than half of orders still arrived late.</w:t>
      </w:r>
    </w:p>
    <w:p w14:paraId="200CBB3E" w14:textId="77777777" w:rsidR="00321E47" w:rsidRDefault="00321E47" w:rsidP="00321E47">
      <w:pPr>
        <w:pStyle w:val="Heading4"/>
      </w:pPr>
      <w:r w:rsidRPr="00321E47">
        <w:t>Supply Chain Performance</w:t>
      </w:r>
    </w:p>
    <w:p w14:paraId="51A634AB" w14:textId="48DC655C" w:rsidR="00545F27" w:rsidRDefault="00545F27" w:rsidP="00545F27">
      <w:r>
        <w:t xml:space="preserve">Delivery performance improved slightly in 2017, with the late delivery rate falling to 54.54%. However, approximately 12,000 orders were still delivered </w:t>
      </w:r>
      <w:r>
        <w:lastRenderedPageBreak/>
        <w:t>late. Actual shipping averaged 3.50 days against 2.94 scheduled days, leaving an average shipping variance of 0.56 days.</w:t>
      </w:r>
    </w:p>
    <w:p w14:paraId="00034853" w14:textId="703F563D" w:rsidR="00321E47" w:rsidRPr="00321E47" w:rsidRDefault="00545F27" w:rsidP="00545F27">
      <w:r>
        <w:t>First Class and Second Class remained the biggest problem areas, with late delivery rates of 94.50% and 76.43%, respectively. By market, Pacific Asia recorded the highest late delivery rate at 55.09%, while USCA had the lowest at 43.90%.</w:t>
      </w:r>
    </w:p>
    <w:p w14:paraId="2377EDE6" w14:textId="77777777" w:rsidR="00321E47" w:rsidRDefault="00321E47" w:rsidP="00321E47">
      <w:pPr>
        <w:pStyle w:val="Heading4"/>
      </w:pPr>
      <w:r w:rsidRPr="00321E47">
        <w:t>Product &amp; Department Analysis</w:t>
      </w:r>
    </w:p>
    <w:p w14:paraId="30659335" w14:textId="32359253" w:rsidR="00545F27" w:rsidRDefault="00545F27" w:rsidP="00545F27">
      <w:r>
        <w:t>Sales declined by 4.0% to $11.81M in 2017, while total profit fell by just 0.5% to $1.30M. Despite lower sales, profit margin improved by 0.44 percentage points to 12.29%, suggesting better overall profitability relative to revenue.</w:t>
      </w:r>
    </w:p>
    <w:p w14:paraId="545C9ADC" w14:textId="43CD334B" w:rsidR="00321E47" w:rsidRPr="00321E47" w:rsidRDefault="00545F27" w:rsidP="00545F27">
      <w:r>
        <w:t>Fan Shop remained the largest department at $4.3M, while Fishing led product categories with $1.71M in revenue. The number of distinct products sold increased significantly to 118, expanding the product range despite weaker overall sales.</w:t>
      </w:r>
    </w:p>
    <w:p w14:paraId="4AEE691F" w14:textId="77777777" w:rsidR="00321E47" w:rsidRDefault="00321E47" w:rsidP="00321E47">
      <w:pPr>
        <w:pStyle w:val="Heading4"/>
      </w:pPr>
      <w:r w:rsidRPr="00321E47">
        <w:t>Customer &amp; Market Analysis</w:t>
      </w:r>
    </w:p>
    <w:p w14:paraId="49573906" w14:textId="78E6CBF6" w:rsidR="00545F27" w:rsidRDefault="00545F27" w:rsidP="00545F27">
      <w:r>
        <w:t>The customer base expanded by 48.3% to approximately 15,000 customers in 2017, yet revenue per customer fell by 35.3% to $700.11. Net revenue declined by 4.0%, while total profit decreased by only 0.5% and profit margin improved to 12.29%. This suggests that customer growth did not translate into proportional revenue growth.</w:t>
      </w:r>
    </w:p>
    <w:p w14:paraId="4A9056B7" w14:textId="32336642" w:rsidR="00321E47" w:rsidRPr="00321E47" w:rsidRDefault="00545F27" w:rsidP="00545F27">
      <w:r>
        <w:t>Consumers remained the largest customer segment, generating approximately $5.5M in revenue, followed by Corporate at $3.2M. LATAM generated the highest market profit at approximately $581K, closely followed by Europe at $555K. In contrast, Pacific Asia generated substantially lower profit despite its revenue contribution.</w:t>
      </w:r>
    </w:p>
    <w:p w14:paraId="3719F59F" w14:textId="77777777" w:rsidR="00321E47" w:rsidRPr="00321E47" w:rsidRDefault="00321E47" w:rsidP="00321E47"/>
    <w:p w14:paraId="358C61B6" w14:textId="2E9CF6DF" w:rsidR="004907AA" w:rsidRDefault="004907AA">
      <w:r>
        <w:br w:type="page"/>
      </w:r>
    </w:p>
    <w:p w14:paraId="6F63E1A9" w14:textId="73691F78" w:rsidR="004907AA" w:rsidRDefault="004907AA" w:rsidP="00D452FF">
      <w:pPr>
        <w:pStyle w:val="Heading1"/>
      </w:pPr>
      <w:bookmarkStart w:id="6" w:name="_Toc243729878"/>
      <w:r w:rsidRPr="004907AA">
        <w:lastRenderedPageBreak/>
        <w:t>Conclusions</w:t>
      </w:r>
      <w:bookmarkEnd w:id="6"/>
    </w:p>
    <w:p w14:paraId="78E40FB5" w14:textId="77777777" w:rsidR="00545F27" w:rsidRDefault="00545F27" w:rsidP="00545F27">
      <w:r>
        <w:t>The analysis of supply chain performance from 2015 to 2017 reveals a business facing declining sales, persistent delivery delays, and changing customer behavior. While sales remained relatively stable in 2016, they declined by 4.0% in 2017, despite an increase in order volume. Customer numbers also grew significantly in 2017, but revenue per customer fell, indicating that customer growth did not translate into proportional revenue growth.</w:t>
      </w:r>
    </w:p>
    <w:p w14:paraId="603B90EF" w14:textId="77777777" w:rsidR="00545F27" w:rsidRDefault="00545F27" w:rsidP="00545F27"/>
    <w:p w14:paraId="68340D3E" w14:textId="77777777" w:rsidR="00545F27" w:rsidRDefault="00545F27" w:rsidP="00545F27">
      <w:r>
        <w:t>Operational efficiency remains a major concern, with late delivery rates exceeding 54% in both years. First Class and Second Class consistently recorded the highest delivery failure rates, highlighting the need to investigate shipping processes and improve delivery reliability. However, profitability showed resilience in 2017, as total profit declined only slightly and profit margin improved to 12.29%.</w:t>
      </w:r>
    </w:p>
    <w:p w14:paraId="2FECFD5C" w14:textId="77777777" w:rsidR="00545F27" w:rsidRDefault="00545F27" w:rsidP="00545F27"/>
    <w:p w14:paraId="10A47EF3" w14:textId="31C0733C" w:rsidR="00BC52CC" w:rsidRDefault="00545F27" w:rsidP="00545F27">
      <w:r>
        <w:t>Overall, the findings highlight three priorities: improving delivery performance, increasing revenue per customer, and protecting profitability while strengthening sales performance. Addressing these areas through data-driven decisions can help the business improve operational efficiency, enhance customer value, and build a more profitable and reliable supply chain.</w:t>
      </w:r>
    </w:p>
    <w:p w14:paraId="46A8B2C8" w14:textId="5E0C1593" w:rsidR="004907AA" w:rsidRDefault="004907AA">
      <w:r>
        <w:br w:type="page"/>
      </w:r>
    </w:p>
    <w:p w14:paraId="7C000B7E" w14:textId="756345D0" w:rsidR="004907AA" w:rsidRDefault="004907AA" w:rsidP="00D452FF">
      <w:pPr>
        <w:pStyle w:val="Heading1"/>
      </w:pPr>
      <w:bookmarkStart w:id="7" w:name="_Toc243729879"/>
      <w:r w:rsidRPr="004907AA">
        <w:lastRenderedPageBreak/>
        <w:t>Recommendations</w:t>
      </w:r>
      <w:bookmarkEnd w:id="7"/>
    </w:p>
    <w:p w14:paraId="5DFBB794" w14:textId="5D065CB9" w:rsidR="00545F27" w:rsidRDefault="00545F27" w:rsidP="00545F27">
      <w:r>
        <w:t>Based on the analysis of supply chain performance from 2015 to 2017, the following recommendations are proposed to improve operational efficiency, strengthen profitability, and support sustainable business growth.</w:t>
      </w:r>
    </w:p>
    <w:p w14:paraId="570C3ECB" w14:textId="0823B5E9" w:rsidR="00545F27" w:rsidRPr="00545F27" w:rsidRDefault="00545F27" w:rsidP="00545F27">
      <w:pPr>
        <w:pStyle w:val="ListParagraph"/>
        <w:numPr>
          <w:ilvl w:val="0"/>
          <w:numId w:val="9"/>
        </w:numPr>
        <w:rPr>
          <w:b/>
          <w:bCs/>
        </w:rPr>
      </w:pPr>
      <w:r w:rsidRPr="00545F27">
        <w:rPr>
          <w:b/>
          <w:bCs/>
        </w:rPr>
        <w:t>Improve Delivery Reliability</w:t>
      </w:r>
    </w:p>
    <w:p w14:paraId="0D02CE12" w14:textId="5552120C" w:rsidR="00545F27" w:rsidRDefault="00545F27" w:rsidP="00545F27">
      <w:r>
        <w:t>Late delivery rates remained above 54% across the analyzed years, with First Class and Second Class consistently experiencing the highest delays. Management should investigate carrier performance, fulfillment processes, and the accuracy of scheduled delivery times. Establishing regular monitoring of late delivery rates by shipping mode and market would help identify recurring problems and measure improvement.</w:t>
      </w:r>
    </w:p>
    <w:p w14:paraId="3307E327" w14:textId="295C4F11" w:rsidR="00545F27" w:rsidRPr="00545F27" w:rsidRDefault="00545F27" w:rsidP="00545F27">
      <w:pPr>
        <w:pStyle w:val="ListParagraph"/>
        <w:numPr>
          <w:ilvl w:val="0"/>
          <w:numId w:val="9"/>
        </w:numPr>
        <w:rPr>
          <w:b/>
          <w:bCs/>
        </w:rPr>
      </w:pPr>
      <w:r w:rsidRPr="00545F27">
        <w:rPr>
          <w:b/>
          <w:bCs/>
        </w:rPr>
        <w:t>Increase Revenue and Customer Value</w:t>
      </w:r>
    </w:p>
    <w:p w14:paraId="77EC64D1" w14:textId="2A5CF56E" w:rsidR="00545F27" w:rsidRDefault="00545F27" w:rsidP="00545F27">
      <w:r>
        <w:t>In 2017, sales declined by 4.0% despite a 4.8% increase in orders, while revenue per customer fell by 35.3%. Management should investigate the decline in average order value and customer spending. Targeted promotions, product bundling, cross-selling, and customer retention initiatives could encourage larger purchases and increase revenue per customer.</w:t>
      </w:r>
    </w:p>
    <w:p w14:paraId="59C0268F" w14:textId="388A3D43" w:rsidR="00545F27" w:rsidRPr="00545F27" w:rsidRDefault="00545F27" w:rsidP="00545F27">
      <w:pPr>
        <w:pStyle w:val="ListParagraph"/>
        <w:numPr>
          <w:ilvl w:val="0"/>
          <w:numId w:val="9"/>
        </w:numPr>
        <w:rPr>
          <w:b/>
          <w:bCs/>
        </w:rPr>
      </w:pPr>
      <w:r w:rsidRPr="00545F27">
        <w:rPr>
          <w:b/>
          <w:bCs/>
        </w:rPr>
        <w:t>Protect Profitability</w:t>
      </w:r>
    </w:p>
    <w:p w14:paraId="3B1D57AB" w14:textId="4849CACD" w:rsidR="00545F27" w:rsidRDefault="00545F27" w:rsidP="00545F27">
      <w:r>
        <w:t>Although total profit declined slightly in 2017, profit margin improved to 12.29%. Management should continue monitoring product-level and department-level profitability, review the costs associated with low-margin products, and prioritize products that generate sustainable profit rather than focusing solely on revenue growth.</w:t>
      </w:r>
    </w:p>
    <w:p w14:paraId="287A6928" w14:textId="132D34A8" w:rsidR="00545F27" w:rsidRPr="00545F27" w:rsidRDefault="00545F27" w:rsidP="00545F27">
      <w:pPr>
        <w:pStyle w:val="ListParagraph"/>
        <w:numPr>
          <w:ilvl w:val="0"/>
          <w:numId w:val="9"/>
        </w:numPr>
        <w:rPr>
          <w:b/>
          <w:bCs/>
        </w:rPr>
      </w:pPr>
      <w:r w:rsidRPr="00545F27">
        <w:rPr>
          <w:b/>
          <w:bCs/>
        </w:rPr>
        <w:t>Strengthen Market Performance</w:t>
      </w:r>
    </w:p>
    <w:p w14:paraId="37F6219A" w14:textId="7AC88448" w:rsidR="00545F27" w:rsidRDefault="00545F27" w:rsidP="00545F27">
      <w:r>
        <w:t xml:space="preserve">LATAM and Europe were the leading markets by sales in 2017, while USCA and Pacific Asia showed different profitability patterns compared with previous years. Management should evaluate revenue, profit margins, and delivery performance by market before allocating additional resources. This would </w:t>
      </w:r>
      <w:r>
        <w:lastRenderedPageBreak/>
        <w:t>help identify opportunities for profitable expansion and address underperforming regions.</w:t>
      </w:r>
    </w:p>
    <w:p w14:paraId="135063B1" w14:textId="730AA77E" w:rsidR="00545F27" w:rsidRPr="00545F27" w:rsidRDefault="00545F27" w:rsidP="00545F27">
      <w:pPr>
        <w:pStyle w:val="ListParagraph"/>
        <w:numPr>
          <w:ilvl w:val="0"/>
          <w:numId w:val="9"/>
        </w:numPr>
        <w:rPr>
          <w:b/>
          <w:bCs/>
        </w:rPr>
      </w:pPr>
      <w:r w:rsidRPr="00545F27">
        <w:rPr>
          <w:b/>
          <w:bCs/>
        </w:rPr>
        <w:t>Optimize Product and Department Strategy</w:t>
      </w:r>
    </w:p>
    <w:p w14:paraId="2E22F0CA" w14:textId="299BC8BE" w:rsidR="00545F27" w:rsidRDefault="00545F27" w:rsidP="00545F27">
      <w:r>
        <w:t>Fan Shop consistently generated the highest department revenue, while Fishing led product categories in 2017. Management should protect the availability of high-performing products, monitor inventory levels, and evaluate the profitability of the wider product portfolio. Lower-performing products should be reviewed to determine whether they require improved marketing, revised pricing, or reduced inventory commitments.</w:t>
      </w:r>
    </w:p>
    <w:p w14:paraId="73A4DEA3" w14:textId="1635D0E6" w:rsidR="00545F27" w:rsidRPr="00545F27" w:rsidRDefault="00545F27" w:rsidP="00545F27">
      <w:pPr>
        <w:pStyle w:val="ListParagraph"/>
        <w:numPr>
          <w:ilvl w:val="0"/>
          <w:numId w:val="9"/>
        </w:numPr>
        <w:rPr>
          <w:b/>
          <w:bCs/>
        </w:rPr>
      </w:pPr>
      <w:r w:rsidRPr="00545F27">
        <w:rPr>
          <w:b/>
          <w:bCs/>
        </w:rPr>
        <w:t>Establish Continuous Performance Monitoring</w:t>
      </w:r>
    </w:p>
    <w:p w14:paraId="137306F1" w14:textId="47D9683D" w:rsidR="004F53F4" w:rsidRPr="004F53F4" w:rsidRDefault="00545F27" w:rsidP="00545F27">
      <w:r>
        <w:t>Management should use the Power BI dashboards to track key performance indicators, including sales growth, profit margin, average order value, revenue per customer, late delivery rate, and shipping variance. Reviewing these indicators regularly against clear targets would support faster identification of problems and more informed operational decisions.</w:t>
      </w:r>
    </w:p>
    <w:sectPr w:rsidR="004F53F4" w:rsidRPr="004F5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5D3C"/>
    <w:multiLevelType w:val="hybridMultilevel"/>
    <w:tmpl w:val="243455C4"/>
    <w:lvl w:ilvl="0" w:tplc="C6FE79A4">
      <w:start w:val="1"/>
      <w:numFmt w:val="upperLetter"/>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0F7021"/>
    <w:multiLevelType w:val="hybridMultilevel"/>
    <w:tmpl w:val="E6AE4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B21F60"/>
    <w:multiLevelType w:val="hybridMultilevel"/>
    <w:tmpl w:val="3830F3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58626C"/>
    <w:multiLevelType w:val="hybridMultilevel"/>
    <w:tmpl w:val="144ACE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6B6910"/>
    <w:multiLevelType w:val="hybridMultilevel"/>
    <w:tmpl w:val="6E4247F0"/>
    <w:lvl w:ilvl="0" w:tplc="1DDCDF62">
      <w:start w:val="1"/>
      <w:numFmt w:val="decimal"/>
      <w:lvlText w:val="%1."/>
      <w:lvlJc w:val="left"/>
      <w:pPr>
        <w:ind w:left="720"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886C14"/>
    <w:multiLevelType w:val="hybridMultilevel"/>
    <w:tmpl w:val="183C3B14"/>
    <w:lvl w:ilvl="0" w:tplc="6A327B1A">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7175DD"/>
    <w:multiLevelType w:val="hybridMultilevel"/>
    <w:tmpl w:val="AAC6F308"/>
    <w:lvl w:ilvl="0" w:tplc="29C25278">
      <w:start w:val="1"/>
      <w:numFmt w:val="decimal"/>
      <w:pStyle w:val="Heading4"/>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668703306">
    <w:abstractNumId w:val="2"/>
  </w:num>
  <w:num w:numId="2" w16cid:durableId="1816139778">
    <w:abstractNumId w:val="3"/>
  </w:num>
  <w:num w:numId="3" w16cid:durableId="2100252436">
    <w:abstractNumId w:val="5"/>
  </w:num>
  <w:num w:numId="4" w16cid:durableId="1616520204">
    <w:abstractNumId w:val="5"/>
    <w:lvlOverride w:ilvl="0">
      <w:startOverride w:val="1"/>
    </w:lvlOverride>
  </w:num>
  <w:num w:numId="5" w16cid:durableId="1218711443">
    <w:abstractNumId w:val="1"/>
  </w:num>
  <w:num w:numId="6" w16cid:durableId="1976567795">
    <w:abstractNumId w:val="0"/>
  </w:num>
  <w:num w:numId="7" w16cid:durableId="274483160">
    <w:abstractNumId w:val="6"/>
  </w:num>
  <w:num w:numId="8" w16cid:durableId="1532843459">
    <w:abstractNumId w:val="6"/>
    <w:lvlOverride w:ilvl="0">
      <w:startOverride w:val="1"/>
    </w:lvlOverride>
  </w:num>
  <w:num w:numId="9" w16cid:durableId="1838029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88F"/>
    <w:rsid w:val="00013868"/>
    <w:rsid w:val="000D5A82"/>
    <w:rsid w:val="001E35A5"/>
    <w:rsid w:val="00283EFD"/>
    <w:rsid w:val="00321E47"/>
    <w:rsid w:val="003A4114"/>
    <w:rsid w:val="004907AA"/>
    <w:rsid w:val="004976F5"/>
    <w:rsid w:val="004F53F4"/>
    <w:rsid w:val="00545F27"/>
    <w:rsid w:val="00623B86"/>
    <w:rsid w:val="006C70C8"/>
    <w:rsid w:val="0085637D"/>
    <w:rsid w:val="008B588F"/>
    <w:rsid w:val="00AB3B7D"/>
    <w:rsid w:val="00B257E5"/>
    <w:rsid w:val="00BA60B9"/>
    <w:rsid w:val="00BC52CC"/>
    <w:rsid w:val="00C4160A"/>
    <w:rsid w:val="00C657EA"/>
    <w:rsid w:val="00D452FF"/>
    <w:rsid w:val="00D96BE6"/>
    <w:rsid w:val="00DE43A9"/>
    <w:rsid w:val="00E21D6C"/>
    <w:rsid w:val="00F22A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2D9AB"/>
  <w15:chartTrackingRefBased/>
  <w15:docId w15:val="{BFB695DF-B4B2-441F-AD71-CBBEBECD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3F4"/>
    <w:rPr>
      <w:sz w:val="28"/>
    </w:rPr>
  </w:style>
  <w:style w:type="paragraph" w:styleId="Heading1">
    <w:name w:val="heading 1"/>
    <w:basedOn w:val="Normal"/>
    <w:next w:val="Normal"/>
    <w:link w:val="Heading1Char"/>
    <w:uiPriority w:val="9"/>
    <w:qFormat/>
    <w:rsid w:val="008B588F"/>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5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1E47"/>
    <w:pPr>
      <w:keepNext/>
      <w:keepLines/>
      <w:numPr>
        <w:numId w:val="6"/>
      </w:numPr>
      <w:spacing w:before="160" w:after="80"/>
      <w:outlineLvl w:val="2"/>
    </w:pPr>
    <w:rPr>
      <w:rFonts w:eastAsiaTheme="majorEastAsia" w:cstheme="majorBidi"/>
      <w:color w:val="0F4761" w:themeColor="accent1" w:themeShade="BF"/>
      <w:sz w:val="32"/>
      <w:szCs w:val="28"/>
    </w:rPr>
  </w:style>
  <w:style w:type="paragraph" w:styleId="Heading4">
    <w:name w:val="heading 4"/>
    <w:basedOn w:val="Normal"/>
    <w:next w:val="Normal"/>
    <w:link w:val="Heading4Char"/>
    <w:uiPriority w:val="9"/>
    <w:unhideWhenUsed/>
    <w:qFormat/>
    <w:rsid w:val="008B588F"/>
    <w:pPr>
      <w:keepNext/>
      <w:keepLines/>
      <w:numPr>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5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1E47"/>
    <w:rPr>
      <w:rFonts w:eastAsiaTheme="majorEastAsia" w:cstheme="majorBidi"/>
      <w:color w:val="0F4761" w:themeColor="accent1" w:themeShade="BF"/>
      <w:sz w:val="32"/>
      <w:szCs w:val="28"/>
    </w:rPr>
  </w:style>
  <w:style w:type="character" w:customStyle="1" w:styleId="Heading4Char">
    <w:name w:val="Heading 4 Char"/>
    <w:basedOn w:val="DefaultParagraphFont"/>
    <w:link w:val="Heading4"/>
    <w:uiPriority w:val="9"/>
    <w:rsid w:val="008B5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88F"/>
    <w:rPr>
      <w:rFonts w:eastAsiaTheme="majorEastAsia" w:cstheme="majorBidi"/>
      <w:color w:val="272727" w:themeColor="text1" w:themeTint="D8"/>
    </w:rPr>
  </w:style>
  <w:style w:type="paragraph" w:styleId="Title">
    <w:name w:val="Title"/>
    <w:basedOn w:val="Normal"/>
    <w:next w:val="Normal"/>
    <w:link w:val="TitleChar"/>
    <w:uiPriority w:val="10"/>
    <w:qFormat/>
    <w:rsid w:val="008B5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88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B5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88F"/>
    <w:pPr>
      <w:spacing w:before="160"/>
      <w:jc w:val="center"/>
    </w:pPr>
    <w:rPr>
      <w:i/>
      <w:iCs/>
      <w:color w:val="404040" w:themeColor="text1" w:themeTint="BF"/>
    </w:rPr>
  </w:style>
  <w:style w:type="character" w:customStyle="1" w:styleId="QuoteChar">
    <w:name w:val="Quote Char"/>
    <w:basedOn w:val="DefaultParagraphFont"/>
    <w:link w:val="Quote"/>
    <w:uiPriority w:val="29"/>
    <w:rsid w:val="008B588F"/>
    <w:rPr>
      <w:i/>
      <w:iCs/>
      <w:color w:val="404040" w:themeColor="text1" w:themeTint="BF"/>
    </w:rPr>
  </w:style>
  <w:style w:type="paragraph" w:styleId="ListParagraph">
    <w:name w:val="List Paragraph"/>
    <w:basedOn w:val="Normal"/>
    <w:uiPriority w:val="34"/>
    <w:qFormat/>
    <w:rsid w:val="00C657EA"/>
    <w:pPr>
      <w:ind w:left="720"/>
      <w:contextualSpacing/>
    </w:pPr>
  </w:style>
  <w:style w:type="character" w:styleId="IntenseEmphasis">
    <w:name w:val="Intense Emphasis"/>
    <w:basedOn w:val="DefaultParagraphFont"/>
    <w:uiPriority w:val="21"/>
    <w:qFormat/>
    <w:rsid w:val="008B588F"/>
    <w:rPr>
      <w:i/>
      <w:iCs/>
      <w:color w:val="0F4761" w:themeColor="accent1" w:themeShade="BF"/>
    </w:rPr>
  </w:style>
  <w:style w:type="paragraph" w:styleId="IntenseQuote">
    <w:name w:val="Intense Quote"/>
    <w:basedOn w:val="Normal"/>
    <w:next w:val="Normal"/>
    <w:link w:val="IntenseQuoteChar"/>
    <w:uiPriority w:val="30"/>
    <w:qFormat/>
    <w:rsid w:val="008B5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88F"/>
    <w:rPr>
      <w:i/>
      <w:iCs/>
      <w:color w:val="0F4761" w:themeColor="accent1" w:themeShade="BF"/>
    </w:rPr>
  </w:style>
  <w:style w:type="character" w:styleId="IntenseReference">
    <w:name w:val="Intense Reference"/>
    <w:basedOn w:val="DefaultParagraphFont"/>
    <w:uiPriority w:val="32"/>
    <w:qFormat/>
    <w:rsid w:val="008B588F"/>
    <w:rPr>
      <w:b/>
      <w:bCs/>
      <w:smallCaps/>
      <w:color w:val="0F4761" w:themeColor="accent1" w:themeShade="BF"/>
      <w:spacing w:val="5"/>
    </w:rPr>
  </w:style>
  <w:style w:type="paragraph" w:styleId="TOCHeading">
    <w:name w:val="TOC Heading"/>
    <w:basedOn w:val="Heading1"/>
    <w:next w:val="Normal"/>
    <w:uiPriority w:val="39"/>
    <w:unhideWhenUsed/>
    <w:qFormat/>
    <w:rsid w:val="00D452F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452FF"/>
    <w:pPr>
      <w:spacing w:after="100"/>
    </w:pPr>
  </w:style>
  <w:style w:type="character" w:styleId="Hyperlink">
    <w:name w:val="Hyperlink"/>
    <w:basedOn w:val="DefaultParagraphFont"/>
    <w:uiPriority w:val="99"/>
    <w:unhideWhenUsed/>
    <w:rsid w:val="00D452FF"/>
    <w:rPr>
      <w:color w:val="467886" w:themeColor="hyperlink"/>
      <w:u w:val="single"/>
    </w:rPr>
  </w:style>
  <w:style w:type="paragraph" w:styleId="TOC2">
    <w:name w:val="toc 2"/>
    <w:basedOn w:val="Normal"/>
    <w:next w:val="Normal"/>
    <w:autoRedefine/>
    <w:uiPriority w:val="39"/>
    <w:unhideWhenUsed/>
    <w:rsid w:val="00321E47"/>
    <w:pPr>
      <w:spacing w:after="100"/>
      <w:ind w:left="280"/>
    </w:pPr>
  </w:style>
  <w:style w:type="paragraph" w:styleId="TOC3">
    <w:name w:val="toc 3"/>
    <w:basedOn w:val="Normal"/>
    <w:next w:val="Normal"/>
    <w:autoRedefine/>
    <w:uiPriority w:val="39"/>
    <w:unhideWhenUsed/>
    <w:rsid w:val="00321E47"/>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C3DA4-EA82-477E-BE73-90B110FAD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12</Pages>
  <Words>2137</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Noui</dc:creator>
  <cp:keywords/>
  <dc:description/>
  <cp:lastModifiedBy>Achraf Noui</cp:lastModifiedBy>
  <cp:revision>13</cp:revision>
  <dcterms:created xsi:type="dcterms:W3CDTF">2026-10-23T19:56:00Z</dcterms:created>
  <dcterms:modified xsi:type="dcterms:W3CDTF">2026-10-24T10:15:00Z</dcterms:modified>
</cp:coreProperties>
</file>