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with Priya Nair, held 8 July 2026.</w:t>
      </w:r>
    </w:p>
    <w:p>
      <w:r>
        <w:t>Priya is still working part time and confirmed her circumstances and objectives are unchanged. She remains comfortable with the cautious-to-moderate approach agreed last year.</w:t>
      </w:r>
    </w:p>
    <w:p>
      <w:r>
        <w:t>She has cash on deposit in her Northline cash account and wants to use part of this year's ISA allowance.</w:t>
      </w:r>
    </w:p>
    <w:p>
      <w:r>
        <w:t>We agreed she would move £12,500 from the cash account into the Stocks &amp; Shares ISA. Nothing is being sold. There is no disposal.</w:t>
      </w:r>
    </w:p>
    <w:p>
      <w:r>
        <w:t>She has no income requirement from the portfolio. A future gift to her niece was mentioned and is not for this report.</w:t>
      </w:r>
    </w:p>
    <w:p>
      <w:r>
        <w:t>Next steps: prepare the advice report covering the ISA top-up.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