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 meeting with Owen and Leah Blake, held 18 June 2026.</w:t>
      </w:r>
    </w:p>
    <w:p>
      <w:r>
        <w:t>Both are retired. Objectives are unchanged. A planned cruise has no bearing on the advice.</w:t>
      </w:r>
    </w:p>
    <w:p>
      <w:r>
        <w:t>I pulled the joint General Investment Account up live. It was showing £71,400, higher than the April valuation on the snapshot.</w:t>
      </w:r>
    </w:p>
    <w:p>
      <w:r>
        <w:t>We agreed to disinvest the joint GIA in full and split the proceeds equally between the two Stocks &amp; Shares ISAs.</w:t>
      </w:r>
    </w:p>
    <w:p>
      <w:r>
        <w:t>Selling the GIA is a disposal and may create a capital gains position. I will not quote a tax figure in the meeting.</w:t>
      </w:r>
    </w:p>
    <w:p>
      <w:r>
        <w:t>Next steps: report covering both ISAs and the joint 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