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with Nina Petrova on 4 April 2026.</w:t>
      </w:r>
    </w:p>
    <w:p>
      <w:r>
        <w:t>She will fund an £8,000 ISA top-up from cash at her bank. The ISA itself was last valued at £22,000 and we did not see a different figure.</w:t>
      </w:r>
    </w:p>
    <w:p>
      <w:r>
        <w:t>No disposal. Objectives unchanged: long-term growth, no income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