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Meeting with Elena Voss on 16 April 2026. This supersedes the February note.</w:t>
      </w:r>
    </w:p>
    <w:p>
      <w:r>
        <w:t>We agreed a £6,000 top-up from her bonus. Nothing is being sold.</w:t>
      </w:r>
    </w:p>
    <w:p>
      <w:r>
        <w:t>Circumstances unchanged. She is still employed.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