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Orchard Platform: Quarterly Investment Update</w:t>
      </w:r>
    </w:p>
    <w:p>
      <w:r>
        <w:t>This note is general market commentary and does not relate to any individual client.</w:t>
      </w:r>
    </w:p>
    <w:p>
      <w:r>
        <w:t>Clients sometimes ask about a model portfolio that stood at £250,000. That figure is not Chris Daley's holding.</w:t>
      </w:r>
    </w:p>
    <w:p>
      <w:r>
        <w:t>Our in-house Orchard Growth sleeve returned 4.2 per cent. Capital is at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