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Planning meeting with Victor Lang on 7 May 2026.</w:t>
      </w:r>
    </w:p>
    <w:p>
      <w:r>
        <w:t>He sold a workshop. Completion money of £80,000 was received on 2 May 2026 and is sitting with his solicitor. That is received proceeds, not an account balance.</w:t>
      </w:r>
    </w:p>
    <w:p>
      <w:r>
        <w:t>£22,000 of that completion money is already committed to repay a loan. That repayment is not available to invest.</w:t>
      </w:r>
    </w:p>
    <w:p>
      <w:r>
        <w:t>A further £30,000 is contingent on a retention and has not been received. Do not invest it.</w:t>
      </w:r>
    </w:p>
    <w:p>
      <w:r>
        <w:t>Available to invest now is £18,000, which we agreed to move into the ISA. Moving £18,000 is a transfer, not a new balance on the cash account. The cash account remains £74,000.</w:t>
      </w:r>
    </w:p>
    <w:p>
      <w:r>
        <w:t>Separately, sell £7,500 of the GIA. That sale is a disposal. The GIA balance stays £50,000 until the sale settles.</w:t>
      </w:r>
    </w:p>
    <w:p>
      <w:r>
        <w:t>Do not treat £80,000, £22,000, £30,000, £18,000, or £7,500 as a replacement for any account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