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Claire Dupont on 28 May 2026.</w:t>
      </w:r>
    </w:p>
    <w:p>
      <w:r>
        <w:t>The bond is denominated in US dollars and was valued at USD 125,000. Do not present that as pounds.</w:t>
      </w:r>
    </w:p>
    <w:p>
      <w:r>
        <w:t>Add a further USD 10,000 premium. Nothing is being sold.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