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Margaret Ellis on 21 August 2026.</w:t>
      </w:r>
    </w:p>
    <w:p>
      <w:r>
        <w:t>Her father died in June. She has received £95,000 from the estate, now in the Wendon cash account. Refer to this carefully.</w:t>
      </w:r>
    </w:p>
    <w:p>
      <w:r>
        <w:t>She would like £20,000 moved into the ISA. Nothing is being sold.</w:t>
      </w:r>
    </w:p>
    <w:p>
      <w:r>
        <w:t>A holiday plan and a possible gift to a cousin are not part of this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