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Planning meeting with Arthur and Noor Singh on 2 April 2026.</w:t>
      </w:r>
    </w:p>
    <w:p>
      <w:r>
        <w:t>Arthur completed the sale of his dental practice in March. Completion proceeds of £420,000 were received on 18 March 2026.</w:t>
      </w:r>
    </w:p>
    <w:p>
      <w:r>
        <w:t>£90,000 of that is committed to a director's loan repayment and is not available.</w:t>
      </w:r>
    </w:p>
    <w:p>
      <w:r>
        <w:t>£60,000 is a retention, contingent on a two-year clawback, and has not been received.</w:t>
      </w:r>
    </w:p>
    <w:p>
      <w:r>
        <w:t>Available now is £270,000.</w:t>
      </w:r>
    </w:p>
    <w:p>
      <w:r>
        <w:t>The Fairview joint GIA was £110,000 on 20 January 2026. Live on 2 April 2026 it showed £118,500.</w:t>
      </w:r>
    </w:p>
    <w:p>
      <w:r>
        <w:t>We agreed to use both ISA allowances, contribute to Arthur's SIPP, leave the Loxley onshore bond unchanged, and place the rest in a new joint investment account.</w:t>
      </w:r>
    </w:p>
    <w:p>
      <w:r>
        <w:t>The Junior ISA is the child's and is out of scope.</w:t>
      </w:r>
    </w:p>
    <w:p>
      <w:r>
        <w:t>Sell £10,000 of the joint GIA as a rebalance. That is a disposal.</w:t>
      </w:r>
    </w:p>
    <w:p>
      <w:r>
        <w:t>Fee rates were not confirmed in the meeting.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