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Fairview: Quarterly Investment Update</w:t>
      </w:r>
    </w:p>
    <w:p>
      <w:r>
        <w:t>Sent to all advised clients. This note is general market commentary and does not relate to any individual client's accounts or recommendations.</w:t>
      </w:r>
    </w:p>
    <w:p>
      <w:r>
        <w:t>Equity markets were mixed over the quarter. Inflation eased in most major economies and policy rates were left unchanged.</w:t>
      </w:r>
    </w:p>
    <w:p>
      <w:r>
        <w:t>Our in-house Fairview Balanced Sleeve, an illustrative model allocation, returned 3.1 per cent over the quarter and stood at around £900,000 in aggregate at quarter-end. This is a platform figure and is not a holding in any individual client's portfolio.</w:t>
      </w:r>
    </w:p>
    <w:p>
      <w:r>
        <w:t>Stay invested in line with an agreed risk profile. Capital is at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