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Lucia Ferrer on 4 September 2026.</w:t>
      </w:r>
    </w:p>
    <w:p>
      <w:r>
        <w:t>The amount we agreed is written in the inbox note, not here, because the figure arrived after the meeting.</w:t>
      </w:r>
    </w:p>
    <w:p>
      <w:r>
        <w:t>No sale. Circumstances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