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5ADB7" w14:textId="77777777" w:rsidR="00487187" w:rsidRDefault="00487187" w:rsidP="00487187">
      <w:pPr>
        <w:spacing w:line="273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color w:val="000000"/>
          <w:sz w:val="22"/>
          <w:szCs w:val="22"/>
        </w:rPr>
        <w:t>Savitzky-Golay</w:t>
      </w:r>
      <w:proofErr w:type="spellEnd"/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filter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derivation</w:t>
      </w:r>
    </w:p>
    <w:p w14:paraId="46362158" w14:textId="77777777" w:rsidR="00DE2602" w:rsidRPr="00487187" w:rsidRDefault="00DE2602" w:rsidP="00487187">
      <w:pPr>
        <w:spacing w:line="273" w:lineRule="auto"/>
        <w:rPr>
          <w:rFonts w:ascii="Times New Roman" w:eastAsia="Times New Roman" w:hAnsi="Times New Roman" w:cs="Times New Roman"/>
        </w:rPr>
      </w:pPr>
    </w:p>
    <w:p w14:paraId="25A9FAF9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1) See also the derivation in 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>Numerical Recipes</w:t>
      </w:r>
      <w:r w:rsidR="00DE2602">
        <w:rPr>
          <w:rFonts w:ascii="Calibri" w:eastAsia="Times New Roman" w:hAnsi="Calibri" w:cs="Times New Roman"/>
          <w:color w:val="000000"/>
          <w:sz w:val="22"/>
          <w:szCs w:val="22"/>
        </w:rPr>
        <w:t xml:space="preserve"> (available online) 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section 14.8, p. 651.</w:t>
      </w:r>
    </w:p>
    <w:p w14:paraId="050DD94F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</w:rPr>
        <w:t xml:space="preserve">2) a nice article is On the Frequency-Domain Properties of </w:t>
      </w:r>
      <w:proofErr w:type="spellStart"/>
      <w:r w:rsidRPr="00487187">
        <w:rPr>
          <w:rFonts w:ascii="Calibri" w:eastAsia="Times New Roman" w:hAnsi="Calibri" w:cs="Times New Roman"/>
        </w:rPr>
        <w:t>Savitzky-Golay</w:t>
      </w:r>
      <w:proofErr w:type="spellEnd"/>
      <w:r w:rsidRPr="00487187">
        <w:rPr>
          <w:rFonts w:ascii="Calibri" w:eastAsia="Times New Roman" w:hAnsi="Calibri" w:cs="Times New Roman"/>
        </w:rPr>
        <w:t xml:space="preserve"> Filters</w:t>
      </w:r>
    </w:p>
    <w:p w14:paraId="7F565DAC" w14:textId="77777777" w:rsidR="00487187" w:rsidRPr="00487187" w:rsidRDefault="00487187" w:rsidP="00487187">
      <w:pPr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</w:rPr>
        <w:t xml:space="preserve">Ronald W. </w:t>
      </w:r>
      <w:proofErr w:type="gramStart"/>
      <w:r w:rsidRPr="00487187">
        <w:rPr>
          <w:rFonts w:ascii="Calibri" w:eastAsia="Times New Roman" w:hAnsi="Calibri" w:cs="Times New Roman"/>
          <w:color w:val="000000"/>
        </w:rPr>
        <w:t>Schafer,  </w:t>
      </w:r>
      <w:r w:rsidRPr="00487187">
        <w:rPr>
          <w:rFonts w:ascii="Calibri" w:eastAsia="Times New Roman" w:hAnsi="Calibri" w:cs="Times New Roman"/>
        </w:rPr>
        <w:t>HP</w:t>
      </w:r>
      <w:proofErr w:type="gramEnd"/>
      <w:r w:rsidRPr="00487187">
        <w:rPr>
          <w:rFonts w:ascii="Calibri" w:eastAsia="Times New Roman" w:hAnsi="Calibri" w:cs="Times New Roman"/>
        </w:rPr>
        <w:t xml:space="preserve"> Laboratories,  H</w:t>
      </w:r>
      <w:bookmarkStart w:id="0" w:name="_GoBack"/>
      <w:bookmarkEnd w:id="0"/>
      <w:r w:rsidRPr="00487187">
        <w:rPr>
          <w:rFonts w:ascii="Calibri" w:eastAsia="Times New Roman" w:hAnsi="Calibri" w:cs="Times New Roman"/>
        </w:rPr>
        <w:t>PL-2010-109</w:t>
      </w:r>
    </w:p>
    <w:p w14:paraId="2F54959B" w14:textId="77777777" w:rsidR="00487187" w:rsidRPr="00487187" w:rsidRDefault="00487187" w:rsidP="00487187">
      <w:pPr>
        <w:rPr>
          <w:rFonts w:ascii="Times New Roman" w:eastAsia="Times New Roman" w:hAnsi="Times New Roman" w:cs="Times New Roman"/>
        </w:rPr>
      </w:pPr>
      <w:r w:rsidRPr="00487187">
        <w:rPr>
          <w:rFonts w:ascii="Times New Roman" w:eastAsia="Times New Roman" w:hAnsi="Times New Roman" w:cs="Times New Roman"/>
          <w:color w:val="000000"/>
        </w:rPr>
        <w:br/>
      </w:r>
    </w:p>
    <w:p w14:paraId="5AFC3A8B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Let's say we want to fit a kth order polynomial to a frame of size F samples, where F is odd.  We can set up a matrix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where each column is a polynomial (1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st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column is all ones, 2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nd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column is proportional to t, 3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rd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proportional to t^2, </w:t>
      </w:r>
      <w:proofErr w:type="spell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etc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).  Then to find the polynomial coefficients c, we must solve</w:t>
      </w:r>
    </w:p>
    <w:p w14:paraId="195EBB2B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      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c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=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</w:p>
    <w:p w14:paraId="623F1DD6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Where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is size F x k,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c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is kx1, and the data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is Fx1.  The solution is:</w:t>
      </w:r>
    </w:p>
    <w:p w14:paraId="2A6883F1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      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c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= (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-1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  <w:proofErr w:type="spellEnd"/>
      <w:r w:rsidRPr="00487187">
        <w:rPr>
          <w:rFonts w:ascii="Times New Roman" w:eastAsia="Times New Roman" w:hAnsi="Times New Roman" w:cs="Times New Roman"/>
        </w:rPr>
        <w:t xml:space="preserve"> </w:t>
      </w:r>
      <w:r w:rsidRPr="0048718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.</w:t>
      </w:r>
      <w:proofErr w:type="gramEnd"/>
    </w:p>
    <w:p w14:paraId="069A8F4B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We could solve for the coefficients directly -for example to calculate curvature from the polynomial coefficients.  However, for </w:t>
      </w:r>
      <w:proofErr w:type="gram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fitting  we</w:t>
      </w:r>
      <w:proofErr w:type="gram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really don't need the coefficients.  Instead, we are interested in the smoothed fit to the data.  If we call the fit </w:t>
      </w:r>
      <w:proofErr w:type="spell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yhat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, then</w:t>
      </w:r>
    </w:p>
    <w:p w14:paraId="7277E272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proofErr w:type="spell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yhat</w:t>
      </w:r>
      <w:proofErr w:type="spellEnd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 xml:space="preserve"> </w:t>
      </w:r>
      <w:r w:rsidR="007902F9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ab/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= Ac            </w:t>
      </w:r>
    </w:p>
    <w:p w14:paraId="7C372413" w14:textId="77777777" w:rsidR="00487187" w:rsidRPr="00487187" w:rsidRDefault="00487187" w:rsidP="007902F9">
      <w:pPr>
        <w:spacing w:line="273" w:lineRule="auto"/>
        <w:ind w:firstLine="720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=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(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-1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proofErr w:type="spell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A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  <w:proofErr w:type="spellEnd"/>
      <w:r w:rsidRPr="00487187">
        <w:rPr>
          <w:rFonts w:ascii="Times New Roman" w:eastAsia="Times New Roman" w:hAnsi="Times New Roman" w:cs="Times New Roman"/>
        </w:rPr>
        <w:t xml:space="preserve"> </w:t>
      </w:r>
      <w:r w:rsidRPr="0048718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      </w:t>
      </w:r>
      <w:proofErr w:type="gramStart"/>
      <w:r w:rsidRPr="0048718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  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(</w:t>
      </w:r>
      <w:proofErr w:type="gram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substitute c)</w:t>
      </w:r>
    </w:p>
    <w:p w14:paraId="6A6FE60F" w14:textId="77777777" w:rsidR="00487187" w:rsidRPr="00487187" w:rsidRDefault="00487187" w:rsidP="007902F9">
      <w:pPr>
        <w:spacing w:line="273" w:lineRule="auto"/>
        <w:ind w:firstLine="720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= B y                  </w:t>
      </w:r>
      <w:r w:rsidR="007902F9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ab/>
        <w:t xml:space="preserve">     </w:t>
      </w:r>
      <w:proofErr w:type="gramStart"/>
      <w:r w:rsidR="007902F9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 xml:space="preserve">   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(</w:t>
      </w:r>
      <w:proofErr w:type="gram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define B)</w:t>
      </w:r>
    </w:p>
    <w:p w14:paraId="61D9C2B6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The matrix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B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above, size </w:t>
      </w:r>
      <w:proofErr w:type="spell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FxF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, can be calculated ahead of time - it only depends on the polynomial shapes.  This is the matrix calculated by the '</w:t>
      </w:r>
      <w:proofErr w:type="spell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sgolay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' command in </w:t>
      </w:r>
      <w:proofErr w:type="spell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matlab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:  b = </w:t>
      </w:r>
      <w:proofErr w:type="spell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sgolay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(</w:t>
      </w:r>
      <w:proofErr w:type="spellStart"/>
      <w:proofErr w:type="gramStart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k,f</w:t>
      </w:r>
      <w:proofErr w:type="spellEnd"/>
      <w:proofErr w:type="gram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).</w:t>
      </w:r>
    </w:p>
    <w:p w14:paraId="7A0FA438" w14:textId="77777777" w:rsidR="00487187" w:rsidRDefault="00487187" w:rsidP="00487187">
      <w:pPr>
        <w:spacing w:line="273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From the equation above, we can see the first element of </w:t>
      </w:r>
      <w:proofErr w:type="spell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yhat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(filter output for first sample) is just the first column of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B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dot-multiplied with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.  The second element of </w:t>
      </w:r>
      <w:proofErr w:type="spell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yhat</w:t>
      </w:r>
      <w:proofErr w:type="spellEnd"/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is the 2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nd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column of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B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dot-multiplied with </w:t>
      </w:r>
      <w:proofErr w:type="gramStart"/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y</w:t>
      </w:r>
      <w:r w:rsidRPr="00487187">
        <w:rPr>
          <w:rFonts w:ascii="Times New Roman" w:eastAsia="Times New Roman" w:hAnsi="Times New Roman" w:cs="Times New Roman"/>
        </w:rPr>
        <w:t xml:space="preserve"> </w:t>
      </w:r>
      <w:r w:rsidRPr="00487187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proofErr w:type="gramEnd"/>
      <w:r w:rsidRPr="00487187">
        <w:rPr>
          <w:rFonts w:ascii="Times New Roman" w:eastAsia="Times New Roman" w:hAnsi="Times New Roman" w:cs="Times New Roman"/>
        </w:rPr>
        <w:t xml:space="preserve"> 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>etc.</w:t>
      </w:r>
    </w:p>
    <w:p w14:paraId="451BEBF5" w14:textId="77777777" w:rsidR="007902F9" w:rsidRPr="00487187" w:rsidRDefault="007902F9" w:rsidP="00487187">
      <w:pPr>
        <w:spacing w:line="273" w:lineRule="auto"/>
        <w:rPr>
          <w:rFonts w:ascii="Times New Roman" w:eastAsia="Times New Roman" w:hAnsi="Times New Roman" w:cs="Times New Roman"/>
        </w:rPr>
      </w:pPr>
    </w:p>
    <w:p w14:paraId="5B37FA55" w14:textId="77777777" w:rsidR="00487187" w:rsidRPr="00487187" w:rsidRDefault="00487187" w:rsidP="00487187">
      <w:pPr>
        <w:spacing w:line="273" w:lineRule="auto"/>
        <w:rPr>
          <w:rFonts w:ascii="Times New Roman" w:eastAsia="Times New Roman" w:hAnsi="Times New Roman" w:cs="Times New Roman"/>
        </w:rPr>
      </w:pP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Assuming our total data length is longer than F, we can use the first (F-1)/2 columns of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B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to handle the left edge, the middle column to handle the middle of the data (away from edges) by just sliding the data window, and the last (F-1)/2 columns of </w:t>
      </w:r>
      <w:r w:rsidRPr="00487187"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  <w:t>B</w:t>
      </w:r>
      <w:r w:rsidRPr="00487187">
        <w:rPr>
          <w:rFonts w:ascii="Calibri" w:eastAsia="Times New Roman" w:hAnsi="Calibri" w:cs="Times New Roman"/>
          <w:color w:val="000000"/>
          <w:sz w:val="22"/>
          <w:szCs w:val="22"/>
        </w:rPr>
        <w:t xml:space="preserve"> to handle the right edge.</w:t>
      </w:r>
    </w:p>
    <w:p w14:paraId="0D8B710A" w14:textId="77777777" w:rsidR="00214BEC" w:rsidRDefault="00214BEC"/>
    <w:sectPr w:rsidR="00214BEC" w:rsidSect="0034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87"/>
    <w:rsid w:val="00214BEC"/>
    <w:rsid w:val="0034703E"/>
    <w:rsid w:val="00487187"/>
    <w:rsid w:val="007902F9"/>
    <w:rsid w:val="00D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4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1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7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Tracey</dc:creator>
  <cp:keywords/>
  <dc:description/>
  <cp:lastModifiedBy>Brian Tracey</cp:lastModifiedBy>
  <cp:revision>1</cp:revision>
  <dcterms:created xsi:type="dcterms:W3CDTF">2017-12-04T12:52:00Z</dcterms:created>
  <dcterms:modified xsi:type="dcterms:W3CDTF">2017-12-04T14:03:00Z</dcterms:modified>
</cp:coreProperties>
</file>