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072">
                <wp:simplePos x="0" y="0"/>
                <wp:positionH relativeFrom="page">
                  <wp:posOffset>239471</wp:posOffset>
                </wp:positionH>
                <wp:positionV relativeFrom="page">
                  <wp:posOffset>230352</wp:posOffset>
                </wp:positionV>
                <wp:extent cx="7315200" cy="96012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315200" cy="960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9601200">
                              <a:moveTo>
                                <a:pt x="7315200" y="0"/>
                              </a:moveTo>
                              <a:lnTo>
                                <a:pt x="0" y="0"/>
                              </a:lnTo>
                              <a:lnTo>
                                <a:pt x="0" y="9601200"/>
                              </a:lnTo>
                              <a:lnTo>
                                <a:pt x="7315200" y="9601200"/>
                              </a:lnTo>
                              <a:lnTo>
                                <a:pt x="73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1D5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.856001pt;margin-top:18.138pt;width:576pt;height:756pt;mso-position-horizontal-relative:page;mso-position-vertical-relative:page;z-index:-15761408" id="docshape1" filled="true" fillcolor="#3c1d59" stroked="false">
                <v:fill type="solid"/>
                <w10:wrap type="none"/>
              </v:rect>
            </w:pict>
          </mc:Fallback>
        </mc:AlternateContent>
      </w:r>
      <w:r>
        <w:rPr>
          <w:color w:val="FFFFFF"/>
          <w:spacing w:val="-5"/>
        </w:rPr>
        <w:t>CUI</w:t>
      </w:r>
    </w:p>
    <w:p>
      <w:pPr>
        <w:spacing w:before="84"/>
        <w:ind w:left="23" w:right="0" w:firstLine="0"/>
        <w:jc w:val="center"/>
        <w:rPr>
          <w:sz w:val="42"/>
        </w:rPr>
      </w:pPr>
      <w:r>
        <w:rPr>
          <w:color w:val="FFFFFF"/>
          <w:spacing w:val="-2"/>
          <w:sz w:val="42"/>
        </w:rPr>
        <w:t>ATTENTION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1499616</wp:posOffset>
                </wp:positionH>
                <wp:positionV relativeFrom="paragraph">
                  <wp:posOffset>79972</wp:posOffset>
                </wp:positionV>
                <wp:extent cx="4800600" cy="406146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80060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auto" w:before="124"/>
                              <w:ind w:left="1986" w:right="1487" w:hanging="521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231F2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space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indicate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categories,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limited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dissemination</w:t>
                            </w:r>
                            <w:r>
                              <w:rPr>
                                <w:color w:val="231F2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controls,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special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instructions,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points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contact,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etc.,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needed.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97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57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Controlled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by:</w:t>
                            </w:r>
                          </w:p>
                          <w:p>
                            <w:pPr>
                              <w:spacing w:before="33"/>
                              <w:ind w:left="357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CUI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Category(ies):</w:t>
                            </w:r>
                          </w:p>
                          <w:p>
                            <w:pPr>
                              <w:spacing w:line="273" w:lineRule="auto" w:before="33"/>
                              <w:ind w:left="3579" w:right="1071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LDC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Distribution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Statement: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POC: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8.080002pt;margin-top:6.297051pt;width:378pt;height:319.8pt;mso-position-horizontal-relative:page;mso-position-vertical-relative:paragraph;z-index:-15728640;mso-wrap-distance-left:0;mso-wrap-distance-right:0" type="#_x0000_t202" id="docshape2" filled="true" fillcolor="#ffffff" stroked="false">
                <v:textbox inset="0,0,0,0">
                  <w:txbxContent>
                    <w:p>
                      <w:pPr>
                        <w:spacing w:line="278" w:lineRule="auto" w:before="124"/>
                        <w:ind w:left="1986" w:right="1487" w:hanging="521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231F20"/>
                          <w:spacing w:val="-4"/>
                          <w:sz w:val="18"/>
                        </w:rPr>
                        <w:t>Use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this</w:t>
                      </w:r>
                      <w:r>
                        <w:rPr>
                          <w:color w:val="231F2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space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to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indicate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categories,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limited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dissemination</w:t>
                      </w:r>
                      <w:r>
                        <w:rPr>
                          <w:color w:val="231F2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controls,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special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instructions,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points</w:t>
                      </w:r>
                      <w:r>
                        <w:rPr>
                          <w:color w:val="231F2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contact,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etc.,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if</w:t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>needed.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197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357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Controlled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by:</w:t>
                      </w:r>
                    </w:p>
                    <w:p>
                      <w:pPr>
                        <w:spacing w:before="33"/>
                        <w:ind w:left="357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CUI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Category(ies):</w:t>
                      </w:r>
                    </w:p>
                    <w:p>
                      <w:pPr>
                        <w:spacing w:line="273" w:lineRule="auto" w:before="33"/>
                        <w:ind w:left="3579" w:right="1071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LDC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or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Distribution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Statement: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POC: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71"/>
        <w:ind w:left="23" w:right="0" w:firstLine="0"/>
        <w:jc w:val="center"/>
        <w:rPr>
          <w:sz w:val="42"/>
        </w:rPr>
      </w:pPr>
      <w:r>
        <w:rPr>
          <w:color w:val="FFFFFF"/>
          <w:spacing w:val="-2"/>
          <w:sz w:val="42"/>
        </w:rPr>
        <w:t>ATTENTION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1499616</wp:posOffset>
                </wp:positionH>
                <wp:positionV relativeFrom="paragraph">
                  <wp:posOffset>69876</wp:posOffset>
                </wp:positionV>
                <wp:extent cx="4800600" cy="221488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800600" cy="22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33"/>
                              <w:ind w:left="1065" w:right="110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individuals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handling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this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information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required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protect it from unauthorized disclosure.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160"/>
                              <w:ind w:left="250" w:right="29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Handling,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storage,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reproduction,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disposition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attached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document(s)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must be in accordance with 32 CFR Part 2002 and applicable agency policy.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160"/>
                              <w:ind w:left="398" w:right="44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Access to and dissemination of Controlled Unclassified Information shall be allowed as necessary and permissible to any individual(s), organization(s), or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grouping(s) of users, provided such access or dissemination is consistent with or in </w:t>
                            </w:r>
                            <w:r>
                              <w:rPr>
                                <w:color w:val="231F20"/>
                              </w:rPr>
                              <w:t>furtherance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Lawful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Government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Purpose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manner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consistent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with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law,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regulations,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Government-wide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policies.</w:t>
                            </w:r>
                          </w:p>
                          <w:p>
                            <w:pPr>
                              <w:spacing w:line="127" w:lineRule="exact" w:before="187"/>
                              <w:ind w:left="5770" w:right="0" w:firstLine="0"/>
                              <w:jc w:val="left"/>
                              <w:rPr>
                                <w:rFonts w:ascii="Minion Pro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Form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901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(11-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5"/>
                                <w:sz w:val="10"/>
                              </w:rPr>
                              <w:t>18)</w:t>
                            </w:r>
                          </w:p>
                          <w:p>
                            <w:pPr>
                              <w:spacing w:line="127" w:lineRule="exact" w:before="0"/>
                              <w:ind w:left="5770" w:right="0" w:firstLine="0"/>
                              <w:jc w:val="left"/>
                              <w:rPr>
                                <w:rFonts w:ascii="Minion Pro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Prescribed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by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GSA/ISOO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2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| 32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z w:val="10"/>
                              </w:rPr>
                              <w:t>CFR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inion Pro"/>
                                <w:color w:val="231F20"/>
                                <w:spacing w:val="-4"/>
                                <w:sz w:val="10"/>
                              </w:rPr>
                              <w:t>2002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80002pt;margin-top:5.502051pt;width:378pt;height:174.4pt;mso-position-horizontal-relative:page;mso-position-vertical-relative:paragraph;z-index:-15728128;mso-wrap-distance-left:0;mso-wrap-distance-right:0" type="#_x0000_t202" id="docshape3" filled="true" fillcolor="#ffffff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33"/>
                        <w:ind w:left="1065" w:right="110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All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individuals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handling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this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information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are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required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protect it from unauthorized disclosure.</w:t>
                      </w:r>
                    </w:p>
                    <w:p>
                      <w:pPr>
                        <w:pStyle w:val="BodyText"/>
                        <w:spacing w:line="278" w:lineRule="auto" w:before="160"/>
                        <w:ind w:left="250" w:right="29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Handling,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storage,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reproduction,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disposition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attached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document(s)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must be in accordance with 32 CFR Part 2002 and applicable agency policy.</w:t>
                      </w:r>
                    </w:p>
                    <w:p>
                      <w:pPr>
                        <w:pStyle w:val="BodyText"/>
                        <w:spacing w:line="278" w:lineRule="auto" w:before="160"/>
                        <w:ind w:left="398" w:right="44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Access to and dissemination of Controlled Unclassified Information shall be allowed as necessary and permissible to any individual(s), organization(s), or </w:t>
                      </w:r>
                      <w:r>
                        <w:rPr>
                          <w:color w:val="231F20"/>
                          <w:spacing w:val="-6"/>
                        </w:rPr>
                        <w:t>grouping(s) of users, provided such access or dissemination is consistent with or in </w:t>
                      </w:r>
                      <w:r>
                        <w:rPr>
                          <w:color w:val="231F20"/>
                        </w:rPr>
                        <w:t>furtherance</w:t>
                      </w:r>
                      <w:r>
                        <w:rPr>
                          <w:color w:val="231F20"/>
                          <w:spacing w:val="-14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Lawful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Government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Purpose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manner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consistent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</w:rPr>
                        <w:t>with </w:t>
                      </w:r>
                      <w:r>
                        <w:rPr>
                          <w:color w:val="231F20"/>
                          <w:spacing w:val="-2"/>
                        </w:rPr>
                        <w:t>applicable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law,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regulations,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and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Government-wide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policies.</w:t>
                      </w:r>
                    </w:p>
                    <w:p>
                      <w:pPr>
                        <w:spacing w:line="127" w:lineRule="exact" w:before="187"/>
                        <w:ind w:left="5770" w:right="0" w:firstLine="0"/>
                        <w:jc w:val="left"/>
                        <w:rPr>
                          <w:rFonts w:ascii="Minion Pro"/>
                          <w:color w:val="000000"/>
                          <w:sz w:val="10"/>
                        </w:rPr>
                      </w:pP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Standard</w:t>
                      </w:r>
                      <w:r>
                        <w:rPr>
                          <w:rFonts w:ascii="Minion Pro"/>
                          <w:color w:val="231F20"/>
                          <w:spacing w:val="-4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Form</w:t>
                      </w:r>
                      <w:r>
                        <w:rPr>
                          <w:rFonts w:ascii="Minion Pro"/>
                          <w:color w:val="231F20"/>
                          <w:spacing w:val="-4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901</w:t>
                      </w:r>
                      <w:r>
                        <w:rPr>
                          <w:rFonts w:ascii="Minion Pro"/>
                          <w:color w:val="231F20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(11-</w:t>
                      </w:r>
                      <w:r>
                        <w:rPr>
                          <w:rFonts w:ascii="Minion Pro"/>
                          <w:color w:val="231F20"/>
                          <w:spacing w:val="-5"/>
                          <w:sz w:val="10"/>
                        </w:rPr>
                        <w:t>18)</w:t>
                      </w:r>
                    </w:p>
                    <w:p>
                      <w:pPr>
                        <w:spacing w:line="127" w:lineRule="exact" w:before="0"/>
                        <w:ind w:left="5770" w:right="0" w:firstLine="0"/>
                        <w:jc w:val="left"/>
                        <w:rPr>
                          <w:rFonts w:ascii="Minion Pro"/>
                          <w:color w:val="000000"/>
                          <w:sz w:val="10"/>
                        </w:rPr>
                      </w:pP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Prescribed</w:t>
                      </w:r>
                      <w:r>
                        <w:rPr>
                          <w:rFonts w:ascii="Minion Pro"/>
                          <w:color w:val="231F20"/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by</w:t>
                      </w:r>
                      <w:r>
                        <w:rPr>
                          <w:rFonts w:ascii="Minion Pro"/>
                          <w:color w:val="231F20"/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GSA/ISOO</w:t>
                      </w:r>
                      <w:r>
                        <w:rPr>
                          <w:rFonts w:ascii="Minion Pro"/>
                          <w:color w:val="231F20"/>
                          <w:spacing w:val="21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| 32</w:t>
                      </w:r>
                      <w:r>
                        <w:rPr>
                          <w:rFonts w:ascii="Minion Pro"/>
                          <w:color w:val="231F20"/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z w:val="10"/>
                        </w:rPr>
                        <w:t>CFR</w:t>
                      </w:r>
                      <w:r>
                        <w:rPr>
                          <w:rFonts w:ascii="Minion Pro"/>
                          <w:color w:val="231F20"/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rFonts w:ascii="Minion Pro"/>
                          <w:color w:val="231F20"/>
                          <w:spacing w:val="-4"/>
                          <w:sz w:val="10"/>
                        </w:rPr>
                        <w:t>2002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Title"/>
        <w:spacing w:before="291"/>
      </w:pPr>
      <w:r>
        <w:rPr>
          <w:color w:val="FFFFFF"/>
          <w:spacing w:val="-5"/>
        </w:rPr>
        <w:t>CUI</w:t>
      </w:r>
    </w:p>
    <w:sectPr>
      <w:type w:val="continuous"/>
      <w:pgSz w:w="12240" w:h="15840"/>
      <w:pgMar w:top="3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ajan Pro">
    <w:altName w:val="Trajan Pro"/>
    <w:charset w:val="0"/>
    <w:family w:val="roman"/>
    <w:pitch w:val="variable"/>
  </w:font>
  <w:font w:name="Minion Pro">
    <w:altName w:val="Minion Pro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3" w:right="6"/>
      <w:jc w:val="center"/>
    </w:pPr>
    <w:rPr>
      <w:rFonts w:ascii="Trajan Pro" w:hAnsi="Trajan Pro" w:eastAsia="Trajan Pro" w:cs="Trajan Pro"/>
      <w:b/>
      <w:bCs/>
      <w:sz w:val="130"/>
      <w:szCs w:val="1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Archives and Records Administration</dc:creator>
  <cp:keywords>Standard Form 901 (11-18)</cp:keywords>
  <dc:subject>CUI cover sheet</dc:subject>
  <dc:title>Standard Form 901 (11-2018) cover sheet</dc:title>
  <dcterms:created xsi:type="dcterms:W3CDTF">2025-02-24T22:01:44Z</dcterms:created>
  <dcterms:modified xsi:type="dcterms:W3CDTF">2025-02-24T22:01:44Z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2025-02-24T00:00:00Z</vt:filetime>
  </property>
  <property fmtid="{D5CDD505-2E9C-101B-9397-08002B2CF9AE}" pid="5" name="Producer">
    <vt:lpwstr>Adobe PDF Library 15.0</vt:lpwstr>
  </property>
</Properties>
</file>