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Security Baseline Development</w:t>
      </w:r>
    </w:p>
    <w:p>
      <w:pPr>
        <w:spacing w:after="60"/>
      </w:pPr>
      <w:r>
        <w:rPr>
          <w:color w:val="44546A"/>
          <w:sz w:val="28"/>
          <w:szCs w:val="28"/>
        </w:rPr>
        <w:t xml:space="preserve">Palo Alto Networks NGFW &amp; Panorama Reference</w:t>
      </w:r>
    </w:p>
    <w:p>
      <w:pPr>
        <w:spacing w:after="400"/>
      </w:pPr>
      <w:r>
        <w:rPr>
          <w:i/>
          <w:iCs/>
          <w:color w:val="666666"/>
          <w:sz w:val="20"/>
          <w:szCs w:val="20"/>
        </w:rPr>
        <w:t xml:space="preserve">Framework sources: Iron Skillet, Best Practice Assessment (BPA), CIS Benchmarks, PAN-OS Best Practices documentation</w:t>
      </w:r>
    </w:p>
    <w:p>
      <w:pPr>
        <w:pBdr>
          <w:bottom w:val="single" w:color="BFBFBF" w:sz="6"/>
        </w:pBdr>
        <w:spacing w:after="24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and Scope</w:t>
      </w:r>
    </w:p>
    <w:p>
      <w:pPr>
        <w:spacing w:after="160"/>
      </w:pPr>
      <w:r>
        <w:t xml:space="preserve">This document is a working reference for developing Palo Alto Networks security baselines: the source frameworks to pull from, what each one actually covers, and the configuration areas a baseline should address regardless of which client or environment it's built for.</w:t>
      </w:r>
    </w:p>
    <w:p>
      <w:pPr>
        <w:spacing w:after="160"/>
      </w:pPr>
      <w:r>
        <w:t xml:space="preserve">It's meant to be used as a starting checklist for baseline engagements, not a copy-paste config. Every environment still needs its own zone model, rule base, and risk tolerance layered on top of this.</w:t>
      </w:r>
    </w:p>
    <w:p>
      <w:pPr>
        <w:pStyle w:val="Heading1"/>
      </w:pPr>
      <w:r>
        <w:t xml:space="preserve">2. Framework Sources</w:t>
      </w:r>
    </w:p>
    <w:p>
      <w:pPr>
        <w:spacing w:after="160"/>
      </w:pPr>
      <w:r>
        <w:t xml:space="preserve">Four sources form the backbone of a Palo Alto baseline. Each answers a different question.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69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What it gives you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000000"/>
              </w:rPr>
              <w:t xml:space="preserve">Iron Skillet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Day-one XML configuration templates (GitHub: PaloAltoNetworks/iron-skillet) that pre-load recommended security profiles, logging, and decryption settings before any use-case-specific policy is added. Deployable via Panorama, panhandler, or loaded directly on the firewall.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000000"/>
              </w:rPr>
              <w:t xml:space="preserve">Best Practice Assessment (BPA)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PANW's own assessment tool. Parses a Tech Support File and runs 200+ pass/fail checks against current config, mapped to a capability adoption heatmap (App-ID, User-ID, Threat Prevention, URL Filtering, WildFire, logging). Used both to baseline a new build and to audit an existing one.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000000"/>
              </w:rPr>
              <w:t xml:space="preserve">CIS Benchmarks for PAN-OS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Vendor-neutral, consensus-driven hardening checklist covering device management, zones, security policy, decryption, logging, and HA. Useful where a client needs to map to a recognized compliance standard rather than just PANW's own recommendations.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000000"/>
              </w:rPr>
              <w:t xml:space="preserve">PAN-OS Best Practices docs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docs.paloaltonetworks.com's living best-practice guides per feature area: DoS/zone protection, decryption, security profiles, App-ID migration, etc. This is where the reasoning and deployment sequencing for each control lives.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3. Baseline Configuration Categories</w:t>
      </w:r>
    </w:p>
    <w:p>
      <w:pPr>
        <w:spacing w:after="160"/>
      </w:pPr>
      <w:r>
        <w:t xml:space="preserve">Iron Skillet and the BPA both organize around roughly the same set of configuration domains. A baseline engagement should touch each of these.</w:t>
      </w:r>
    </w:p>
    <w:p>
      <w:pPr>
        <w:pStyle w:val="Heading2"/>
      </w:pPr>
      <w:r>
        <w:t xml:space="preserve">3.1 Device Management &amp; Hardening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Management interface restricted to a dedicated network/jump host, no management access from untrust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Idle timeout, login banner, and account lockout thresholds set on admin accounts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admin accounts backed by MFA or tied to an external auth profile (RADIUS/SAML/LDAP) rather than local-only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NTP, DNS, and update servers configured; scheduled dynamic content updates (App-ID, Threat, WildFire, Antivirus)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SNMP/syslog service routes locked down to specific destinations, not left on default</w:t>
      </w:r>
    </w:p>
    <w:p>
      <w:pPr>
        <w:pStyle w:val="Heading2"/>
      </w:pPr>
      <w:r>
        <w:t xml:space="preserve">3.2 Zones and Segmentation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Purpose-built zones instead of one flat trust/untrust pair; segment by function (user, server, DMZ, guest, OT,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Interzone default deny confirmed and not silently overridden by a broad allow rule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Protection profiles applied to every ingress zone, particularly internet-facing ones</w:t>
      </w:r>
    </w:p>
    <w:p>
      <w:pPr>
        <w:pStyle w:val="Heading2"/>
      </w:pPr>
      <w:r>
        <w:t xml:space="preserve">3.3 Zone Protection &amp; DoS</w:t>
      </w:r>
    </w:p>
    <w:p>
      <w:pPr>
        <w:spacing w:after="160"/>
      </w:pPr>
      <w:r>
        <w:t xml:space="preserve">Per PANW's DoS and Zone Protection best-practice guidance, this is a measure-then-tune exercise, not a set-and-forget checkbox.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Baseline average/peak connections-per-second (CPS) per zone before setting flood thresholds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Flood protection enabled for TCP SYN, UDP, ICMP, ICMPv6, and other IP protocols, with Alarm/Activate/Maximum thresholds tuned to the measured baseline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Reconnaissance protection enabled (port scan, host sweep) with block-ip 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Packet Buffer Protection enabled to protect firewall resources under load</w:t>
      </w:r>
    </w:p>
    <w:p>
      <w:pPr>
        <w:pStyle w:val="Heading2"/>
      </w:pPr>
      <w:r>
        <w:t xml:space="preserve">3.4 Security Policy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App-ID used in place of port-based rules wherever feasible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User-ID integrated for identity-based policy, not just IP-based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Rulebase reviewed for shadowed/unused rules, overly broad "any/any" entries, and missing logging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forwarding enabled on every rule (start and/or end, per PANW guidance) rather than left at defaults</w:t>
      </w:r>
    </w:p>
    <w:p>
      <w:pPr>
        <w:pStyle w:val="Heading2"/>
      </w:pPr>
      <w:r>
        <w:t xml:space="preserve">3.5 Security Profiles</w:t>
      </w:r>
    </w:p>
    <w:p>
      <w:pPr>
        <w:spacing w:after="160"/>
      </w:pPr>
      <w:r>
        <w:t xml:space="preserve">This is the area the BPA checks most heavily, and where Iron Skillet's recommended profiles are the fastest starting 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Antivirus, Anti-Spyware, and Vulnerability Protection profiles applied to all allowed traffic, with low/informational severity actions set to "default" rather than left disabled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 Filtering profile blocking known-malicious and liability-risk categories, with credential submission control enabled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WildFire profile forwarding unknown files for analysis, actions set per PANW recommended defaults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Blocking profile covering high-risk file types (executables, encrypted archives, etc.)</w:t>
      </w:r>
    </w:p>
    <w:p>
      <w:pPr>
        <w:pStyle w:val="Heading2"/>
      </w:pPr>
      <w:r>
        <w:t xml:space="preserve">3.6 Decryption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SSL Forward Proxy decryption profile blocking sessions with expired/untrusted certs and unsupported protocol versions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TLS version set to 1.2, weak ciphers (3DES, RC4, MD5) disabled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Decryption exclusions documented and kept to the minimum needed (e.g., regulated traffic categories)</w:t>
      </w:r>
    </w:p>
    <w:p>
      <w:pPr>
        <w:pStyle w:val="Heading2"/>
      </w:pPr>
      <w:r>
        <w:t xml:space="preserve">3.7 Logging &amp; Visibility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log types (Traffic, Threat, System, Config, User-ID/HIP Match) forwarded to Panorama or an external log collector/SIEM, not left local-only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system events forwarded to email/alerting in addition to syslog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retention aligned to the client's compliance or incident-response requirements</w:t>
      </w:r>
    </w:p>
    <w:p>
      <w:pPr>
        <w:pStyle w:val="Heading2"/>
      </w:pPr>
      <w:r>
        <w:t xml:space="preserve">3.8 Remote Access (GlobalProtect)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GlobalProtect gateway/portal certificates valid and not self-signed 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HIP checks enforced where endpoint posture matters (AV running, disk encryption, patch level)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Split-tunnel vs. full-tunnel decision documented and matched to the client's risk posture</w:t>
      </w:r>
    </w:p>
    <w:p>
      <w:pPr>
        <w:pStyle w:val="Heading2"/>
      </w:pPr>
      <w:r>
        <w:t xml:space="preserve">3.9 Panorama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Device groups and templates structured to avoid duplicated policy across firewalls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Shared vs. device-group-specific objects kept clean to avoid naming collisions and rule sprawl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Template stacks used to layer common baseline settings under site-specific overrides</w:t>
      </w:r>
    </w:p>
    <w:p>
      <w:pPr>
        <w:pStyle w:val="Heading2"/>
      </w:pPr>
      <w:r>
        <w:t xml:space="preserve">3.10 High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HA1/HA2 links on dedicated interfaces, not sharing data-plane interfaces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Path monitoring and link monitoring configured so failover actually triggers on real outage 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 sync and session sync verified, not just assumed from HA state</w:t>
      </w:r>
    </w:p>
    <w:p>
      <w:pPr>
        <w:pStyle w:val="Heading1"/>
      </w:pPr>
      <w:r>
        <w:t xml:space="preserve">4. Implementation Approach</w:t>
      </w:r>
    </w:p>
    <w:p>
      <w:pPr>
        <w:spacing w:after="160"/>
      </w:pPr>
      <w:r>
        <w:t xml:space="preserve">A typical baseline engagement runs in this order: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Iron Skillet day-one templates first on new/greenfield deployments to establish recommended profiles, logging, and decryption settings before any use-case policy exists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a BPA against existing environments to get an objective pass/fail gap list against current config, rather than relying on a manual audit alone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Cross-reference BPA findings against the CIS Benchmark when the client needs to map to a named compliance standard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Prioritize remediation using the BPA heatmap and PANW best-practice docs for deployment sequencing (e.g., measure CPS before setting zone protection thresholds, don't just copy default values)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the resulting baseline as the client's own standard, including any accepted deviations and the reasoning behind them</w:t>
      </w:r>
    </w:p>
    <w:p>
      <w:pPr>
        <w:pStyle w:val="Heading1"/>
      </w:pPr>
      <w:r>
        <w:t xml:space="preserve">5. Ongoing Maintenance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Re-run BPA on a recurring cadence (quarterly is common) to catch configuration drift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zone protection thresholds after major traffic pattern changes, not just at initial deployment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PAN-OS best-practice doc updates, since profile recommendations shift between releases</w:t>
      </w:r>
    </w:p>
    <w:p>
      <w:pPr>
        <w:pStyle w:val="Heading1"/>
      </w:pPr>
      <w:r>
        <w:t xml:space="preserve">6.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Iron Skillet: github.com/PaloAltoNetworks/iron-skillet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Best Practice Assessment overview: paloaltonetworks.com/services/bpa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PAN-OS Best Practices (DoS/Zone Protection, decryption, security profiles): docs.paloaltonetworks.com/best-practices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CIS Benchmarks for Palo Alto Networks: cisecurity.org/benchmark/palo_alto_networks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2026-07-29T22:15:14.238Z</dcterms:created>
  <dcterms:modified xsi:type="dcterms:W3CDTF">2026-07-29T22:15:14.254Z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