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  <w:tblLook w:val="0600"/>
      </w:tblPr>
      <w:tblGrid>
        <w:gridCol w:w="1872"/>
        <w:gridCol w:w="5148"/>
        <w:gridCol w:w="2340"/>
      </w:tblGrid>
      <w:tr>
        <w:trPr/>
        <w:tc>
          <w:tcPr>
            <w:tcW w:w="187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vAlign w:val="center"/>
          </w:tcPr>
          <w:p>
            <w:pPr>
              <w:pStyle w:val="normal1"/>
              <w:pBdr/>
              <w:shd w:val="clear" w:fill="auto"/>
              <w:spacing w:lineRule="auto" w:line="240" w:before="180" w:after="180"/>
              <w:jc w:val="center"/>
              <w:rPr>
                <w:rFonts w:ascii="Arial" w:hAnsi="Arial" w:eastAsia="Arial" w:cs="Arial"/>
                <w:b/>
                <w:bCs/>
                <w:color w:val="1A365D"/>
                <w:position w:val="0"/>
                <w:sz w:val="26"/>
                <w:szCs w:val="2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1A365D"/>
                <w:position w:val="0"/>
                <w:sz w:val="26"/>
                <w:szCs w:val="26"/>
                <w:shd w:fill="auto" w:val="clear"/>
                <w:vertAlign w:val="baseline"/>
              </w:rPr>
              <w:t>UNIBI</w:t>
            </w:r>
          </w:p>
        </w:tc>
        <w:tc>
          <w:tcPr>
            <w:tcW w:w="51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vAlign w:val="center"/>
          </w:tcPr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1A365D"/>
                <w:position w:val="0"/>
                <w:sz w:val="20"/>
                <w:szCs w:val="20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1A365D"/>
                <w:position w:val="0"/>
                <w:sz w:val="20"/>
                <w:szCs w:val="20"/>
                <w:shd w:fill="auto" w:val="clear"/>
                <w:vertAlign w:val="baseline"/>
              </w:rPr>
              <w:t>UNIVERSITAS INFORMATIKA DAN BISNIS INDONESIA</w:t>
            </w:r>
          </w:p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2D3748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2D3748"/>
                <w:position w:val="0"/>
                <w:sz w:val="18"/>
                <w:szCs w:val="18"/>
                <w:shd w:fill="auto" w:val="clear"/>
                <w:vertAlign w:val="baseline"/>
              </w:rPr>
              <w:t>FAKULTAS TEKNOLOGI DAN INFORMATIKA</w:t>
            </w:r>
          </w:p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4A5568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4A5568"/>
                <w:position w:val="0"/>
                <w:sz w:val="18"/>
                <w:szCs w:val="18"/>
                <w:shd w:fill="auto" w:val="clear"/>
                <w:vertAlign w:val="baseline"/>
              </w:rPr>
              <w:t>PROGRAM STUDI INFORMATIKA</w:t>
            </w:r>
          </w:p>
          <w:p>
            <w:pPr>
              <w:pStyle w:val="normal1"/>
              <w:pBdr/>
              <w:shd w:val="clear" w:fill="auto"/>
              <w:spacing w:lineRule="auto" w:line="240" w:before="180" w:after="180"/>
              <w:jc w:val="center"/>
              <w:rPr>
                <w:rFonts w:ascii="Arial" w:hAnsi="Arial" w:eastAsia="Arial" w:cs="Arial"/>
                <w:b/>
                <w:bCs/>
                <w:color w:val="2B6CB0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2B6CB0"/>
                <w:position w:val="0"/>
                <w:sz w:val="18"/>
                <w:szCs w:val="18"/>
                <w:shd w:fill="auto" w:val="clear"/>
                <w:vertAlign w:val="baseline"/>
              </w:rPr>
              <w:t>RENCANA PEMBELAJARAN SEMESTER (RPS)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Kode Dokumen: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RPS/FTI-IF/IFEL601</w:t>
            </w:r>
          </w:p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Tanggal: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25 Juli 2026</w:t>
            </w:r>
          </w:p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Revisi: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Ke-1 (Kurikulum OBE 2026)</w:t>
            </w:r>
          </w:p>
          <w:p>
            <w:pPr>
              <w:pStyle w:val="normal1"/>
              <w:pBdr/>
              <w:shd w:val="clear" w:fill="auto"/>
              <w:spacing w:lineRule="auto" w:line="336" w:before="150" w:after="15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Halaman: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1 dari 9</w:t>
            </w:r>
          </w:p>
        </w:tc>
      </w:tr>
    </w:tbl>
    <w:p>
      <w:pPr>
        <w:pStyle w:val="Heading1"/>
        <w:pBdr/>
        <w:shd w:val="clear" w:fill="auto"/>
        <w:spacing w:lineRule="auto" w:line="240" w:before="300" w:after="75"/>
        <w:jc w:val="center"/>
        <w:rPr>
          <w:rFonts w:ascii="Arial" w:hAnsi="Arial" w:eastAsia="Arial" w:cs="Arial"/>
          <w:color w:val="1A365D"/>
          <w:sz w:val="26"/>
          <w:szCs w:val="26"/>
        </w:rPr>
      </w:pPr>
      <w:r>
        <w:rPr>
          <w:rFonts w:eastAsia="Arial" w:cs="Arial"/>
          <w:color w:val="1A365D"/>
          <w:sz w:val="26"/>
          <w:szCs w:val="26"/>
        </w:rPr>
        <w:t>RENCANA PEMBELAJARAN SEMESTER (RPS)</w:t>
      </w:r>
    </w:p>
    <w:p>
      <w:pPr>
        <w:pStyle w:val="Heading2"/>
        <w:pBdr/>
        <w:shd w:val="clear" w:fill="auto"/>
        <w:spacing w:lineRule="auto" w:line="240" w:before="0" w:after="300"/>
        <w:jc w:val="center"/>
        <w:rPr>
          <w:rFonts w:ascii="Arial" w:hAnsi="Arial" w:eastAsia="Arial" w:cs="Arial"/>
          <w:color w:val="2D3748"/>
          <w:sz w:val="22"/>
          <w:szCs w:val="22"/>
        </w:rPr>
      </w:pPr>
      <w:r>
        <w:rPr>
          <w:rFonts w:eastAsia="Arial" w:cs="Arial"/>
          <w:color w:val="2D3748"/>
          <w:sz w:val="22"/>
          <w:szCs w:val="22"/>
        </w:rPr>
        <w:t>MATA KULIAH: IOT CERDAS / ARTIFICIAL INTELLIGENCE OF THINGS (KODE: IFEL601)</w:t>
      </w:r>
    </w:p>
    <w:p>
      <w:pPr>
        <w:pStyle w:val="Heading3"/>
        <w:pBdr/>
        <w:shd w:val="clear" w:fill="auto"/>
        <w:spacing w:lineRule="auto" w:line="240" w:before="0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LEMBAR PENGESAHAN DOKUMEN RPS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404"/>
        <w:gridCol w:w="2808"/>
        <w:gridCol w:w="2340"/>
        <w:gridCol w:w="1404"/>
        <w:gridCol w:w="1404"/>
      </w:tblGrid>
      <w:tr>
        <w:trPr>
          <w:tblHeader w:val="true"/>
        </w:trPr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Proses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Nama Penanggung Jawab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Jabatan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Tanda Tangan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Tanggal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Perumusan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Tim Dosen Pengampu IoT Cerdas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Koordinator Mata Kuliah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25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Pemeriksaan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Ketua Kelompok Bidang Keahlian (KBK)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Ketua KBK Kecerdasan Buatan &amp; Sistem Tertanam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  <w:shd w:fill="auto" w:val="clear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28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Persetujuan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Program Studi Informatika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Program Studi Informatika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30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Penetapan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Dekan Fakultas Teknologi dan Informatika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Dekan FTI UNIBI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  <w:shd w:fill="auto" w:val="clear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02 Agustus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Pengendalian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Gugus Kendali Mutu (GKM) FTI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GKM FTI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05 Agustus 2026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I. IDENTITAS MATA KULIAH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Nama Mata Kuliah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IoT Cerdas (Artificial Intelligence of Things / AIoT)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Kode Mata Kuliah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IFEL601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Bobot SKS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2 SKS (Teori &amp; Praktik Laboratorium / Proyek)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Semester / Program Studi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Semester 6 / Informatika (S1)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Status / Kategori MK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Mata Kuliah Elektif / Pilihan Program Studi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Mata Kuliah Prasyarat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Jaringan Komputer / Pemrograman Berorientasi Objek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Dosen Pengampu</w:t>
            </w:r>
          </w:p>
        </w:tc>
        <w:tc>
          <w:tcPr>
            <w:tcW w:w="7020" w:type="dxa"/>
            <w:gridSpan w:val="3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Tim Dosen Pengampu Mata Kuliah IoT Cerdas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II. CAPAIAN PEMBELAJARAN (LEARNING OUTCOMES)</w:t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808"/>
        <w:gridCol w:w="6552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Kode &amp; Aspek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Deskripsi Capaian Pembelajaran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Capaian Pembelajaran Lulusan (CPL) Program Studi yang Dibebankan pada Mata Kuliah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CPL03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menganalisis prinsip dan mekanisme kerja sistem komputasi serta menentukan dan menerapkan algoritma atau metode komputasi yang sesuai untuk menyelesaikan permasalahan komputasi dalam konteks organisasi.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CPL05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merancang dan mengembangkan prototipe aplikasi teknologi multi-platform berdasarkan konsep teoretis ilmu komputer/informatika yang relevan dengan kebutuhan industri dan masyarakat, termasuk melalui pemodelan dan simulasi.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Capaian Pembelajaran Mata Kuliah (CPMK)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CPMK033 (C5)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mengevaluasi kesesuaian algoritma atau metode komputasi berdasarkan karakteristik masalah, kebutuhan sumber daya, efisiensi, keamanan, dan ketepatan hasil pada sistem IoT cerdas.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CPMK034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merancang solusi komputasi dengan memilih algoritma, metode, bahasa pemrograman, arsitektur sistem, dan platform pengembangan yang sesuai dengan kebutuhan IoT cerdas.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CPMK035 (C6, C3)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mengintegrasikan algoritma atau metode komputasi ke dalam solusi berbasis perangkat lunak, jaringan sensor, kecerdasan buatan, sistem terdistribusi, atau platform IoT.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CPMK036 (C5)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mengevaluasi kinerja, ketepatan, efisiensi, keamanan, dan keterbatasan solusi komputasi IoT serta merumuskan rekomendasi perbaikannya.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CPMK053 (C6, C3)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mengembangkan solusi berbasis data dan kecerdasan buatan dengan mengintegrasikan model statistik, metode numerik, pembelajaran mesin, dan teknik komputasi cerdas pada perangkat IoT.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CPMK055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merancang arsitektur solusi komputasi multi-platform yang mengintegrasikan sistem digital, keamanan informasi, keamanan komputer, Internet of Things, dan teknologi lanjut.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CPMK056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mengembangkan prototipe aplikasi teknologi multi-platform yang mengintegrasikan algoritma, data sensor, antarmuka dashboard, kecerdasan buatan, keamanan, dan teknologi IoT untuk memenuhi kebutuhan industri atau masyarakat.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III. DESKRIPSI SINGKAT MATA KULIAH</w:t>
      </w:r>
    </w:p>
    <w:p>
      <w:pPr>
        <w:pStyle w:val="normal1"/>
        <w:pBdr/>
        <w:shd w:val="clear" w:fill="auto"/>
        <w:spacing w:lineRule="auto" w:line="300" w:before="0" w:after="240"/>
        <w:jc w:val="both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  <w:t xml:space="preserve">Mata kuliah </w:t>
      </w:r>
      <w:r>
        <w:rPr>
          <w:rFonts w:eastAsia="Arial" w:cs="Arial"/>
          <w:b/>
          <w:bCs/>
          <w:sz w:val="16"/>
          <w:szCs w:val="16"/>
        </w:rPr>
        <w:t>IoT Cerdas (Artificial Intelligence of Things / IFEL601)</w:t>
      </w:r>
      <w:r>
        <w:rPr>
          <w:rFonts w:eastAsia="Arial" w:cs="Arial"/>
          <w:sz w:val="16"/>
          <w:szCs w:val="16"/>
        </w:rPr>
        <w:t xml:space="preserve"> merupakan mata kuliah elektif berbobot </w:t>
      </w:r>
      <w:r>
        <w:rPr>
          <w:rFonts w:eastAsia="Arial" w:cs="Arial"/>
          <w:b/>
          <w:bCs/>
          <w:sz w:val="16"/>
          <w:szCs w:val="16"/>
        </w:rPr>
        <w:t>2 SKS</w:t>
      </w:r>
      <w:r>
        <w:rPr>
          <w:rFonts w:eastAsia="Arial" w:cs="Arial"/>
          <w:sz w:val="16"/>
          <w:szCs w:val="16"/>
        </w:rPr>
        <w:t xml:space="preserve"> pada semester 6 yang memadukan ekosistem </w:t>
      </w:r>
      <w:r>
        <w:rPr>
          <w:rFonts w:eastAsia="Arial" w:cs="Arial"/>
          <w:i/>
          <w:iCs/>
          <w:sz w:val="16"/>
          <w:szCs w:val="16"/>
        </w:rPr>
        <w:t>Internet of Things (IoT)</w:t>
      </w:r>
      <w:r>
        <w:rPr>
          <w:rFonts w:eastAsia="Arial" w:cs="Arial"/>
          <w:sz w:val="16"/>
          <w:szCs w:val="16"/>
        </w:rPr>
        <w:t xml:space="preserve"> dengan teknik </w:t>
      </w:r>
      <w:r>
        <w:rPr>
          <w:rFonts w:eastAsia="Arial" w:cs="Arial"/>
          <w:i/>
          <w:iCs/>
          <w:sz w:val="16"/>
          <w:szCs w:val="16"/>
        </w:rPr>
        <w:t>Artificial Intelligence (AI) / Machine Learning (ML)</w:t>
      </w:r>
      <w:r>
        <w:rPr>
          <w:rFonts w:eastAsia="Arial" w:cs="Arial"/>
          <w:sz w:val="16"/>
          <w:szCs w:val="16"/>
        </w:rPr>
        <w:t>. Mahasiswa mempelajari arsitektur menyeluruh sistem AIoT mulai dari akuisisi data sensor dan interfacing perangkat keras tertanam (</w:t>
      </w:r>
      <w:r>
        <w:rPr>
          <w:rFonts w:eastAsia="Arial" w:cs="Arial"/>
          <w:i/>
          <w:iCs/>
          <w:sz w:val="16"/>
          <w:szCs w:val="16"/>
        </w:rPr>
        <w:t>embedded microcontrollers</w:t>
      </w:r>
      <w:r>
        <w:rPr>
          <w:rFonts w:eastAsia="Arial" w:cs="Arial"/>
          <w:sz w:val="16"/>
          <w:szCs w:val="16"/>
        </w:rPr>
        <w:t xml:space="preserve"> seperti ESP32/Raspberry Pi), protokol komunikasi data IoT (MQTT, CoAP, HTTP, LPWAN/LoRa), arsitektur komputasi tepi (</w:t>
      </w:r>
      <w:r>
        <w:rPr>
          <w:rFonts w:eastAsia="Arial" w:cs="Arial"/>
          <w:i/>
          <w:iCs/>
          <w:sz w:val="16"/>
          <w:szCs w:val="16"/>
        </w:rPr>
        <w:t>Edge &amp; Fog Computing / TinyML</w:t>
      </w:r>
      <w:r>
        <w:rPr>
          <w:rFonts w:eastAsia="Arial" w:cs="Arial"/>
          <w:sz w:val="16"/>
          <w:szCs w:val="16"/>
        </w:rPr>
        <w:t xml:space="preserve">), integrasi cloud platform IoT dan basis data </w:t>
      </w:r>
      <w:r>
        <w:rPr>
          <w:rFonts w:eastAsia="Arial" w:cs="Arial"/>
          <w:i/>
          <w:iCs/>
          <w:sz w:val="16"/>
          <w:szCs w:val="16"/>
        </w:rPr>
        <w:t>time-series</w:t>
      </w:r>
      <w:r>
        <w:rPr>
          <w:rFonts w:eastAsia="Arial" w:cs="Arial"/>
          <w:sz w:val="16"/>
          <w:szCs w:val="16"/>
        </w:rPr>
        <w:t>, pemodelan cerdas untuk deteksi anomali (</w:t>
      </w:r>
      <w:r>
        <w:rPr>
          <w:rFonts w:eastAsia="Arial" w:cs="Arial"/>
          <w:i/>
          <w:iCs/>
          <w:sz w:val="16"/>
          <w:szCs w:val="16"/>
        </w:rPr>
        <w:t>anomaly detection</w:t>
      </w:r>
      <w:r>
        <w:rPr>
          <w:rFonts w:eastAsia="Arial" w:cs="Arial"/>
          <w:sz w:val="16"/>
          <w:szCs w:val="16"/>
        </w:rPr>
        <w:t>) dan pemeliharaan prediktif (</w:t>
      </w:r>
      <w:r>
        <w:rPr>
          <w:rFonts w:eastAsia="Arial" w:cs="Arial"/>
          <w:i/>
          <w:iCs/>
          <w:sz w:val="16"/>
          <w:szCs w:val="16"/>
        </w:rPr>
        <w:t>predictive maintenance</w:t>
      </w:r>
      <w:r>
        <w:rPr>
          <w:rFonts w:eastAsia="Arial" w:cs="Arial"/>
          <w:sz w:val="16"/>
          <w:szCs w:val="16"/>
        </w:rPr>
        <w:t>), mekanisme keamanan perangkat dan enkripsi data (MQTTS/TLS), hingga perancangan dashboard interaktif multi-platform serta orkestrasi layanan terintegrasi (Node-RED/ThingsBoard/Grafana). Melalui pendekatan hands-on lab dan proyek terapan, mahasiswa dilatih untuk merancang dan mendemonstrasikan prototipe sistem AIoT yang andal, aman, hemat energi, dan berdampak bagi kebutuhan industri, smart city, maupun masyarakat luas.</w:t>
      </w:r>
    </w:p>
    <w:p>
      <w:pPr>
        <w:pStyle w:val="Heading3"/>
        <w:pBdr/>
        <w:shd w:val="clear" w:fill="auto"/>
        <w:spacing w:lineRule="auto" w:line="240" w:before="0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IV. BAHAN KAJIAN (BODY OF KNOWLEDGE)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BK22: Advance Topic</w:t>
      </w:r>
      <w:r>
        <w:rPr>
          <w:rFonts w:eastAsia="Arial" w:cs="Arial"/>
          <w:sz w:val="16"/>
          <w:szCs w:val="16"/>
        </w:rPr>
        <w:t xml:space="preserve"> (BK Program Studi Informatika) — Meliputi fondasi komputasi cerdas lanjut, konvergensi AI dan IoT (AIoT), interfacing sensor-aktuator cerdas, protokol perpesanan ringan (MQTT/CoAP), edge intelligence (TinyML), cloud IoT middleware, time-series analysis, keamanan IoT, dan pengembangan sistem terdistribusi multi-node.</w:t>
      </w:r>
    </w:p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V. RENCANA KEGIATAN PEMBELAJARAN MINGGUAN</w:t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600"/>
      </w:tblPr>
      <w:tblGrid>
        <w:gridCol w:w="468"/>
        <w:gridCol w:w="2059"/>
        <w:gridCol w:w="2059"/>
        <w:gridCol w:w="1498"/>
        <w:gridCol w:w="936"/>
        <w:gridCol w:w="1404"/>
        <w:gridCol w:w="936"/>
      </w:tblGrid>
      <w:tr>
        <w:trPr>
          <w:tblHeader w:val="true"/>
        </w:trPr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Mg Ke-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Sub-CPMK &amp; Indikator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Bahan Kajian / Topik Materi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Bentuk &amp; Metode Pembelajaran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Alokasi Waktu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Pengalaman Belajar Mahasiswa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Pustaka / Ref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 xml:space="preserve"> 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SCPMK0334</w:t>
            </w:r>
            <w:r>
              <w:rPr>
                <w:rFonts w:eastAsia="Arial" w:cs="Arial"/>
                <w:sz w:val="14"/>
                <w:szCs w:val="14"/>
              </w:rPr>
              <w:t xml:space="preserve"> (CPL03, CPMK033): Mampu menjelaskan konsep dasar IoT cerdas, taksonomi arsitektur AIoT, dan kriteria kelayakan sistem.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Konsep IoT Cerdas &amp; Arsitektur Sistem AIoT:</w:t>
            </w:r>
            <w:r>
              <w:rPr>
                <w:rFonts w:eastAsia="Arial" w:cs="Arial"/>
                <w:sz w:val="14"/>
                <w:szCs w:val="14"/>
              </w:rPr>
              <w:t xml:space="preserve"> Definisi AIoT, 4-tier layer (Perception, Edge/Network, Cloud Middleware, Application), IoT konvensional vs AIoT.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Kuliah Interaktif, Diskusi Arsitektur Sistem Terdistribusi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Mengkaji use case AIoT di industri serta memetakan komponen perangkat keras dan jaringan yang dibutuhkan.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SCPMK0334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(CPL03, CPMK033): Mampu menerapkan interfacing sensor, akuisisi sinyal analog/digital, dan aktuator pada embedded board.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Sensor, Aktuator, &amp; Perangkat Embedded IoT: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ESP32/Raspberry Pi, GPIO, ADC/DAC, bus komunikasi (I2C, SPI, UART), kalibrasi sensor fisik.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Laboratorium Embedded Systems &amp; Sensor Interfacing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Merangkai sirkuit sensor (suhu, kelembaban, akselerometer) dan menguji pembacaan data secara real-time.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[1],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SCPMK0344</w:t>
            </w:r>
            <w:r>
              <w:rPr>
                <w:rFonts w:eastAsia="Arial" w:cs="Arial"/>
                <w:sz w:val="14"/>
                <w:szCs w:val="14"/>
              </w:rPr>
              <w:t xml:space="preserve"> (CPL03, CPMK034): Mampu menerapkan protokol komunikasi data IoT berbasis perpesanan publish/subscribe dan request/response.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Protokol Komunikasi IoT:</w:t>
            </w:r>
            <w:r>
              <w:rPr>
                <w:rFonts w:eastAsia="Arial" w:cs="Arial"/>
                <w:sz w:val="14"/>
                <w:szCs w:val="14"/>
              </w:rPr>
              <w:t xml:space="preserve"> MQTT architecture (Broker, Topics, QoS levels 0/1/2, Retained messages), CoAP, HTTP/REST, LoRaWAN intro.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Lab Konfigurasi MQTT Broker &amp; Publisher/Subscriber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Mengirimkan telemetry data sensor dari ESP32 menuju broker MQTT publik/lokal (Mosquitto/EMQX).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SCPMK0344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(CPL03, CPMK034): Mampu merancang akuisisi, praproses sinyal sensor, dan reduksi data derau secara realtime.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Akuisisi, Praproses, &amp; Pengelolaan Data Sensor: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Format payload JSON, windowing data sensor, filter sinyal (Moving Average, Low-pass filter), edge buffering.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Pengolahan Sinyal Sensor &amp; Edge Filtering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Menerapkan algoritma filtering untuk menghilangkan noise lonjakan data sensor sebelum ditransmisikan.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SCPMK0354</w:t>
            </w:r>
            <w:r>
              <w:rPr>
                <w:rFonts w:eastAsia="Arial" w:cs="Arial"/>
                <w:sz w:val="14"/>
                <w:szCs w:val="14"/>
              </w:rPr>
              <w:t xml:space="preserve"> (CPL03, CPMK035): Mampu menerapkan arsitektur komputasi tepi (Edge Computing) dan eksekusi inferensi on-device.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Edge Computing &amp; Fog Computing untuk Sistem IoT:</w:t>
            </w:r>
            <w:r>
              <w:rPr>
                <w:rFonts w:eastAsia="Arial" w:cs="Arial"/>
                <w:sz w:val="14"/>
                <w:szCs w:val="14"/>
              </w:rPr>
              <w:t xml:space="preserve"> Konsep komputasi tepi, offloading latency, TinyML fundamentals, edge inference vs cloud processing.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Kuliah Interaktif, Praktikum TinyML / Edge Impulse on Microcontroller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Menguji eksekusi model inferensi ringan langsung pada mikrokontroler tanpa bergantung koneksi internet konstan.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SCPMK0354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(CPL03, CPMK035): Mampu mengintegrasikan node IoT dengan cloud middleware dan basis data time-series.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Integrasi Cloud Platform &amp; Layanan IoT: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ThingsBoard, AWS IoT Core / GCP IoT, basis data deret waktu (InfluxDB / TimescaleDB), REST API webhooks.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Konfigurasi Cloud IoT Platform &amp; Time-Series DB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Menghubungkan device gateway ke cloud IoT platform dan memverifikasi penyimpanan data berkala di database.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SCPMK0363</w:t>
            </w:r>
            <w:r>
              <w:rPr>
                <w:rFonts w:eastAsia="Arial" w:cs="Arial"/>
                <w:sz w:val="14"/>
                <w:szCs w:val="14"/>
              </w:rPr>
              <w:t xml:space="preserve"> (CPL03, CPMK036): Mampu mengevaluasi kinerja transmisi, latensi jaringan, konsumsi daya, dan skalabilitas IoT.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Evaluasi Kinerja, Latensi, Energi, &amp; Skalabilitas IoT:</w:t>
            </w:r>
            <w:r>
              <w:rPr>
                <w:rFonts w:eastAsia="Arial" w:cs="Arial"/>
                <w:sz w:val="14"/>
                <w:szCs w:val="14"/>
              </w:rPr>
              <w:t xml:space="preserve"> Packet loss measurement, round-trip time (RTT), sleep mode optimization, battery lifetime estimation.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Benchmarking Performa Transmisi &amp; Manajemen Daya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Melakukan pengujian latensi pengiriman pesan dan mengonfigurasi deep sleep mode pada perangkat embedded.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7956" w:type="dxa"/>
            <w:gridSpan w:val="5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EVALUASI TENGAH SEMESTER (UTS)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Ujian Teori Studi Kasus &amp; Ujian Praktik Hands-on Evaluasi Arsitektur IoT, Interfacing Sensor, Komunikasi MQTT, dan Integrasi Cloud (Bobot: 33%).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Materi Mg 1–7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SCPMK0363</w:t>
            </w:r>
            <w:r>
              <w:rPr>
                <w:rFonts w:eastAsia="Arial" w:cs="Arial"/>
                <w:sz w:val="14"/>
                <w:szCs w:val="14"/>
              </w:rPr>
              <w:t xml:space="preserve"> (CPL03, CPMK036): Mampu menerapkan mekanisme keamanan perangkat, otentikasi data, dan enkripsi jaringan IoT.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Keamanan Perangkat, Jaringan, &amp; Data IoT:</w:t>
            </w:r>
            <w:r>
              <w:rPr>
                <w:rFonts w:eastAsia="Arial" w:cs="Arial"/>
                <w:sz w:val="14"/>
                <w:szCs w:val="14"/>
              </w:rPr>
              <w:t xml:space="preserve"> Enkripsi MQTTS / TLS 1.3, autentikasi berbasis sertifikat X.509, token authorization, ancaman IoT botnet.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Penerapan Komunikasi Terenkripsi MQTTS &amp; Security Hardening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Mengkonfigurasi komunikasi secure MQTTS dengan sertifikat TLS pada ESP32 untuk mencegah sniffing data.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[3], [6]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SCPMK0531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(CPL05, CPMK053): Mampu menyusun alur pengolahan data sensor dan melatih model Machine Learning untuk klasifikasi/regresi.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Penerapan Machine Learning pada Data IoT: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Feature engineering data deret waktu, reduksi dimensi, algoritma Supervised ML (Random Forest, SVM, LightGBM).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Machine Learning Pipeline untuk Data Telemetri IoT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Membangun model klasifikasi pola sinyal sensor dan mengevaluasi metrik akurasi (Precision, Recall, F1-Score).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[1],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SCPMK0531</w:t>
            </w:r>
            <w:r>
              <w:rPr>
                <w:rFonts w:eastAsia="Arial" w:cs="Arial"/>
                <w:sz w:val="14"/>
                <w:szCs w:val="14"/>
              </w:rPr>
              <w:t xml:space="preserve"> (CPL05, CPMK053): Mampu merancang sistem deteksi anomali realtime dan pemeliharaan prediktif (Predictive Maintenance).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Deteksi Anomali &amp; Prediksi Berbasis Sensor:</w:t>
            </w:r>
            <w:r>
              <w:rPr>
                <w:rFonts w:eastAsia="Arial" w:cs="Arial"/>
                <w:sz w:val="14"/>
                <w:szCs w:val="14"/>
              </w:rPr>
              <w:t xml:space="preserve"> Isolation Forest, One-Class SVM, Autoencoder dasar, ambang batas adaptif kondisi kerusakan mesin/lingkungan.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Case-Based Learning, Praktikum Implementasi Algoritma Deteksi Anomali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Menganalisis dataset getaran/suhu motor industri dan mendeteksi kondisi abnormal secara otomatis.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SCPMK0551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(CPL05, CPMK055): Mampu merancang interoperabilitas sistem antarlayanan dan orkestrasi data IoT visual.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Interoperabilitas &amp; Integrasi Antarlayanan IoT: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Flow-based programming dengan Node-RED, integrasi multi-protokol (MQTT to HTTP/SQL), event-driven triggers.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Workshop Integrasi Node-RED &amp; Multi-Service Orchestration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Membangun rule engine otomatis menggunakan Node-RED untuk memicu aksi saat data sensor mencapai nilai kritis.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SCPMK0552</w:t>
            </w:r>
            <w:r>
              <w:rPr>
                <w:rFonts w:eastAsia="Arial" w:cs="Arial"/>
                <w:sz w:val="14"/>
                <w:szCs w:val="14"/>
              </w:rPr>
              <w:t xml:space="preserve"> (CPL05, CPMK055): Mampu merancang dashboard monitoring visual interaktif dan sistem notifikasi alert otomatis.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Perancangan Dashboard Pemantauan IoT:</w:t>
            </w:r>
            <w:r>
              <w:rPr>
                <w:rFonts w:eastAsia="Arial" w:cs="Arial"/>
                <w:sz w:val="14"/>
                <w:szCs w:val="14"/>
              </w:rPr>
              <w:t xml:space="preserve"> UI widgets (Gauges, Charts, Maps), ThingsBoard Dashboards, Grafana, Bot Notifikasi (Telegram/WhatsApp API).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Pembuatan Dashboard Interaktif &amp; Alert Automation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Merancang antarmuka visualisasi pemantauan kondisi lingkungan dan menghubungkan bot alert realtime.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SCPMK0561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(CPL05, CPMK056): Mampu menyusun spesifikasi teknis dan merancang arsitektur prototipe AIoT solusi industri.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Spesifikasi &amp; Perancangan Prototipe Sistem IoT Cerdas: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Bill of Materials (BOM), diagram alur sistem AIoT end-to-end, testing scenario planning.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Project-Based Learning Mentoring, Review Desain Sistem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Menyusun blueprint arsitektur sistem proyek AIoT kelompok dan mempresentasikan rencana implementasi.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[1], 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SCPMK0562</w:t>
            </w:r>
            <w:r>
              <w:rPr>
                <w:rFonts w:eastAsia="Arial" w:cs="Arial"/>
                <w:sz w:val="14"/>
                <w:szCs w:val="14"/>
              </w:rPr>
              <w:t xml:space="preserve"> (CPL05, CPMK056): Mampu mengintegrasikan, menguji fungsionalitas, dan mendemonstrasikan prototipe sistem AIoT terpadu.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Pengembangan Prototipe Sistem IoT Cerdas &amp; Gladi Bersih:</w:t>
            </w:r>
            <w:r>
              <w:rPr>
                <w:rFonts w:eastAsia="Arial" w:cs="Arial"/>
                <w:sz w:val="14"/>
                <w:szCs w:val="14"/>
              </w:rPr>
              <w:t xml:space="preserve"> Integrasi perangkat keras, konektivitas cloud, model inferensi, dashboard visualisasi, dan mock demo.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Simulasi Showcase, Pengujian Lapangan, Peer Assessment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2x50'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2x60'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2x60'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Melakukan uji coba unjuk kerja prototipe AIoT secara utuh dan memperbaiki kendala teknis (debugging).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7956" w:type="dxa"/>
            <w:gridSpan w:val="5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EVALUASI AKHIR SEMESTER (UAS) / DEMO PROYEK AIOT SHOWCASE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Demonstrasi karya prototipe sistem IoT cerdas fungsional di hadapan dewan penguji, evaluasi performa model AIoT, dan penyerahan laporan teknis komprehensif (Bobot: 49%).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Seluruh Materi Proyek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VI. KRITERIA EVALUASI PEMBELAJARAN (ASSESSMENT CRITERIA)</w:t>
      </w:r>
    </w:p>
    <w:p>
      <w:pPr>
        <w:pStyle w:val="normal1"/>
        <w:pBdr/>
        <w:shd w:val="clear" w:fill="auto"/>
        <w:spacing w:lineRule="auto" w:line="300" w:before="0" w:after="150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  <w:t xml:space="preserve">Penilaian ketercapaian CPMK mengacu secara presisi pada matriks dokumen </w:t>
      </w:r>
      <w:r>
        <w:rPr>
          <w:rFonts w:eastAsia="Arial" w:cs="Arial"/>
          <w:b/>
          <w:bCs/>
          <w:sz w:val="16"/>
          <w:szCs w:val="16"/>
        </w:rPr>
        <w:t>Bobot Penilaian Kurikulum OBE SKOPI</w:t>
      </w:r>
      <w:r>
        <w:rPr>
          <w:rFonts w:eastAsia="Arial" w:cs="Arial"/>
          <w:sz w:val="16"/>
          <w:szCs w:val="16"/>
        </w:rPr>
        <w:t xml:space="preserve"> untuk mata kuliah IoT Cerdas (IFEL601) dengan rincian komponen asesmen sebagai berikut:</w:t>
      </w:r>
    </w:p>
    <w:tbl>
      <w:tblPr>
        <w:tblStyle w:val="Table6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059"/>
        <w:gridCol w:w="2808"/>
        <w:gridCol w:w="2153"/>
        <w:gridCol w:w="748"/>
        <w:gridCol w:w="1124"/>
      </w:tblGrid>
      <w:tr>
        <w:trPr>
          <w:tblHeader w:val="true"/>
        </w:trPr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No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Komponen Evaluasi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Indikator Penilaian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Bentuk &amp; Metode Penilaian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Bobot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CPMK yang Diukur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Observasi / Praktik / Tugas Laboratorium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Ketepatan perakitan rangkaian sensor/aktuator embedded (4%)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Keberhasilan komunikasi MQTT &amp; serialisasi data (4%)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Kualitas praproses &amp; implementasi TinyML/Edge (4%)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Desain dashboard visualisasi &amp; rule engine (4%)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Kerapian laporan praktikum mingguan (2%)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Laporan Mingguan Hands-on Lab Praktikum &amp; Rubrik Unjuk Kerja Hardware/Software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18 %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CPMK033 (2%)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CPMK034 (3%)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CPMK035 (3%)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CPMK036 (2%)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CPMK053 (2%)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CPMK055 (3%)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CPMK056 (3%)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Evaluasi Tengah Semester (UTS)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Penguasaan menyeluruh konsep AIoT, analisis protokol komunikasi, filtering derau sensor, benchmarking latensi, dan konfigurasi arsitektur cloud IoT tahap 1.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Ujian Tertulis Studi Kasus &amp; Ujian Praktik Hands-on Konfigurasi IoT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33 %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CPMK033 (3%)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CPMK034 (6%)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CPMK035 (6%)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CPMK036 (3%)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CPMK053 (3%)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CPMK055 (6%)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CPMK056 (6%)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Evaluasi Akhir Semester (UAS)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Keberhasilan pengembangan prototipe sistem AIoT terpadu, akurasi deteksi anomali/prediksi machine learning, keandalan dashboard, keamanan komunikasi, dan performa Demo Day.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Gelar Karya Prototipe AIoT (Showcase), Presentasi Akhir, &amp; Laporan Proyek Komprehensif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49 %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CPMK033 (6%)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CPMK034 (8%)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CPMK035 (8%)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CPMK036 (5%)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CPMK053 (6%)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CPMK055 (8%)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CPMK056 (8%)</w:t>
            </w:r>
          </w:p>
        </w:tc>
      </w:tr>
      <w:tr>
        <w:trPr/>
        <w:tc>
          <w:tcPr>
            <w:tcW w:w="7488" w:type="dxa"/>
            <w:gridSpan w:val="4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TOTAL BOBOT KESELURUHAN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100 %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7 CPMK Terpenuhi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VII. PERINGKAT NILAI (GRADING SCALE)</w:t>
      </w:r>
    </w:p>
    <w:tbl>
      <w:tblPr>
        <w:tblStyle w:val="Table7"/>
        <w:tblW w:w="6552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966"/>
        <w:gridCol w:w="1310"/>
        <w:gridCol w:w="1309"/>
        <w:gridCol w:w="1967"/>
      </w:tblGrid>
      <w:tr>
        <w:trPr>
          <w:tblHeader w:val="true"/>
        </w:trPr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Rentang Skor Akhir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Nilai Huruf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Bobot Mutu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Status Kelulusan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85.00 – 100.00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4.00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2543D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22543D"/>
                <w:sz w:val="16"/>
                <w:szCs w:val="16"/>
              </w:rPr>
              <w:t>Lulus (Istimewa)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A-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A-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3.75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2543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22543D"/>
                <w:sz w:val="16"/>
                <w:szCs w:val="16"/>
                <w:shd w:fill="auto" w:val="clear"/>
              </w:rPr>
              <w:t>Lulus (Sangat 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75.00 – 79.99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B+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3.25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2B6CB0"/>
                <w:sz w:val="16"/>
                <w:szCs w:val="16"/>
              </w:rPr>
              <w:t>Lulus (Baik Sekali)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B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B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3.00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  <w:t>Lulus (Baik)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65.00 – 69.99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B-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2.75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</w:rPr>
            </w:pPr>
            <w:r>
              <w:rPr>
                <w:rFonts w:eastAsia="Arial" w:cs="Arial"/>
                <w:color w:val="744210"/>
                <w:sz w:val="16"/>
                <w:szCs w:val="16"/>
              </w:rPr>
              <w:t>Lulus (Cukup 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60.00 – 64.99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C+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2.25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744210"/>
                <w:sz w:val="16"/>
                <w:szCs w:val="16"/>
                <w:shd w:fill="auto" w:val="clear"/>
              </w:rPr>
              <w:t>Lulus (Cukup)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55.00 – 59.99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</w:rPr>
            </w:pPr>
            <w:r>
              <w:rPr>
                <w:rFonts w:eastAsia="Arial" w:cs="Arial"/>
                <w:color w:val="744210"/>
                <w:sz w:val="16"/>
                <w:szCs w:val="16"/>
              </w:rPr>
              <w:t>Lulus (Kurang Cukup)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45.00 – 54.99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D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C53030"/>
                <w:sz w:val="16"/>
                <w:szCs w:val="16"/>
                <w:shd w:fill="auto" w:val="clear"/>
              </w:rPr>
              <w:t>1.00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Tidak Lulus (Kurang)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0.00 – 44.99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E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C53030"/>
                <w:sz w:val="16"/>
                <w:szCs w:val="16"/>
                <w:shd w:fill="auto" w:val="clear"/>
              </w:rPr>
              <w:t>0.00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Tidak Lulus (Gagal)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VIII. REFERENSI &amp; SUMBER BELAJAR</w:t>
      </w:r>
    </w:p>
    <w:p>
      <w:pPr>
        <w:pStyle w:val="normal1"/>
        <w:pBdr/>
        <w:shd w:val="clear" w:fill="auto"/>
        <w:spacing w:lineRule="auto" w:line="240" w:before="0" w:after="75"/>
        <w:rPr>
          <w:rFonts w:ascii="Arial" w:hAnsi="Arial" w:eastAsia="Arial" w:cs="Arial"/>
          <w:b/>
          <w:bCs/>
          <w:color w:val="1A365D"/>
          <w:sz w:val="16"/>
          <w:szCs w:val="16"/>
        </w:rPr>
      </w:pPr>
      <w:r>
        <w:rPr>
          <w:rFonts w:eastAsia="Arial" w:cs="Arial"/>
          <w:b/>
          <w:bCs/>
          <w:color w:val="1A365D"/>
          <w:sz w:val="16"/>
          <w:szCs w:val="16"/>
        </w:rPr>
        <w:t>Buku Wajib / Utama: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[1] Warden, P., &amp; Situnayake, D. (2019).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TinyML: Machine Learning with TensorFlow Lite on Arduino and Ultra-Low-Power Microcontrollers</w:t>
      </w:r>
      <w:r>
        <w:rPr>
          <w:rFonts w:eastAsia="Arial" w:cs="Arial"/>
          <w:sz w:val="16"/>
          <w:szCs w:val="16"/>
        </w:rPr>
        <w:t>. Sebastopol, CA: O'Reilly Media.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[2] Lea, P. (2020).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Internet of Things for Architects: Architecting IoT solutions by implementing sensors, communication infrastructure, edge computing, analytics, and security</w:t>
      </w:r>
      <w:r>
        <w:rPr>
          <w:rFonts w:eastAsia="Arial" w:cs="Arial"/>
          <w:sz w:val="16"/>
          <w:szCs w:val="16"/>
        </w:rPr>
        <w:t>. Birmingham, UK: Packt Publishing.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[3] Schwartz, M. (2018).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Internet of Things with ESP32: Build secure IoT projects with ESP32 and cloud platforms</w:t>
      </w:r>
      <w:r>
        <w:rPr>
          <w:rFonts w:eastAsia="Arial" w:cs="Arial"/>
          <w:sz w:val="16"/>
          <w:szCs w:val="16"/>
        </w:rPr>
        <w:t>. Birmingham, UK: Packt Publishing.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[4] Zhang, Q., &amp; Yao, L. (2022).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Artificial Intelligence of Things (AIoT): Principles and Applications</w:t>
      </w:r>
      <w:r>
        <w:rPr>
          <w:rFonts w:eastAsia="Arial" w:cs="Arial"/>
          <w:sz w:val="16"/>
          <w:szCs w:val="16"/>
        </w:rPr>
        <w:t>. Cham: Springer.</w:t>
      </w:r>
    </w:p>
    <w:p>
      <w:pPr>
        <w:pStyle w:val="normal1"/>
        <w:pBdr/>
        <w:shd w:val="clear" w:fill="auto"/>
        <w:spacing w:lineRule="auto" w:line="240" w:before="225" w:after="75"/>
        <w:rPr>
          <w:rFonts w:ascii="Arial" w:hAnsi="Arial" w:eastAsia="Arial" w:cs="Arial"/>
          <w:b/>
          <w:bCs/>
          <w:color w:val="1A365D"/>
          <w:sz w:val="16"/>
          <w:szCs w:val="16"/>
        </w:rPr>
      </w:pPr>
      <w:r>
        <w:rPr>
          <w:rFonts w:eastAsia="Arial" w:cs="Arial"/>
          <w:b/>
          <w:bCs/>
          <w:color w:val="1A365D"/>
          <w:sz w:val="16"/>
          <w:szCs w:val="16"/>
        </w:rPr>
        <w:t>Buku yang Direkomendasikan / Pustaka Pendukung: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[5] Asosiasi Pendidikan Tinggi Informatika dan Komputer (APTIKOM). (2023).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Panduan Kurikulum Berbasis Outcome-Based Education (OBE) Program Studi Informatika/Ilmu Komputer</w:t>
      </w:r>
      <w:r>
        <w:rPr>
          <w:rFonts w:eastAsia="Arial" w:cs="Arial"/>
          <w:sz w:val="16"/>
          <w:szCs w:val="16"/>
        </w:rPr>
        <w:t>. Jakarta: APTIKOM Press.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[6] Russell, B., &amp; Van Duren, D. (2018).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Practical Internet of Things Security</w:t>
      </w:r>
      <w:r>
        <w:rPr>
          <w:rFonts w:eastAsia="Arial" w:cs="Arial"/>
          <w:sz w:val="16"/>
          <w:szCs w:val="16"/>
        </w:rPr>
        <w:t xml:space="preserve"> (2nd Edition). Birmingham, UK: Packt Publishing.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[7] ThingsBoard Authors. (2026).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ThingsBoard IoT Platform Documentation and Architecture Guide</w:t>
      </w:r>
      <w:r>
        <w:rPr>
          <w:rFonts w:eastAsia="Arial" w:cs="Arial"/>
          <w:sz w:val="16"/>
          <w:szCs w:val="16"/>
        </w:rPr>
        <w:t>. https://thingsboard.io/docs/.</w:t>
      </w:r>
    </w:p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IX. PEMETAAN MATAKULIAH KE CAPAIAN PEMBELAJARAN LULUSAN (CPL) PROGRAM STUDI</w:t>
      </w:r>
    </w:p>
    <w:tbl>
      <w:tblPr>
        <w:tblStyle w:val="Table8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3742"/>
        <w:gridCol w:w="561"/>
        <w:gridCol w:w="563"/>
        <w:gridCol w:w="561"/>
        <w:gridCol w:w="562"/>
        <w:gridCol w:w="562"/>
        <w:gridCol w:w="561"/>
        <w:gridCol w:w="562"/>
        <w:gridCol w:w="562"/>
        <w:gridCol w:w="562"/>
        <w:gridCol w:w="562"/>
      </w:tblGrid>
      <w:tr>
        <w:trPr>
          <w:tblHeader w:val="true"/>
        </w:trPr>
        <w:tc>
          <w:tcPr>
            <w:tcW w:w="3742" w:type="dxa"/>
            <w:vMerge w:val="restart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Mata Kuliah (CPMK)</w:t>
            </w:r>
          </w:p>
        </w:tc>
        <w:tc>
          <w:tcPr>
            <w:tcW w:w="5618" w:type="dxa"/>
            <w:gridSpan w:val="10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Lulusan Program Studi (CPL PRODI)</w:t>
            </w:r>
          </w:p>
        </w:tc>
      </w:tr>
      <w:tr>
        <w:trPr>
          <w:tblHeader w:val="true"/>
        </w:trPr>
        <w:tc>
          <w:tcPr>
            <w:tcW w:w="3742" w:type="dxa"/>
            <w:vMerge w:val="continue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Mata Kuliah (CPMK)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CPL01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CPL02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BEE3F8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CPL03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CPL04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BEE3F8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CPL05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CPL06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CPL07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CPL08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CPL09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CPL10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CPMK033:</w:t>
            </w:r>
            <w:r>
              <w:rPr>
                <w:rFonts w:eastAsia="Arial" w:cs="Arial"/>
                <w:sz w:val="16"/>
                <w:szCs w:val="16"/>
              </w:rPr>
              <w:t xml:space="preserve"> Mampu mengevaluasi kesesuaian algoritma sistem IoT cerdas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CPMK034: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merancang solusi arsitektur komputasi IoT cerdas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CPMK035:</w:t>
            </w:r>
            <w:r>
              <w:rPr>
                <w:rFonts w:eastAsia="Arial" w:cs="Arial"/>
                <w:sz w:val="16"/>
                <w:szCs w:val="16"/>
              </w:rPr>
              <w:t xml:space="preserve"> Mampu mengintegrasikan metode komputasi &amp; jaringan sensor IoT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CPMK036: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mengevaluasi kinerja, latensi &amp; keamanan solusi IoT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CPMK053:</w:t>
            </w:r>
            <w:r>
              <w:rPr>
                <w:rFonts w:eastAsia="Arial" w:cs="Arial"/>
                <w:sz w:val="16"/>
                <w:szCs w:val="16"/>
              </w:rPr>
              <w:t xml:space="preserve"> Mampu mengembangkan solusi berbasis data sensor &amp; model AI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CPMK055: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merancang arsitektur multi-platform IoT &amp; dashboard visual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CPMK056:</w:t>
            </w:r>
            <w:r>
              <w:rPr>
                <w:rFonts w:eastAsia="Arial" w:cs="Arial"/>
                <w:sz w:val="16"/>
                <w:szCs w:val="16"/>
              </w:rPr>
              <w:t xml:space="preserve"> Mampu mengembangkan prototipe aplikasi IoT cerdas terpadu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roman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Unicode MS">
    <w:charset w:val="01"/>
    <w:family w:val="roman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eastAsia="Arial"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8</Pages>
  <Words>2217</Words>
  <Characters>14244</Characters>
  <CharactersWithSpaces>16047</CharactersWithSpaces>
  <Paragraphs>425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