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ageBreakBefore w:val="false"/>
        <w:shd w:val="clear" w:fill="auto"/>
        <w:spacing w:lineRule="auto" w:line="240" w:before="0" w:after="300"/>
        <w:jc w:val="center"/>
        <w:rPr>
          <w:rFonts w:ascii="Arial" w:hAnsi="Arial" w:eastAsia="Arial" w:cs="Arial"/>
          <w:color w:val="2D3748"/>
          <w:sz w:val="22"/>
          <w:szCs w:val="22"/>
        </w:rPr>
      </w:pPr>
      <w:r>
        <w:rPr>
          <w:rFonts w:eastAsia="Arial" w:cs="Arial" w:ascii="Arial" w:hAnsi="Arial"/>
          <w:color w:val="2D3748"/>
          <w:sz w:val="22"/>
          <w:szCs w:val="22"/>
        </w:rPr>
      </w:r>
    </w:p>
    <w:p>
      <w:pPr>
        <w:pStyle w:val="JudulHeader"/>
        <w:rPr/>
      </w:pPr>
      <w:r>
        <w:rPr/>
        <w:t>RENCANA PEMBELAJARAN SEMESTER</w:t>
      </w:r>
    </w:p>
    <w:p>
      <w:pPr>
        <w:pStyle w:val="JudulHeader"/>
        <w:rPr/>
      </w:pPr>
      <w:r>
        <w:rPr/>
        <w:t xml:space="preserve">MATA KULIAH: TECHNOPRENEURSHIP </w:t>
      </w:r>
    </w:p>
    <w:p>
      <w:pPr>
        <w:pStyle w:val="JudulHeader"/>
        <w:rPr/>
      </w:pPr>
      <w:r>
        <w:rPr/>
        <w:t>(KODE: IFPU602)</w:t>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t>PRODI INFORMATIKA</w:t>
      </w:r>
    </w:p>
    <w:p>
      <w:pPr>
        <w:pStyle w:val="JudulHeader"/>
        <w:rPr/>
      </w:pPr>
      <w:r>
        <w:rPr/>
        <w:t>FAKULTAS TEKNOLOGI DAN INFORMATI</w:t>
      </w:r>
    </w:p>
    <w:p>
      <w:pPr>
        <w:pStyle w:val="JudulHeader"/>
        <w:rPr/>
      </w:pPr>
      <w:r>
        <w:rPr/>
        <w:t>UNIVERSITAS INFORMATIKA DAN BISNIS INDONESIA</w:t>
      </w:r>
      <w:r>
        <w:br w:type="page"/>
      </w:r>
    </w:p>
    <w:p>
      <w:pPr>
        <w:pStyle w:val="JudulHeader"/>
        <w:rPr/>
      </w:pPr>
      <w:r>
        <w:rPr/>
        <w:t>Rencana Pembelajaran Semester</w:t>
      </w:r>
    </w:p>
    <w:p>
      <w:pPr>
        <w:pStyle w:val="Heading3"/>
        <w:shd w:val="clear" w:fill="auto"/>
        <w:spacing w:lineRule="auto" w:line="240" w:before="0" w:after="120"/>
        <w:rPr>
          <w:rFonts w:ascii="Arial" w:hAnsi="Arial" w:eastAsia="Arial" w:cs="Arial"/>
          <w:color w:val="1A365D"/>
          <w:sz w:val="18"/>
          <w:szCs w:val="18"/>
        </w:rPr>
      </w:pPr>
      <w:r>
        <w:rPr>
          <w:rFonts w:eastAsia="Arial" w:cs="Arial" w:ascii="Arial" w:hAnsi="Arial"/>
          <w:color w:val="1A365D"/>
          <w:sz w:val="18"/>
          <w:szCs w:val="18"/>
        </w:rPr>
      </w:r>
    </w:p>
    <w:p>
      <w:pPr>
        <w:pStyle w:val="Heading3"/>
        <w:shd w:val="clear" w:fill="auto"/>
        <w:spacing w:lineRule="auto" w:line="240" w:before="0" w:after="120"/>
        <w:rPr>
          <w:rFonts w:ascii="Arial" w:hAnsi="Arial" w:eastAsia="Arial" w:cs="Arial"/>
          <w:color w:val="1A365D"/>
          <w:sz w:val="18"/>
          <w:szCs w:val="18"/>
        </w:rPr>
      </w:pPr>
      <w:r>
        <w:rPr>
          <w:rFonts w:eastAsia="Arial" w:cs="Arial" w:ascii="Arial" w:hAnsi="Arial"/>
          <w:color w:val="1A365D"/>
          <w:sz w:val="18"/>
          <w:szCs w:val="18"/>
        </w:rPr>
      </w:r>
    </w:p>
    <w:tbl>
      <w:tblPr>
        <w:tblStyle w:val="Table2"/>
        <w:tblW w:w="9360" w:type="dxa"/>
        <w:jc w:val="start"/>
        <w:tblInd w:w="0" w:type="dxa"/>
        <w:tblLayout w:type="fixed"/>
        <w:tblCellMar>
          <w:top w:w="120" w:type="dxa"/>
          <w:start w:w="120" w:type="dxa"/>
          <w:bottom w:w="120" w:type="dxa"/>
          <w:end w:w="120" w:type="dxa"/>
        </w:tblCellMar>
        <w:tblLook w:val="0600"/>
      </w:tblPr>
      <w:tblGrid>
        <w:gridCol w:w="1590"/>
        <w:gridCol w:w="2280"/>
        <w:gridCol w:w="2205"/>
        <w:gridCol w:w="1410"/>
        <w:gridCol w:w="1875"/>
      </w:tblGrid>
      <w:tr>
        <w:trPr>
          <w:tblHeader w:val="true"/>
        </w:trPr>
        <w:tc>
          <w:tcPr>
            <w:tcW w:w="159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Proses</w:t>
            </w:r>
          </w:p>
        </w:tc>
        <w:tc>
          <w:tcPr>
            <w:tcW w:w="228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Nama Penanggung Jawab</w:t>
            </w:r>
          </w:p>
        </w:tc>
        <w:tc>
          <w:tcPr>
            <w:tcW w:w="2205"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Jabatan</w:t>
            </w:r>
          </w:p>
        </w:tc>
        <w:tc>
          <w:tcPr>
            <w:tcW w:w="141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Tanda Tangan</w:t>
            </w:r>
          </w:p>
        </w:tc>
        <w:tc>
          <w:tcPr>
            <w:tcW w:w="1875"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Tanggal</w:t>
            </w:r>
          </w:p>
          <w:p>
            <w:pPr>
              <w:pStyle w:val="IsiTabel"/>
              <w:rPr/>
            </w:pPr>
            <w:r>
              <w:rPr/>
              <w:t xml:space="preserve"> </w:t>
            </w:r>
          </w:p>
        </w:tc>
      </w:tr>
      <w:tr>
        <w:trPr/>
        <w:tc>
          <w:tcPr>
            <w:tcW w:w="159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Perumusan</w:t>
            </w:r>
          </w:p>
        </w:tc>
        <w:tc>
          <w:tcPr>
            <w:tcW w:w="2280"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Arial" w:hAnsi="Arial" w:eastAsia="Arial" w:cs="Arial"/>
                <w:color w:val="000000"/>
                <w:sz w:val="22"/>
                <w:szCs w:val="22"/>
              </w:rPr>
            </w:pPr>
            <w:r>
              <w:rPr/>
              <w:t>M. Achya Arifudin, S.T., M.T., M.Kom.</w:t>
            </w:r>
          </w:p>
        </w:tc>
        <w:tc>
          <w:tcPr>
            <w:tcW w:w="220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Dosen</w:t>
            </w:r>
          </w:p>
        </w:tc>
        <w:tc>
          <w:tcPr>
            <w:tcW w:w="141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187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25 Juli 2026</w:t>
            </w:r>
          </w:p>
        </w:tc>
      </w:tr>
      <w:tr>
        <w:trPr/>
        <w:tc>
          <w:tcPr>
            <w:tcW w:w="159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Pemeriksaan</w:t>
            </w:r>
          </w:p>
        </w:tc>
        <w:tc>
          <w:tcPr>
            <w:tcW w:w="228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2205"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141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1875"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28 Juli 2026</w:t>
            </w:r>
          </w:p>
        </w:tc>
      </w:tr>
      <w:tr>
        <w:trPr/>
        <w:tc>
          <w:tcPr>
            <w:tcW w:w="159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Persetujuan</w:t>
            </w:r>
          </w:p>
        </w:tc>
        <w:tc>
          <w:tcPr>
            <w:tcW w:w="228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220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141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187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30 Juli 2026</w:t>
            </w:r>
          </w:p>
        </w:tc>
      </w:tr>
      <w:tr>
        <w:trPr/>
        <w:tc>
          <w:tcPr>
            <w:tcW w:w="159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Penetapan</w:t>
            </w:r>
          </w:p>
        </w:tc>
        <w:tc>
          <w:tcPr>
            <w:tcW w:w="228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2205"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141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r>
          </w:p>
        </w:tc>
        <w:tc>
          <w:tcPr>
            <w:tcW w:w="1875"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02 Agustus 2026</w:t>
            </w:r>
          </w:p>
        </w:tc>
      </w:tr>
      <w:tr>
        <w:trPr/>
        <w:tc>
          <w:tcPr>
            <w:tcW w:w="159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Pengendalian</w:t>
            </w:r>
          </w:p>
        </w:tc>
        <w:tc>
          <w:tcPr>
            <w:tcW w:w="228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220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141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r>
          </w:p>
        </w:tc>
        <w:tc>
          <w:tcPr>
            <w:tcW w:w="1875"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05 Agustus 2026</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ascii="Arial" w:hAnsi="Arial"/>
          <w:color w:val="1A365D"/>
          <w:sz w:val="18"/>
          <w:szCs w:val="18"/>
        </w:rPr>
        <w:t>I. IDENTITAS MATA KULIAH</w:t>
      </w:r>
    </w:p>
    <w:tbl>
      <w:tblPr>
        <w:tblStyle w:val="Table3"/>
        <w:tblW w:w="9360" w:type="dxa"/>
        <w:jc w:val="start"/>
        <w:tblInd w:w="0" w:type="dxa"/>
        <w:tblLayout w:type="fixed"/>
        <w:tblCellMar>
          <w:top w:w="120" w:type="dxa"/>
          <w:start w:w="120" w:type="dxa"/>
          <w:bottom w:w="120" w:type="dxa"/>
          <w:end w:w="120" w:type="dxa"/>
        </w:tblCellMar>
        <w:tblLook w:val="0600"/>
      </w:tblPr>
      <w:tblGrid>
        <w:gridCol w:w="2340"/>
        <w:gridCol w:w="7020"/>
      </w:tblGrid>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Tanggal Dikeluarkan</w:t>
            </w:r>
          </w:p>
        </w:tc>
        <w:tc>
          <w:tcPr>
            <w:tcW w:w="702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 xml:space="preserve">: </w:t>
            </w:r>
            <w:r>
              <w:rPr/>
              <w:t>25 Juli 2026</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Tanggal Revisi</w:t>
            </w:r>
          </w:p>
        </w:tc>
        <w:tc>
          <w:tcPr>
            <w:tcW w:w="7020" w:type="dxa"/>
            <w:tcBorders>
              <w:start w:val="single" w:sz="6" w:space="0" w:color="CBD5E0"/>
              <w:bottom w:val="single" w:sz="6" w:space="0" w:color="CBD5E0"/>
              <w:end w:val="single" w:sz="6" w:space="0" w:color="CBD5E0"/>
            </w:tcBorders>
            <w:shd w:fill="auto" w:val="clear"/>
          </w:tcPr>
          <w:p>
            <w:pPr>
              <w:pStyle w:val="IsiTabel"/>
              <w:rPr/>
            </w:pPr>
            <w:r>
              <w:rPr/>
              <w:t xml:space="preserve">: </w:t>
            </w:r>
            <w:r>
              <w:rPr/>
              <w:t>25 Juli 2026</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Nama Mata Kuliah</w:t>
            </w:r>
          </w:p>
        </w:tc>
        <w:tc>
          <w:tcPr>
            <w:tcW w:w="7020" w:type="dxa"/>
            <w:tcBorders>
              <w:start w:val="single" w:sz="6" w:space="0" w:color="CBD5E0"/>
              <w:bottom w:val="single" w:sz="6" w:space="0" w:color="CBD5E0"/>
              <w:end w:val="single" w:sz="6" w:space="0" w:color="CBD5E0"/>
            </w:tcBorders>
            <w:shd w:fill="auto" w:val="clear"/>
          </w:tcPr>
          <w:p>
            <w:pPr>
              <w:pStyle w:val="IsiTabel"/>
              <w:rPr/>
            </w:pPr>
            <w:r>
              <w:rPr/>
              <w:t>: Technopreneurship</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Kode Mata Kuliah</w:t>
            </w:r>
          </w:p>
        </w:tc>
        <w:tc>
          <w:tcPr>
            <w:tcW w:w="7020" w:type="dxa"/>
            <w:tcBorders>
              <w:start w:val="single" w:sz="6" w:space="0" w:color="CBD5E0"/>
              <w:bottom w:val="single" w:sz="6" w:space="0" w:color="CBD5E0"/>
              <w:end w:val="single" w:sz="6" w:space="0" w:color="CBD5E0"/>
            </w:tcBorders>
            <w:shd w:fill="auto" w:val="clear"/>
          </w:tcPr>
          <w:p>
            <w:pPr>
              <w:pStyle w:val="IsiTabel"/>
              <w:rPr/>
            </w:pPr>
            <w:r>
              <w:rPr/>
              <w:t>: IFPU602</w:t>
            </w:r>
          </w:p>
        </w:tc>
      </w:tr>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Bobot SKS</w:t>
            </w:r>
          </w:p>
        </w:tc>
        <w:tc>
          <w:tcPr>
            <w:tcW w:w="7020"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 xml:space="preserve">3 SKS </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Semester</w:t>
            </w:r>
          </w:p>
        </w:tc>
        <w:tc>
          <w:tcPr>
            <w:tcW w:w="7020" w:type="dxa"/>
            <w:tcBorders>
              <w:start w:val="single" w:sz="6" w:space="0" w:color="CBD5E0"/>
              <w:bottom w:val="single" w:sz="6" w:space="0" w:color="CBD5E0"/>
              <w:end w:val="single" w:sz="6" w:space="0" w:color="CBD5E0"/>
            </w:tcBorders>
            <w:shd w:fill="F7FAFC" w:val="clear"/>
          </w:tcPr>
          <w:p>
            <w:pPr>
              <w:pStyle w:val="IsiTabel"/>
              <w:rPr/>
            </w:pPr>
            <w:r>
              <w:rPr/>
              <w:t>6</w:t>
            </w:r>
          </w:p>
        </w:tc>
      </w:tr>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Dosen Pengampu</w:t>
            </w:r>
          </w:p>
        </w:tc>
        <w:tc>
          <w:tcPr>
            <w:tcW w:w="7020" w:type="dxa"/>
            <w:tcBorders>
              <w:top w:val="single" w:sz="6" w:space="0" w:color="CBD5E0"/>
              <w:start w:val="single" w:sz="6" w:space="0" w:color="CBD5E0"/>
              <w:bottom w:val="single" w:sz="6" w:space="0" w:color="CBD5E0"/>
              <w:end w:val="single" w:sz="6" w:space="0" w:color="CBD5E0"/>
            </w:tcBorders>
            <w:shd w:fill="auto" w:val="clear"/>
          </w:tcPr>
          <w:p>
            <w:pPr>
              <w:pStyle w:val="IsiTabel"/>
              <w:rPr/>
            </w:pPr>
            <w:r>
              <w:rPr/>
              <w:t>M. Achya Arifudin, S.T., M.T., M.Kom.</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Capaian Pembelajaran</w:t>
            </w:r>
          </w:p>
        </w:tc>
        <w:tc>
          <w:tcPr>
            <w:tcW w:w="7020" w:type="dxa"/>
            <w:tcBorders>
              <w:start w:val="single" w:sz="6" w:space="0" w:color="CBD5E0"/>
              <w:bottom w:val="single" w:sz="6" w:space="0" w:color="CBD5E0"/>
              <w:end w:val="single" w:sz="6" w:space="0" w:color="CBD5E0"/>
            </w:tcBorders>
            <w:shd w:fill="auto" w:val="clear"/>
          </w:tcPr>
          <w:p>
            <w:pPr>
              <w:pStyle w:val="IsiTabel"/>
              <w:rPr/>
            </w:pPr>
            <w:r>
              <w:rPr/>
              <w:t>Capaian Pembelajaran Lulusan Program Studi Yang Dibebankan Pada Mata Kuliah:</w:t>
            </w:r>
          </w:p>
          <w:p>
            <w:pPr>
              <w:pStyle w:val="IsiTabel"/>
              <w:rPr/>
            </w:pPr>
            <w:r>
              <w:rPr/>
              <w:t xml:space="preserve">CPL02: </w:t>
            </w:r>
          </w:p>
          <w:p>
            <w:pPr>
              <w:pStyle w:val="IsiTabel"/>
              <w:rPr/>
            </w:pPr>
            <w:r>
              <w:rPr/>
              <w:t>Menjadi pribadi yang berintegritas, mandiri, tangguh, dan inovatif dengan memahami dan mengimplementasikan semangat kewirausahaan (</w:t>
            </w:r>
            <w:r>
              <w:rPr>
                <w:i/>
                <w:iCs/>
              </w:rPr>
              <w:t>spirit of entrepreneurship</w:t>
            </w:r>
            <w:r>
              <w:rPr/>
              <w:t>), karakteristik pembelajar sepanjang hayat (</w:t>
            </w:r>
            <w:r>
              <w:rPr>
                <w:i/>
                <w:iCs/>
              </w:rPr>
              <w:t>lifelong learner</w:t>
            </w:r>
            <w:r>
              <w:rPr/>
              <w:t>), serta prinsip keberlanjutan (</w:t>
            </w:r>
            <w:r>
              <w:rPr>
                <w:i/>
                <w:iCs/>
              </w:rPr>
              <w:t>sustainability</w:t>
            </w:r>
            <w:r>
              <w:rPr/>
              <w:t>) untuk mendukung pembangunan berkelanjutan, berdampak, serta berdaya saing global.</w:t>
            </w:r>
          </w:p>
          <w:p>
            <w:pPr>
              <w:pStyle w:val="IsiTabel"/>
              <w:rPr/>
            </w:pPr>
            <w:r>
              <w:rPr/>
              <w:t>CPL09:</w:t>
            </w:r>
          </w:p>
          <w:p>
            <w:pPr>
              <w:pStyle w:val="IsiTabel"/>
              <w:rPr/>
            </w:pPr>
            <w:r>
              <w:rPr/>
              <w:t>Mampu membudayakan sikap profesional, etis, bertanggung jawab, adaptif, dan kolaboratif dalam tim multidisiplin untuk menciptakan solusi digital yang berdampak, berkelanjutan, dan berdaya saing global, serta mengembangkan kompetensi secara berkelanjutan melalui pembelajaran sepanjang hayat.</w:t>
            </w:r>
          </w:p>
          <w:p>
            <w:pPr>
              <w:pStyle w:val="IsiTabel"/>
              <w:rPr/>
            </w:pPr>
            <w:r>
              <w:rPr/>
            </w:r>
          </w:p>
          <w:p>
            <w:pPr>
              <w:pStyle w:val="IsiTabel"/>
              <w:rPr/>
            </w:pPr>
            <w:r>
              <w:rPr/>
              <w:t>Capaian Pembelajaran Mata Kuliah (CPMK)</w:t>
            </w:r>
            <w:r>
              <w:rPr>
                <w:rFonts w:eastAsia="Arial" w:cs="Arial" w:ascii="Arial" w:hAnsi="Arial"/>
                <w:b/>
                <w:bCs/>
                <w:color w:val="000000"/>
                <w:sz w:val="22"/>
                <w:szCs w:val="22"/>
              </w:rPr>
              <w:t>:</w:t>
            </w:r>
          </w:p>
          <w:p>
            <w:pPr>
              <w:pStyle w:val="IsiTabel"/>
              <w:rPr/>
            </w:pPr>
            <w:r>
              <w:rPr/>
              <w:t>CPMK021:</w:t>
            </w:r>
          </w:p>
          <w:p>
            <w:pPr>
              <w:pStyle w:val="IsiTabel"/>
              <w:rPr/>
            </w:pPr>
            <w:r>
              <w:rPr/>
              <w:t>Mampu menganalisis (C4) dan mengimplementasikan (C3) prinsip kewirausahaan berbasis teknologi informasi secara berintegritas, inovatif, dan berkelanjutan dalam menciptakan solusi bisnis yang berdaya saing global.</w:t>
            </w:r>
          </w:p>
          <w:p>
            <w:pPr>
              <w:pStyle w:val="IsiTabel"/>
              <w:rPr/>
            </w:pPr>
            <w:r>
              <w:rPr/>
              <w:t>CPMK022:</w:t>
            </w:r>
          </w:p>
          <w:p>
            <w:pPr>
              <w:pStyle w:val="IsiTabel"/>
              <w:rPr/>
            </w:pPr>
            <w:r>
              <w:rPr/>
              <w:t>Mampu merancang (C6), mengembangkan (C3), dan mempresentasikan (C2) ide technopreneur yang menunjukkan kemandirian, kreativitas, serta semangat kewirausahaan untuk menghasilkan solusi industri berbasis teknologi informasi yang berkelanjutan.</w:t>
            </w:r>
          </w:p>
          <w:p>
            <w:pPr>
              <w:pStyle w:val="IsiTabel"/>
              <w:rPr/>
            </w:pPr>
            <w:r>
              <w:rPr/>
              <w:t>CPMK023:</w:t>
            </w:r>
          </w:p>
          <w:p>
            <w:pPr>
              <w:pStyle w:val="IsiTabel"/>
              <w:rPr/>
            </w:pPr>
            <w:r>
              <w:rPr/>
              <w:t>Mampu memahami (C2) konsep dasar komunikasi berbahasa Inggris dalam konteks akademik, profesional, dan kewirausahaan, serta dapat (C3) menggunakan bahasa Inggris secara efektif.</w:t>
            </w:r>
          </w:p>
          <w:p>
            <w:pPr>
              <w:pStyle w:val="IsiTabel"/>
              <w:rPr/>
            </w:pPr>
            <w:r>
              <w:rPr/>
              <w:t>CPMK093:</w:t>
            </w:r>
          </w:p>
          <w:p>
            <w:pPr>
              <w:pStyle w:val="IsiTabel"/>
              <w:rPr/>
            </w:pPr>
            <w:r>
              <w:rPr/>
              <w:t>Mampu membudayakan kolaborasi yang inklusif dan mengorganisasi kontribusi anggota dalam tim multidisiplin untuk menyelesaikan proyek atau permasalahan digital secara bertanggung jawab.</w:t>
            </w:r>
          </w:p>
          <w:p>
            <w:pPr>
              <w:pStyle w:val="IsiTabel"/>
              <w:rPr/>
            </w:pPr>
            <w:r>
              <w:rPr/>
              <w:t>CPMK094:</w:t>
            </w:r>
          </w:p>
          <w:p>
            <w:pPr>
              <w:pStyle w:val="IsiTabel"/>
              <w:rPr/>
            </w:pPr>
            <w:r>
              <w:rPr/>
              <w:t>Mampu menciptakan solusi digital yang berdampak, berkelanjutan, dan berdaya saing global dengan mengintegrasikan kebutuhan masyarakat, peluang inovasi, perkembangan teknologi, dan hasil penelitian.</w:t>
            </w:r>
          </w:p>
          <w:p>
            <w:pPr>
              <w:pStyle w:val="IsiTabel"/>
              <w:rPr/>
            </w:pPr>
            <w:r>
              <w:rPr/>
              <w:t>CPMK095:</w:t>
            </w:r>
          </w:p>
          <w:p>
            <w:pPr>
              <w:pStyle w:val="IsiTabel"/>
              <w:rPr/>
            </w:pPr>
            <w:r>
              <w:rPr/>
              <w:t>Mampu membudayakan pembelajaran sepanjang hayat melalui refleksi diri, adaptasi terhadap perkembangan teknologi, pengembangan kompetensi, dan tanggung jawab terhadap peningkatan profesional berkelanjutan.</w:t>
            </w:r>
          </w:p>
          <w:p>
            <w:pPr>
              <w:pStyle w:val="IsiTabel"/>
              <w:rPr/>
            </w:pPr>
            <w:r>
              <w:rPr/>
              <w:t>CPMK096:</w:t>
            </w:r>
          </w:p>
          <w:p>
            <w:pPr>
              <w:pStyle w:val="IsiTabel"/>
              <w:rPr/>
            </w:pPr>
            <w:r>
              <w:rPr/>
              <w:t>Mampu menciptakan budaya kerja profesional, adaptif, dan berorientasi dampak melalui kepemimpinan diri, kewirausahaan, evaluasi kontribusi, serta perencanaan pengembangan karier dan kompetensi.</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Deskripsi Singkat Mata Kuliah</w:t>
            </w:r>
          </w:p>
        </w:tc>
        <w:tc>
          <w:tcPr>
            <w:tcW w:w="7020" w:type="dxa"/>
            <w:tcBorders>
              <w:start w:val="single" w:sz="6" w:space="0" w:color="CBD5E0"/>
              <w:bottom w:val="single" w:sz="6" w:space="0" w:color="CBD5E0"/>
              <w:end w:val="single" w:sz="6" w:space="0" w:color="CBD5E0"/>
            </w:tcBorders>
            <w:shd w:fill="auto" w:val="clear"/>
          </w:tcPr>
          <w:p>
            <w:pPr>
              <w:pStyle w:val="normal1"/>
              <w:rPr>
                <w:rFonts w:ascii="Times New Roman" w:hAnsi="Times New Roman"/>
                <w:b w:val="false"/>
                <w:bCs w:val="false"/>
                <w:sz w:val="24"/>
                <w:szCs w:val="24"/>
              </w:rPr>
            </w:pPr>
            <w:r>
              <w:rPr>
                <w:rFonts w:eastAsia="Arial" w:cs="Arial" w:ascii="Times New Roman" w:hAnsi="Times New Roman"/>
                <w:b w:val="false"/>
                <w:bCs w:val="false"/>
                <w:sz w:val="24"/>
                <w:szCs w:val="24"/>
              </w:rPr>
              <w:t xml:space="preserve">Mata kuliah </w:t>
            </w:r>
            <w:r>
              <w:rPr>
                <w:rFonts w:eastAsia="Arial" w:cs="Arial" w:ascii="Times New Roman" w:hAnsi="Times New Roman"/>
                <w:b w:val="false"/>
                <w:bCs w:val="false"/>
                <w:sz w:val="24"/>
                <w:szCs w:val="24"/>
              </w:rPr>
              <w:t>Technopreneurship (IFPU602)</w:t>
            </w:r>
            <w:r>
              <w:rPr>
                <w:rFonts w:eastAsia="Arial" w:cs="Arial" w:ascii="Times New Roman" w:hAnsi="Times New Roman"/>
                <w:b w:val="false"/>
                <w:bCs w:val="false"/>
                <w:sz w:val="24"/>
                <w:szCs w:val="24"/>
              </w:rPr>
              <w:t xml:space="preserve"> merupakan mata kuliah intermediate berbobot </w:t>
            </w:r>
            <w:r>
              <w:rPr>
                <w:rFonts w:eastAsia="Arial" w:cs="Arial" w:ascii="Times New Roman" w:hAnsi="Times New Roman"/>
                <w:b w:val="false"/>
                <w:bCs w:val="false"/>
                <w:sz w:val="24"/>
                <w:szCs w:val="24"/>
              </w:rPr>
              <w:t>3 SKS</w:t>
            </w:r>
            <w:r>
              <w:rPr>
                <w:rFonts w:eastAsia="Arial" w:cs="Arial" w:ascii="Times New Roman" w:hAnsi="Times New Roman"/>
                <w:b w:val="false"/>
                <w:bCs w:val="false"/>
                <w:sz w:val="24"/>
                <w:szCs w:val="24"/>
              </w:rPr>
              <w:t xml:space="preserve"> pada semester 6 yang dirancang secara komprehensif untuk menumbuhkan jiwa kewirausahaan berbasis teknologi (</w:t>
            </w:r>
            <w:r>
              <w:rPr>
                <w:rFonts w:eastAsia="Arial" w:cs="Arial" w:ascii="Times New Roman" w:hAnsi="Times New Roman"/>
                <w:b w:val="false"/>
                <w:bCs w:val="false"/>
                <w:i/>
                <w:iCs/>
                <w:sz w:val="24"/>
                <w:szCs w:val="24"/>
              </w:rPr>
              <w:t>technopreneurial mindset</w:t>
            </w:r>
            <w:r>
              <w:rPr>
                <w:rFonts w:eastAsia="Arial" w:cs="Arial" w:ascii="Times New Roman" w:hAnsi="Times New Roman"/>
                <w:b w:val="false"/>
                <w:bCs w:val="false"/>
                <w:sz w:val="24"/>
                <w:szCs w:val="24"/>
              </w:rPr>
              <w:t xml:space="preserve">) dan integritas profesional bagi mahasiswa Informatika. Pembelajaran difokuskan pada proses hilirisasi dan komersialisasi ide teknologi informasi menjadi produk digital yang bernilai bisnis, berdampak sosial positif, dan berdaya saing global. Mahasiswa dibimbing melalui tahapan eksplorasi masalah industri, perumusan </w:t>
            </w:r>
            <w:r>
              <w:rPr>
                <w:rFonts w:eastAsia="Arial" w:cs="Arial" w:ascii="Times New Roman" w:hAnsi="Times New Roman"/>
                <w:b w:val="false"/>
                <w:bCs w:val="false"/>
                <w:i/>
                <w:iCs/>
                <w:sz w:val="24"/>
                <w:szCs w:val="24"/>
              </w:rPr>
              <w:t>Value Proposition</w:t>
            </w:r>
            <w:r>
              <w:rPr>
                <w:rFonts w:eastAsia="Arial" w:cs="Arial" w:ascii="Times New Roman" w:hAnsi="Times New Roman"/>
                <w:b w:val="false"/>
                <w:bCs w:val="false"/>
                <w:sz w:val="24"/>
                <w:szCs w:val="24"/>
              </w:rPr>
              <w:t xml:space="preserve">, penerapan metode </w:t>
            </w:r>
            <w:r>
              <w:rPr>
                <w:rFonts w:eastAsia="Arial" w:cs="Arial" w:ascii="Times New Roman" w:hAnsi="Times New Roman"/>
                <w:b w:val="false"/>
                <w:bCs w:val="false"/>
                <w:i/>
                <w:iCs/>
                <w:sz w:val="24"/>
                <w:szCs w:val="24"/>
              </w:rPr>
              <w:t>Design Thinking</w:t>
            </w:r>
            <w:r>
              <w:rPr>
                <w:rFonts w:eastAsia="Arial" w:cs="Arial" w:ascii="Times New Roman" w:hAnsi="Times New Roman"/>
                <w:b w:val="false"/>
                <w:bCs w:val="false"/>
                <w:sz w:val="24"/>
                <w:szCs w:val="24"/>
              </w:rPr>
              <w:t xml:space="preserve"> dan </w:t>
            </w:r>
            <w:r>
              <w:rPr>
                <w:rFonts w:eastAsia="Arial" w:cs="Arial" w:ascii="Times New Roman" w:hAnsi="Times New Roman"/>
                <w:b w:val="false"/>
                <w:bCs w:val="false"/>
                <w:i/>
                <w:iCs/>
                <w:sz w:val="24"/>
                <w:szCs w:val="24"/>
              </w:rPr>
              <w:t>Lean Startup</w:t>
            </w:r>
            <w:r>
              <w:rPr>
                <w:rFonts w:eastAsia="Arial" w:cs="Arial" w:ascii="Times New Roman" w:hAnsi="Times New Roman"/>
                <w:b w:val="false"/>
                <w:bCs w:val="false"/>
                <w:sz w:val="24"/>
                <w:szCs w:val="24"/>
              </w:rPr>
              <w:t>, perancangan arsitektur model bisnis (</w:t>
            </w:r>
            <w:r>
              <w:rPr>
                <w:rFonts w:eastAsia="Arial" w:cs="Arial" w:ascii="Times New Roman" w:hAnsi="Times New Roman"/>
                <w:b w:val="false"/>
                <w:bCs w:val="false"/>
                <w:i/>
                <w:iCs/>
                <w:sz w:val="24"/>
                <w:szCs w:val="24"/>
              </w:rPr>
              <w:t>Lean Canvas</w:t>
            </w:r>
            <w:r>
              <w:rPr>
                <w:rFonts w:eastAsia="Arial" w:cs="Arial" w:ascii="Times New Roman" w:hAnsi="Times New Roman"/>
                <w:b w:val="false"/>
                <w:bCs w:val="false"/>
                <w:sz w:val="24"/>
                <w:szCs w:val="24"/>
              </w:rPr>
              <w:t>), pengembangan prototipe produk digital fungsional (</w:t>
            </w:r>
            <w:r>
              <w:rPr>
                <w:rFonts w:eastAsia="Arial" w:cs="Arial" w:ascii="Times New Roman" w:hAnsi="Times New Roman"/>
                <w:b w:val="false"/>
                <w:bCs w:val="false"/>
                <w:i/>
                <w:iCs/>
                <w:sz w:val="24"/>
                <w:szCs w:val="24"/>
              </w:rPr>
              <w:t>Minimum Viable Product / MVP</w:t>
            </w:r>
            <w:r>
              <w:rPr>
                <w:rFonts w:eastAsia="Arial" w:cs="Arial" w:ascii="Times New Roman" w:hAnsi="Times New Roman"/>
                <w:b w:val="false"/>
                <w:bCs w:val="false"/>
                <w:sz w:val="24"/>
                <w:szCs w:val="24"/>
              </w:rPr>
              <w:t xml:space="preserve">), analisis kelayakan finansial dan unit economics, hingga penyusunan serta presentasi </w:t>
            </w:r>
            <w:r>
              <w:rPr>
                <w:rFonts w:eastAsia="Arial" w:cs="Arial" w:ascii="Times New Roman" w:hAnsi="Times New Roman"/>
                <w:b w:val="false"/>
                <w:bCs w:val="false"/>
                <w:i/>
                <w:iCs/>
                <w:sz w:val="24"/>
                <w:szCs w:val="24"/>
              </w:rPr>
              <w:t>Pitch Deck</w:t>
            </w:r>
            <w:r>
              <w:rPr>
                <w:rFonts w:eastAsia="Arial" w:cs="Arial" w:ascii="Times New Roman" w:hAnsi="Times New Roman"/>
                <w:b w:val="false"/>
                <w:bCs w:val="false"/>
                <w:sz w:val="24"/>
                <w:szCs w:val="24"/>
              </w:rPr>
              <w:t xml:space="preserve"> di hadapan pemangku kepentingan/investor. Mata kuliah ini menggunakan pendekatan </w:t>
            </w:r>
            <w:r>
              <w:rPr>
                <w:rFonts w:eastAsia="Arial" w:cs="Arial" w:ascii="Times New Roman" w:hAnsi="Times New Roman"/>
                <w:b w:val="false"/>
                <w:bCs w:val="false"/>
                <w:i/>
                <w:iCs/>
                <w:sz w:val="24"/>
                <w:szCs w:val="24"/>
              </w:rPr>
              <w:t>Project-Based Learning (PjBL)</w:t>
            </w:r>
            <w:r>
              <w:rPr>
                <w:rFonts w:eastAsia="Arial" w:cs="Arial" w:ascii="Times New Roman" w:hAnsi="Times New Roman"/>
                <w:b w:val="false"/>
                <w:bCs w:val="false"/>
                <w:sz w:val="24"/>
                <w:szCs w:val="24"/>
              </w:rPr>
              <w:t xml:space="preserve"> yang mengintegrasikan kolaborasi tim multidisiplin, kepemimpinan diri, komunikasi profesional bilingual, dan komitmen pembelajaran sepanjang hay</w:t>
            </w:r>
            <w:r>
              <w:rPr>
                <w:rFonts w:eastAsia="Arial" w:cs="Arial" w:ascii="Times New Roman" w:hAnsi="Times New Roman"/>
                <w:b w:val="false"/>
                <w:bCs w:val="false"/>
                <w:sz w:val="24"/>
                <w:szCs w:val="24"/>
              </w:rPr>
              <w:t>at.</w:t>
            </w:r>
          </w:p>
        </w:tc>
      </w:tr>
      <w:tr>
        <w:trPr/>
        <w:tc>
          <w:tcPr>
            <w:tcW w:w="2340" w:type="dxa"/>
            <w:tcBorders>
              <w:start w:val="single" w:sz="6" w:space="0" w:color="CBD5E0"/>
              <w:bottom w:val="single" w:sz="6" w:space="0" w:color="CBD5E0"/>
              <w:end w:val="single" w:sz="6" w:space="0" w:color="CBD5E0"/>
            </w:tcBorders>
            <w:shd w:fill="EDF2F7" w:val="clear"/>
          </w:tcPr>
          <w:p>
            <w:pPr>
              <w:pStyle w:val="IsiTabel"/>
              <w:rPr/>
            </w:pPr>
            <w:r>
              <w:rPr/>
              <w:t>Bahan Kajian</w:t>
            </w:r>
          </w:p>
        </w:tc>
        <w:tc>
          <w:tcPr>
            <w:tcW w:w="7020" w:type="dxa"/>
            <w:tcBorders>
              <w:start w:val="single" w:sz="6" w:space="0" w:color="CBD5E0"/>
              <w:bottom w:val="single" w:sz="6" w:space="0" w:color="CBD5E0"/>
              <w:end w:val="single" w:sz="6" w:space="0" w:color="CBD5E0"/>
            </w:tcBorders>
            <w:shd w:fill="auto" w:val="clear"/>
          </w:tcPr>
          <w:p>
            <w:pPr>
              <w:pStyle w:val="IsiTabel"/>
              <w:rPr>
                <w:rFonts w:ascii="Times New Roman" w:hAnsi="Times New Roman"/>
                <w:b w:val="false"/>
                <w:bCs w:val="false"/>
                <w:sz w:val="26"/>
                <w:szCs w:val="26"/>
              </w:rPr>
            </w:pPr>
            <w:r>
              <w:rPr>
                <w:rFonts w:eastAsia="Arial" w:cs="Arial" w:ascii="Times New Roman" w:hAnsi="Times New Roman"/>
                <w:b w:val="false"/>
                <w:bCs w:val="false"/>
                <w:sz w:val="20"/>
                <w:szCs w:val="20"/>
              </w:rPr>
              <w:t>BK02: Nilai - Nilai UNIBI dan Semangat Kewirausahaan berbasis Pembelajaran Sepanjang Hayat dan Keberlanjutan.</w:t>
            </w:r>
          </w:p>
          <w:p>
            <w:pPr>
              <w:pStyle w:val="IsiTabel"/>
              <w:rPr>
                <w:rFonts w:ascii="Times New Roman" w:hAnsi="Times New Roman"/>
                <w:b w:val="false"/>
                <w:bCs w:val="false"/>
                <w:sz w:val="26"/>
                <w:szCs w:val="26"/>
              </w:rPr>
            </w:pPr>
            <w:r>
              <w:rPr>
                <w:rFonts w:eastAsia="Arial" w:cs="Arial" w:ascii="Times New Roman" w:hAnsi="Times New Roman"/>
                <w:b w:val="false"/>
                <w:bCs w:val="false"/>
                <w:sz w:val="20"/>
                <w:szCs w:val="20"/>
              </w:rPr>
              <w:t>BK20: Pengembangan Diri</w:t>
            </w:r>
            <w:r>
              <w:rPr>
                <w:rFonts w:eastAsia="Arial" w:cs="Arial" w:ascii="Times New Roman" w:hAnsi="Times New Roman"/>
                <w:b w:val="false"/>
                <w:bCs w:val="false"/>
                <w:sz w:val="20"/>
                <w:szCs w:val="20"/>
              </w:rPr>
              <w:t xml:space="preserve"> </w:t>
            </w:r>
          </w:p>
        </w:tc>
      </w:tr>
    </w:tbl>
    <w:p>
      <w:pPr>
        <w:pStyle w:val="IsiTabel"/>
        <w:rPr>
          <w:rFonts w:ascii="Arial" w:hAnsi="Arial" w:eastAsia="Arial" w:cs="Arial"/>
          <w:sz w:val="16"/>
          <w:szCs w:val="16"/>
        </w:rPr>
      </w:pPr>
      <w:r>
        <w:rPr>
          <w:rFonts w:eastAsia="Arial" w:cs="Arial" w:ascii="Arial" w:hAnsi="Arial"/>
          <w:sz w:val="16"/>
          <w:szCs w:val="16"/>
        </w:rPr>
      </w:r>
    </w:p>
    <w:p>
      <w:pPr>
        <w:pStyle w:val="IsiTabel"/>
        <w:rPr/>
      </w:pPr>
      <w:r>
        <w:rPr/>
        <w:t>V. RENCANA KEGIATAN PEMBELAJARAN MINGGUAN</w:t>
      </w:r>
    </w:p>
    <w:tbl>
      <w:tblPr>
        <w:tblStyle w:val="Table5"/>
        <w:tblW w:w="9360" w:type="dxa"/>
        <w:jc w:val="start"/>
        <w:tblInd w:w="0" w:type="dxa"/>
        <w:tblLayout w:type="fixed"/>
        <w:tblCellMar>
          <w:top w:w="90" w:type="dxa"/>
          <w:start w:w="90" w:type="dxa"/>
          <w:bottom w:w="90" w:type="dxa"/>
          <w:end w:w="90" w:type="dxa"/>
        </w:tblCellMar>
        <w:tblLook w:val="0600"/>
      </w:tblPr>
      <w:tblGrid>
        <w:gridCol w:w="468"/>
        <w:gridCol w:w="2059"/>
        <w:gridCol w:w="2059"/>
        <w:gridCol w:w="1498"/>
        <w:gridCol w:w="936"/>
        <w:gridCol w:w="1404"/>
        <w:gridCol w:w="936"/>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Mg Ke-</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Sub-CPMK &amp; Indikator</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Bahan Kajian / Topik Materi</w:t>
            </w:r>
          </w:p>
        </w:tc>
        <w:tc>
          <w:tcPr>
            <w:tcW w:w="1498"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Bentuk &amp; Metode Pembelajaran</w:t>
            </w:r>
          </w:p>
        </w:tc>
        <w:tc>
          <w:tcPr>
            <w:tcW w:w="936"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Alokasi Waktu</w:t>
            </w:r>
          </w:p>
        </w:tc>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Pengalaman Belajar Mahasiswa</w:t>
            </w:r>
          </w:p>
        </w:tc>
        <w:tc>
          <w:tcPr>
            <w:tcW w:w="936" w:type="dxa"/>
            <w:tcBorders>
              <w:top w:val="single" w:sz="6" w:space="0" w:color="CBD5E0"/>
              <w:start w:val="single" w:sz="6" w:space="0" w:color="CBD5E0"/>
              <w:bottom w:val="single" w:sz="6" w:space="0" w:color="CBD5E0"/>
              <w:end w:val="single" w:sz="6" w:space="0" w:color="CBD5E0"/>
            </w:tcBorders>
            <w:shd w:fill="EDF2F7" w:val="clear"/>
          </w:tcPr>
          <w:p>
            <w:pPr>
              <w:pStyle w:val="IsiTabel"/>
              <w:rPr>
                <w:rFonts w:ascii="Times New Roman" w:hAnsi="Times New Roman"/>
                <w:sz w:val="22"/>
                <w:szCs w:val="22"/>
              </w:rPr>
            </w:pPr>
            <w:r>
              <w:rPr>
                <w:rFonts w:ascii="Times New Roman" w:hAnsi="Times New Roman"/>
                <w:sz w:val="22"/>
                <w:szCs w:val="22"/>
              </w:rPr>
              <w:t>Pustaka / Ref</w:t>
            </w:r>
          </w:p>
          <w:p>
            <w:pPr>
              <w:pStyle w:val="IsiTabel"/>
              <w:rPr>
                <w:rFonts w:ascii="Times New Roman" w:hAnsi="Times New Roman"/>
                <w:sz w:val="22"/>
                <w:szCs w:val="22"/>
              </w:rPr>
            </w:pPr>
            <w:r>
              <w:rPr>
                <w:rFonts w:ascii="Times New Roman" w:hAnsi="Times New Roman"/>
                <w:sz w:val="22"/>
                <w:szCs w:val="22"/>
              </w:rPr>
              <w:t xml:space="preserve"> </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eastAsia="Arial" w:cs="Arial"/>
                <w:sz w:val="22"/>
                <w:szCs w:val="22"/>
              </w:rPr>
            </w:pPr>
            <w:r>
              <w:rPr>
                <w:rFonts w:eastAsia="Arial" w:cs="Arial" w:ascii="Times New Roman" w:hAnsi="Times New Roman"/>
                <w:b/>
                <w:bCs/>
                <w:sz w:val="22"/>
                <w:szCs w:val="22"/>
              </w:rPr>
              <w:t>SCPMK0211</w:t>
            </w:r>
            <w:r>
              <w:rPr>
                <w:rFonts w:eastAsia="Arial" w:cs="Arial" w:ascii="Times New Roman" w:hAnsi="Times New Roman"/>
                <w:sz w:val="22"/>
                <w:szCs w:val="22"/>
              </w:rPr>
              <w:t xml:space="preserve"> (CPL02, CPMK021): Mampu menganalisis prinsip kewirausahaan teknologi, integritas, inovasi, keberlanjutan, dan daya saing global.</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Konsep Technopreneurship &amp; Inovasi Digital:</w:t>
            </w:r>
            <w:r>
              <w:rPr>
                <w:rFonts w:eastAsia="Arial" w:cs="Arial" w:ascii="Times New Roman" w:hAnsi="Times New Roman"/>
                <w:sz w:val="22"/>
                <w:szCs w:val="22"/>
              </w:rPr>
              <w:t xml:space="preserve"> Karakteristik technopreneur, ekosistem startup, etika integritas, dan nilai UNIBI.</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Kuliah Interaktif, Diskusi Kelompok, Studi Kasus Awal</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Menganalisis perbedaan bisnis tradisional vs rintisan teknologi dan menyusun komitmen tim.</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 [4], [7]</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SCPMK0211</w:t>
            </w:r>
            <w:r>
              <w:rPr>
                <w:rFonts w:eastAsia="Arial" w:cs="Arial" w:ascii="Times New Roman" w:hAnsi="Times New Roman"/>
                <w:sz w:val="22"/>
                <w:szCs w:val="22"/>
                <w:shd w:fill="auto" w:val="clear"/>
              </w:rPr>
              <w:t xml:space="preserve"> (CPL02, CPMK021): Mampu mengidentifikasi masalah industri dan peluang teknologi secara mendalam.</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Identifikasi Masalah Industri &amp; Peluang Teknologi:</w:t>
            </w:r>
            <w:r>
              <w:rPr>
                <w:rFonts w:eastAsia="Arial" w:cs="Arial" w:ascii="Times New Roman" w:hAnsi="Times New Roman"/>
                <w:sz w:val="22"/>
                <w:szCs w:val="22"/>
                <w:shd w:fill="auto" w:val="clear"/>
              </w:rPr>
              <w:t xml:space="preserve"> Problem discovery, root cause analysis (5-Whys), tren AI/Cloud/IoT.</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Focus Group Discussion (FGD), Pembelajaran Kolaboratif</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Mengeksplorasi persoalan riil di industri dan merumuskan problem statement yang valid.</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[3], [4]</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SCPMK0212</w:t>
            </w:r>
            <w:r>
              <w:rPr>
                <w:rFonts w:eastAsia="Arial" w:cs="Arial" w:ascii="Times New Roman" w:hAnsi="Times New Roman"/>
                <w:sz w:val="22"/>
                <w:szCs w:val="22"/>
              </w:rPr>
              <w:t xml:space="preserve"> (CPL02, CPMK021): Mampu merumuskan model bisnis awal dan proposisi nilai yang berkelanjutan.</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Model Bisnis Digital &amp; Proposisi Nilai:</w:t>
            </w:r>
            <w:r>
              <w:rPr>
                <w:rFonts w:eastAsia="Arial" w:cs="Arial" w:ascii="Times New Roman" w:hAnsi="Times New Roman"/>
                <w:sz w:val="22"/>
                <w:szCs w:val="22"/>
              </w:rPr>
              <w:t xml:space="preserve"> Value Proposition Canvas (VPC), customer segment profiling, UVP formulation.</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Workshop Kanvas, Project-Based Learning (PjBL Tahap 1)</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Merancang Value Proposition Canvas untuk menyelaraskan customer pains/gains dengan fitur solusi.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[2], [6]</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4</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SCPMK0212</w:t>
            </w:r>
            <w:r>
              <w:rPr>
                <w:rFonts w:eastAsia="Arial" w:cs="Arial" w:ascii="Times New Roman" w:hAnsi="Times New Roman"/>
                <w:sz w:val="22"/>
                <w:szCs w:val="22"/>
                <w:shd w:fill="auto" w:val="clear"/>
              </w:rPr>
              <w:t xml:space="preserve"> (CPL02, CPMK021): Mampu menerapkan kerangka Design Thinking dalam sintesis solusi startup.</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Penerapan Design Thinking untuk Ide Startup:</w:t>
            </w:r>
            <w:r>
              <w:rPr>
                <w:rFonts w:eastAsia="Arial" w:cs="Arial" w:ascii="Times New Roman" w:hAnsi="Times New Roman"/>
                <w:sz w:val="22"/>
                <w:szCs w:val="22"/>
                <w:shd w:fill="auto" w:val="clear"/>
              </w:rPr>
              <w:t xml:space="preserve"> Empathize, Define, Ideate, Prototype, &amp; Test dalam konteks digital.</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Workshop Design Thinking, Simulasi Brainstorming</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Melakukan wawancara empati kepada target audiens dan memetakan persona pengguna.</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[1], [2]</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5</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SCPMK0221</w:t>
            </w:r>
            <w:r>
              <w:rPr>
                <w:rFonts w:eastAsia="Arial" w:cs="Arial" w:ascii="Times New Roman" w:hAnsi="Times New Roman"/>
                <w:sz w:val="22"/>
                <w:szCs w:val="22"/>
              </w:rPr>
              <w:t xml:space="preserve"> (CPL02, CPMK022): Mampu merumuskan ide technopreneur dan validasi pasar berbasis data.</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Penerapan Validasi Solusi &amp; Pasar:</w:t>
            </w:r>
            <w:r>
              <w:rPr>
                <w:rFonts w:eastAsia="Arial" w:cs="Arial" w:ascii="Times New Roman" w:hAnsi="Times New Roman"/>
                <w:sz w:val="22"/>
                <w:szCs w:val="22"/>
              </w:rPr>
              <w:t xml:space="preserve"> Customer discovery interviews, problem-solution fit, Lean Canvas 9-blocks.</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PjBL, Presentasi Hasil Validasi Pasar Awal, Peer Review</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Menyusun dan memvalidasi hipotesis 9 blok Lean Canvas berdasarkan respons lapangan.</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[3], [6]</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6</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SCPMK0222</w:t>
            </w:r>
            <w:r>
              <w:rPr>
                <w:rFonts w:eastAsia="Arial" w:cs="Arial" w:ascii="Times New Roman" w:hAnsi="Times New Roman"/>
                <w:sz w:val="22"/>
                <w:szCs w:val="22"/>
                <w:shd w:fill="auto" w:val="clear"/>
              </w:rPr>
              <w:t xml:space="preserve"> (CPL02, CPMK022): Mampu merancang strategi pemasaran dan akuisisi pelanggan mandiri.</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Penggunaan Strategi Go-To-Market (GTM):</w:t>
            </w:r>
            <w:r>
              <w:rPr>
                <w:rFonts w:eastAsia="Arial" w:cs="Arial" w:ascii="Times New Roman" w:hAnsi="Times New Roman"/>
                <w:sz w:val="22"/>
                <w:szCs w:val="22"/>
                <w:shd w:fill="auto" w:val="clear"/>
              </w:rPr>
              <w:t xml:space="preserve"> Channel distribution, digital marketing funnels (AARRR), customer acquisition.</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Kuliah Interaktif, Diskusi Kasus GTM Startup Sukses</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Merancang strategi peluncuran produk dan skema akuisisi awal pengguna secara terukur.</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[1], [5]</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7</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SCPMK0231</w:t>
            </w:r>
            <w:r>
              <w:rPr>
                <w:rFonts w:eastAsia="Arial" w:cs="Arial" w:ascii="Times New Roman" w:hAnsi="Times New Roman"/>
                <w:sz w:val="22"/>
                <w:szCs w:val="22"/>
              </w:rPr>
              <w:t xml:space="preserve"> (CPL02, CPMK023): Mampu menyusun prototipe MVP dan menyajikan profil produk dalam Bahasa Inggris.</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Implementasi Prototipe Produk Digital (MVP) &amp; Business English:</w:t>
            </w:r>
            <w:r>
              <w:rPr>
                <w:rFonts w:eastAsia="Arial" w:cs="Arial" w:ascii="Times New Roman" w:hAnsi="Times New Roman"/>
                <w:sz w:val="22"/>
                <w:szCs w:val="22"/>
              </w:rPr>
              <w:t xml:space="preserve"> Wireframing, Lo-Fi/Hi-Fi prototype, English executive summary.</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Praktikum Pembuatan MVP (Figma/No-Code), English Writing Workshop</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Membangun prototipe interaktif aplikasi dan menyusun ringkasan produk berbahasa Inggris.</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 [4]</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8</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UJIAN TENGAH SEMESTER (UTS)</w:t>
            </w:r>
          </w:p>
          <w:p>
            <w:pPr>
              <w:pStyle w:val="IsiTabel"/>
              <w:rPr>
                <w:rFonts w:ascii="Times New Roman" w:hAnsi="Times New Roman"/>
                <w:sz w:val="22"/>
                <w:szCs w:val="22"/>
              </w:rPr>
            </w:pPr>
            <w:r>
              <w:rPr>
                <w:rFonts w:ascii="Times New Roman" w:hAnsi="Times New Roman"/>
                <w:sz w:val="22"/>
                <w:szCs w:val="22"/>
              </w:rPr>
              <w:t>Evaluasi komprehensif fase validasi ide, Lean Canvas, dan MVP awal (Bobot: 22%) melalui Progress Pitching &amp; Pengumpulan Laporan Portofolio Startup Fase 1.</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Materi Mg 1–7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9</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SCPMK0931</w:t>
            </w:r>
            <w:r>
              <w:rPr>
                <w:rFonts w:eastAsia="Arial" w:cs="Arial" w:ascii="Times New Roman" w:hAnsi="Times New Roman"/>
                <w:sz w:val="22"/>
                <w:szCs w:val="22"/>
              </w:rPr>
              <w:t xml:space="preserve"> (CPL09, CPMK093): Mampu mengorganisasi tim multidisiplin dan menetapkan model pendapatan bisnis.</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Analisis Model Monetisasi &amp; Dinamika Tim:</w:t>
            </w:r>
            <w:r>
              <w:rPr>
                <w:rFonts w:eastAsia="Arial" w:cs="Arial" w:ascii="Times New Roman" w:hAnsi="Times New Roman"/>
                <w:sz w:val="22"/>
                <w:szCs w:val="22"/>
              </w:rPr>
              <w:t xml:space="preserve"> Revenue streams (SaaS, Freemium, Ads, Komisi), struktur biaya, peran tim (Hacker, Hustler, Hipster).</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Case-Based Learning, Roleplay Pengorganisasian Tim Startup</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Memetakan pembagian kerja tim secara inklusif dan merancang simulasi aliran kas/monetisasi.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[2], [4]</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10</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SCPMK0941</w:t>
            </w:r>
            <w:r>
              <w:rPr>
                <w:rFonts w:eastAsia="Arial" w:cs="Arial" w:ascii="Times New Roman" w:hAnsi="Times New Roman"/>
                <w:sz w:val="22"/>
                <w:szCs w:val="22"/>
                <w:shd w:fill="auto" w:val="clear"/>
              </w:rPr>
              <w:t xml:space="preserve"> (CPL09, CPMK094): Mampu mengevaluasi kelayakan finansial dan unit economics startup digital.</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Evaluasi Kelayakan Bisnis Berbasis Teknologi:</w:t>
            </w:r>
            <w:r>
              <w:rPr>
                <w:rFonts w:eastAsia="Arial" w:cs="Arial" w:ascii="Times New Roman" w:hAnsi="Times New Roman"/>
                <w:sz w:val="22"/>
                <w:szCs w:val="22"/>
                <w:shd w:fill="auto" w:val="clear"/>
              </w:rPr>
              <w:t xml:space="preserve"> Unit economics (CAC, LTV, Burn Rate, Runway), proyeksi finansial 3 tahun, BEP.</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Workshop Pemodelan Keuangan Startup, Latihan Mandiri</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Menghitung Customer Acquisition Cost (CAC), Lifetime Value (LTV), dan titik impas proyek startup.</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[3], [6]</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SCPMK0942</w:t>
            </w:r>
            <w:r>
              <w:rPr>
                <w:rFonts w:eastAsia="Arial" w:cs="Arial" w:ascii="Times New Roman" w:hAnsi="Times New Roman"/>
                <w:sz w:val="22"/>
                <w:szCs w:val="22"/>
              </w:rPr>
              <w:t xml:space="preserve"> (CPL09, CPMK094): Mampu mengevaluasi risiko hukum, etika digital, dan prinsip keberlanjutan.</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Evaluasi Risiko &amp; Keberlanjutan Startup:</w:t>
            </w:r>
            <w:r>
              <w:rPr>
                <w:rFonts w:eastAsia="Arial" w:cs="Arial" w:ascii="Times New Roman" w:hAnsi="Times New Roman"/>
                <w:sz w:val="22"/>
                <w:szCs w:val="22"/>
              </w:rPr>
              <w:t xml:space="preserve"> Aspek HKI (Hak Cipta/Merek/Paten), privasi data, kepatuhan hukum, risiko operasional &amp; ESG.</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Kuliah Interaktif, Diskusi Mitigasi Risiko &amp; Etika Bisnis Digital</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Menyusun matriks mitigasi risiko teknologi dan perlindungan data pribadi pengguna.</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[4], [7]</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12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SCPMK0951</w:t>
            </w:r>
            <w:r>
              <w:rPr>
                <w:rFonts w:eastAsia="Arial" w:cs="Arial" w:ascii="Times New Roman" w:hAnsi="Times New Roman"/>
                <w:sz w:val="22"/>
                <w:szCs w:val="22"/>
                <w:shd w:fill="auto" w:val="clear"/>
              </w:rPr>
              <w:t xml:space="preserve"> (CPL09, CPMK095): Mampu menyusun presentasi Pitch Deck berstandar profesional global.</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Praktik Penyusunan Pitch Deck Standar Global:</w:t>
            </w:r>
            <w:r>
              <w:rPr>
                <w:rFonts w:eastAsia="Arial" w:cs="Arial" w:ascii="Times New Roman" w:hAnsi="Times New Roman"/>
                <w:sz w:val="22"/>
                <w:szCs w:val="22"/>
                <w:shd w:fill="auto" w:val="clear"/>
              </w:rPr>
              <w:t xml:space="preserve"> Struktur 10-12 slide (Problem, Solution, Market, Product, Traction, Team, Financial, Ask).</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Workshop Storytelling &amp; Visual Pitch Deck Design</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Merancang slide pitch deck yang persuasif dan memikat untuk menarik calon investor.</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[5], [1]</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SCPMK0952</w:t>
            </w:r>
            <w:r>
              <w:rPr>
                <w:rFonts w:eastAsia="Arial" w:cs="Arial" w:ascii="Times New Roman" w:hAnsi="Times New Roman"/>
                <w:sz w:val="22"/>
                <w:szCs w:val="22"/>
              </w:rPr>
              <w:t xml:space="preserve"> (CPL09, CPMK095): Mampu mengevaluasi studi kasus kegagalan/keberhasilan startup sebagai refleksi adaptif.</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Analisis Studi Kasus Technopreneur Sukses:</w:t>
            </w:r>
            <w:r>
              <w:rPr>
                <w:rFonts w:eastAsia="Arial" w:cs="Arial" w:ascii="Times New Roman" w:hAnsi="Times New Roman"/>
                <w:sz w:val="22"/>
                <w:szCs w:val="22"/>
              </w:rPr>
              <w:t xml:space="preserve"> Post-mortem startup, pivot strategy, adaptasi disrupsi AI, continuous learning.</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Case-Based Learning, Diskusi Panel Refleksi Mandiri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Menganalisis keputusan pivot pada startup rintisan dan menyusun jurnal refleksi pembelajaran diri.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 [3], [4]</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14</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SCPMK0961</w:t>
            </w:r>
            <w:r>
              <w:rPr>
                <w:rFonts w:eastAsia="Arial" w:cs="Arial" w:ascii="Times New Roman" w:hAnsi="Times New Roman"/>
                <w:sz w:val="22"/>
                <w:szCs w:val="22"/>
                <w:shd w:fill="auto" w:val="clear"/>
              </w:rPr>
              <w:t xml:space="preserve"> (CPL09, CPMK096): Mampu mengintegrasikan solusi digital dengan dampak sosial nyata.</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Integrasi Teknologi, Bisnis, &amp; Dampak Sosial:</w:t>
            </w:r>
            <w:r>
              <w:rPr>
                <w:rFonts w:eastAsia="Arial" w:cs="Arial" w:ascii="Times New Roman" w:hAnsi="Times New Roman"/>
                <w:sz w:val="22"/>
                <w:szCs w:val="22"/>
                <w:shd w:fill="auto" w:val="clear"/>
              </w:rPr>
              <w:t xml:space="preserve"> Social entrepreneurship, penyelarasan SDGs (Sustainable Development Goals), impact metrics.</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Collaborative Learning, Diskusi Pengukuran Dampak Sosial</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Menghubungkan target bisnis produk startup dengan indikator capaian keberlanjutan (SDGs).</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[4], [7]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15</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SCPMK0962</w:t>
            </w:r>
            <w:r>
              <w:rPr>
                <w:rFonts w:eastAsia="Arial" w:cs="Arial" w:ascii="Times New Roman" w:hAnsi="Times New Roman"/>
                <w:sz w:val="22"/>
                <w:szCs w:val="22"/>
              </w:rPr>
              <w:t xml:space="preserve"> (CPL09, CPMK096): Mampu mematangkan roadmap pengembangan startup dan simulasi pitching.</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eastAsia="Arial" w:cs="Arial" w:ascii="Times New Roman" w:hAnsi="Times New Roman"/>
                <w:b/>
                <w:bCs/>
                <w:sz w:val="22"/>
                <w:szCs w:val="22"/>
              </w:rPr>
              <w:t>Penerapan Rencana Pengembangan Startup Digital:</w:t>
            </w:r>
            <w:r>
              <w:rPr>
                <w:rFonts w:eastAsia="Arial" w:cs="Arial" w:ascii="Times New Roman" w:hAnsi="Times New Roman"/>
                <w:sz w:val="22"/>
                <w:szCs w:val="22"/>
              </w:rPr>
              <w:t xml:space="preserve"> Product roadmap, traction milestones, mentoring intensif, Mock Pitching.</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Simulasi Demo Day (Mock Pitching), Mentoring Terarah</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TM: 3x50'</w:t>
            </w:r>
          </w:p>
          <w:p>
            <w:pPr>
              <w:pStyle w:val="IsiTabel"/>
              <w:rPr>
                <w:rFonts w:ascii="Times New Roman" w:hAnsi="Times New Roman"/>
                <w:sz w:val="22"/>
                <w:szCs w:val="22"/>
              </w:rPr>
            </w:pPr>
            <w:r>
              <w:rPr>
                <w:rFonts w:ascii="Times New Roman" w:hAnsi="Times New Roman"/>
                <w:sz w:val="22"/>
                <w:szCs w:val="22"/>
              </w:rPr>
              <w:t>TT: 3x60'</w:t>
            </w:r>
          </w:p>
          <w:p>
            <w:pPr>
              <w:pStyle w:val="IsiTabel"/>
              <w:rPr>
                <w:rFonts w:ascii="Times New Roman" w:hAnsi="Times New Roman"/>
                <w:sz w:val="22"/>
                <w:szCs w:val="22"/>
              </w:rPr>
            </w:pPr>
            <w:r>
              <w:rPr>
                <w:rFonts w:ascii="Times New Roman" w:hAnsi="Times New Roman"/>
                <w:sz w:val="22"/>
                <w:szCs w:val="22"/>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Melakukan gladi bersih presentasi pitching, meninjau kesiapan demonstrasi produk MVP.</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IsiTabel"/>
              <w:rPr>
                <w:rFonts w:ascii="Times New Roman" w:hAnsi="Times New Roman"/>
                <w:sz w:val="22"/>
                <w:szCs w:val="22"/>
              </w:rPr>
            </w:pPr>
            <w:r>
              <w:rPr>
                <w:rFonts w:ascii="Times New Roman" w:hAnsi="Times New Roman"/>
                <w:sz w:val="22"/>
                <w:szCs w:val="22"/>
              </w:rPr>
              <w:t>[5], [6]</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16</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UJIAN AKHIR SEMESTER (UAS) / DEMO DAY TECHNOPRENEURSHIP</w:t>
            </w:r>
          </w:p>
          <w:p>
            <w:pPr>
              <w:pStyle w:val="IsiTabel"/>
              <w:rPr>
                <w:rFonts w:ascii="Times New Roman" w:hAnsi="Times New Roman"/>
                <w:sz w:val="22"/>
                <w:szCs w:val="22"/>
              </w:rPr>
            </w:pPr>
            <w:r>
              <w:rPr>
                <w:rFonts w:ascii="Times New Roman" w:hAnsi="Times New Roman"/>
                <w:sz w:val="22"/>
                <w:szCs w:val="22"/>
              </w:rPr>
              <w:t>Presentasi akhir (Final Pitching) dan Demonstrasi Prototipe MVP di hadapan Dewan Penguji / Mitra Industri serta pengumpulan Laporan Bisnis Komprehensif (Bobot: 28%).</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Seluruh Materi</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ascii="Arial" w:hAnsi="Arial"/>
          <w:color w:val="1A365D"/>
          <w:sz w:val="18"/>
          <w:szCs w:val="18"/>
        </w:rPr>
        <w:t>VI. KRITERIA EVALUASI PEMBELAJARAN (ASSESSMENT CRITERIA)</w:t>
      </w:r>
    </w:p>
    <w:p>
      <w:pPr>
        <w:pStyle w:val="normal2"/>
        <w:shd w:val="clear" w:fill="auto"/>
        <w:spacing w:lineRule="auto" w:line="300" w:before="0" w:after="150"/>
        <w:rPr>
          <w:rFonts w:ascii="Arial" w:hAnsi="Arial" w:eastAsia="Arial" w:cs="Arial"/>
          <w:sz w:val="16"/>
          <w:szCs w:val="16"/>
        </w:rPr>
      </w:pPr>
      <w:r>
        <w:rPr>
          <w:rFonts w:eastAsia="Arial" w:cs="Arial"/>
          <w:sz w:val="16"/>
          <w:szCs w:val="16"/>
        </w:rPr>
        <w:t>Penilaian ketercapaian CPMK mengacu secara ketat pada bobot evaluasi SKOPI dengan proporsi penugasan berbasis proyek (</w:t>
      </w:r>
      <w:r>
        <w:rPr>
          <w:rFonts w:eastAsia="Arial" w:cs="Arial"/>
          <w:i/>
          <w:iCs/>
          <w:sz w:val="16"/>
          <w:szCs w:val="16"/>
        </w:rPr>
        <w:t>Project-Based Learning</w:t>
      </w:r>
      <w:r>
        <w:rPr>
          <w:rFonts w:eastAsia="Arial" w:cs="Arial"/>
          <w:sz w:val="16"/>
          <w:szCs w:val="16"/>
        </w:rPr>
        <w:t>), Evaluasi Tengah Semester (UTS), dan Evaluasi Akhir Semester (UAS):</w:t>
      </w:r>
    </w:p>
    <w:tbl>
      <w:tblPr>
        <w:tblStyle w:val="Table6"/>
        <w:tblW w:w="9360" w:type="dxa"/>
        <w:jc w:val="start"/>
        <w:tblInd w:w="0" w:type="dxa"/>
        <w:tblLayout w:type="fixed"/>
        <w:tblCellMar>
          <w:top w:w="120" w:type="dxa"/>
          <w:start w:w="120" w:type="dxa"/>
          <w:bottom w:w="120" w:type="dxa"/>
          <w:end w:w="120" w:type="dxa"/>
        </w:tblCellMar>
        <w:tblLook w:val="0600"/>
      </w:tblPr>
      <w:tblGrid>
        <w:gridCol w:w="468"/>
        <w:gridCol w:w="2059"/>
        <w:gridCol w:w="2808"/>
        <w:gridCol w:w="2153"/>
        <w:gridCol w:w="747"/>
        <w:gridCol w:w="1125"/>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No</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Komponen Evaluasi</w:t>
            </w:r>
          </w:p>
        </w:tc>
        <w:tc>
          <w:tcPr>
            <w:tcW w:w="2808"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Indikator Penilaian</w:t>
            </w:r>
          </w:p>
        </w:tc>
        <w:tc>
          <w:tcPr>
            <w:tcW w:w="2153"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Bentuk &amp; Metode Penilaian</w:t>
            </w:r>
          </w:p>
        </w:tc>
        <w:tc>
          <w:tcPr>
            <w:tcW w:w="747"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Bobot</w:t>
            </w:r>
          </w:p>
        </w:tc>
        <w:tc>
          <w:tcPr>
            <w:tcW w:w="1125"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CPMK yang Diukur</w:t>
            </w:r>
          </w:p>
          <w:p>
            <w:pPr>
              <w:pStyle w:val="normal2"/>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jc w:val="center"/>
              <w:rPr>
                <w:rFonts w:ascii="Arial" w:hAnsi="Arial" w:eastAsia="Arial" w:cs="Arial"/>
                <w:b/>
                <w:bCs/>
                <w:sz w:val="16"/>
                <w:szCs w:val="16"/>
              </w:rPr>
            </w:pPr>
            <w:r>
              <w:rPr>
                <w:rFonts w:eastAsia="Arial" w:cs="Arial"/>
                <w:b/>
                <w:bCs/>
                <w:sz w:val="16"/>
                <w:szCs w:val="16"/>
              </w:rPr>
              <w:t>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rPr>
                <w:rFonts w:ascii="Arial" w:hAnsi="Arial" w:eastAsia="Arial" w:cs="Arial"/>
                <w:b/>
                <w:bCs/>
                <w:sz w:val="16"/>
                <w:szCs w:val="16"/>
              </w:rPr>
            </w:pPr>
            <w:r>
              <w:rPr>
                <w:rFonts w:eastAsia="Arial" w:cs="Arial"/>
                <w:b/>
                <w:bCs/>
                <w:sz w:val="16"/>
                <w:szCs w:val="16"/>
              </w:rPr>
              <w:t>Project-Based Learning (PjBL)</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rPr>
                <w:rFonts w:ascii="Arial" w:hAnsi="Arial" w:eastAsia="Arial" w:cs="Arial"/>
                <w:sz w:val="16"/>
                <w:szCs w:val="16"/>
              </w:rPr>
            </w:pPr>
            <w:r>
              <w:rPr>
                <w:rFonts w:eastAsia="Arial" w:cs="Arial"/>
                <w:sz w:val="16"/>
                <w:szCs w:val="16"/>
              </w:rPr>
              <w:t>- Ketepatan identifikasi masalah industri &amp; validasi pasar (10%)</w:t>
            </w:r>
          </w:p>
          <w:p>
            <w:pPr>
              <w:pStyle w:val="normal2"/>
              <w:shd w:val="clear" w:fill="auto"/>
              <w:spacing w:lineRule="auto" w:line="300"/>
              <w:rPr>
                <w:rFonts w:ascii="Arial" w:hAnsi="Arial" w:eastAsia="Arial" w:cs="Arial"/>
                <w:sz w:val="16"/>
                <w:szCs w:val="16"/>
              </w:rPr>
            </w:pPr>
            <w:r>
              <w:rPr>
                <w:rFonts w:eastAsia="Arial" w:cs="Arial"/>
                <w:sz w:val="16"/>
                <w:szCs w:val="16"/>
              </w:rPr>
              <w:t>- Kualitas perancangan Lean Canvas &amp; VPC (10%)</w:t>
            </w:r>
          </w:p>
          <w:p>
            <w:pPr>
              <w:pStyle w:val="normal2"/>
              <w:shd w:val="clear" w:fill="auto"/>
              <w:spacing w:lineRule="auto" w:line="300"/>
              <w:rPr>
                <w:rFonts w:ascii="Arial" w:hAnsi="Arial" w:eastAsia="Arial" w:cs="Arial"/>
                <w:sz w:val="16"/>
                <w:szCs w:val="16"/>
              </w:rPr>
            </w:pPr>
            <w:r>
              <w:rPr>
                <w:rFonts w:eastAsia="Arial" w:cs="Arial"/>
                <w:sz w:val="16"/>
                <w:szCs w:val="16"/>
              </w:rPr>
              <w:t>- Fungsionalitas &amp; kegunaan prototipe MVP (15%)</w:t>
            </w:r>
          </w:p>
          <w:p>
            <w:pPr>
              <w:pStyle w:val="normal2"/>
              <w:shd w:val="clear" w:fill="auto"/>
              <w:spacing w:lineRule="auto" w:line="300"/>
              <w:rPr>
                <w:rFonts w:ascii="Arial" w:hAnsi="Arial" w:eastAsia="Arial" w:cs="Arial"/>
                <w:sz w:val="16"/>
                <w:szCs w:val="16"/>
              </w:rPr>
            </w:pPr>
            <w:r>
              <w:rPr>
                <w:rFonts w:eastAsia="Arial" w:cs="Arial"/>
                <w:sz w:val="16"/>
                <w:szCs w:val="16"/>
              </w:rPr>
              <w:t>- Kualitas Pitch Deck &amp; komunikasi profesional (10%)</w:t>
            </w:r>
          </w:p>
          <w:p>
            <w:pPr>
              <w:pStyle w:val="normal2"/>
              <w:shd w:val="clear" w:fill="auto"/>
              <w:spacing w:lineRule="auto" w:line="300" w:before="120" w:after="120"/>
              <w:rPr>
                <w:rFonts w:ascii="Arial" w:hAnsi="Arial" w:eastAsia="Arial" w:cs="Arial"/>
                <w:sz w:val="16"/>
                <w:szCs w:val="16"/>
              </w:rPr>
            </w:pPr>
            <w:r>
              <w:rPr>
                <w:rFonts w:eastAsia="Arial" w:cs="Arial"/>
                <w:sz w:val="16"/>
                <w:szCs w:val="16"/>
              </w:rPr>
              <w:t>- Kerjasama tim, peran aktif &amp; kepemimpinan diri (5%)</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rPr>
                <w:rFonts w:ascii="Arial" w:hAnsi="Arial" w:eastAsia="Arial" w:cs="Arial"/>
                <w:sz w:val="16"/>
                <w:szCs w:val="16"/>
              </w:rPr>
            </w:pPr>
            <w:r>
              <w:rPr>
                <w:rFonts w:eastAsia="Arial" w:cs="Arial"/>
                <w:sz w:val="16"/>
                <w:szCs w:val="16"/>
              </w:rPr>
              <w:t>Rubrik Penilaian Portofolio Startup, Presentasi Berkala, Peer Assessment</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jc w:val="center"/>
              <w:rPr>
                <w:rFonts w:ascii="Arial" w:hAnsi="Arial" w:eastAsia="Arial" w:cs="Arial"/>
                <w:b/>
                <w:bCs/>
                <w:sz w:val="16"/>
                <w:szCs w:val="16"/>
              </w:rPr>
            </w:pPr>
            <w:r>
              <w:rPr>
                <w:rFonts w:eastAsia="Arial" w:cs="Arial"/>
                <w:b/>
                <w:bCs/>
                <w:sz w:val="16"/>
                <w:szCs w:val="16"/>
              </w:rPr>
              <w:t>50 %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jc w:val="center"/>
              <w:rPr>
                <w:rFonts w:ascii="Arial" w:hAnsi="Arial" w:eastAsia="Arial" w:cs="Arial"/>
                <w:sz w:val="14"/>
                <w:szCs w:val="14"/>
              </w:rPr>
            </w:pPr>
            <w:r>
              <w:rPr>
                <w:rFonts w:eastAsia="Arial" w:cs="Arial"/>
                <w:sz w:val="14"/>
                <w:szCs w:val="14"/>
              </w:rPr>
              <w:t>CPMK021 (6%)</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CPMK022 (7%)</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CPMK023 (6%)</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CPMK093 (6%)</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CPMK094 (8%)</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CPMK095 (8%)</w:t>
            </w:r>
          </w:p>
          <w:p>
            <w:pPr>
              <w:pStyle w:val="normal2"/>
              <w:shd w:val="clear" w:fill="auto"/>
              <w:spacing w:lineRule="auto" w:line="300" w:before="120" w:after="120"/>
              <w:jc w:val="center"/>
              <w:rPr>
                <w:rFonts w:ascii="Arial" w:hAnsi="Arial" w:eastAsia="Arial" w:cs="Arial"/>
                <w:sz w:val="14"/>
                <w:szCs w:val="14"/>
              </w:rPr>
            </w:pPr>
            <w:r>
              <w:rPr>
                <w:rFonts w:eastAsia="Arial" w:cs="Arial"/>
                <w:sz w:val="14"/>
                <w:szCs w:val="14"/>
              </w:rPr>
              <w:t>CPMK096 (9%)</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Evaluasi Tengah Semester (UTS)</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Kemampuan analisis komprehensif konsep technopreneurship, validasi masalah, ketajaman proposisi nilai, dan pertanggungjawaban MVP tahap awal.</w:t>
            </w:r>
          </w:p>
        </w:tc>
        <w:tc>
          <w:tcPr>
            <w:tcW w:w="2153"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Ujian Studi Kasus &amp; Presentasi Progres Tengah Semester (Mid-Pitching)</w:t>
            </w:r>
          </w:p>
        </w:tc>
        <w:tc>
          <w:tcPr>
            <w:tcW w:w="747"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22 %</w:t>
            </w:r>
          </w:p>
        </w:tc>
        <w:tc>
          <w:tcPr>
            <w:tcW w:w="1125" w:type="dxa"/>
            <w:tcBorders>
              <w:top w:val="single" w:sz="6" w:space="0" w:color="CBD5E0"/>
              <w:start w:val="single" w:sz="6" w:space="0" w:color="CBD5E0"/>
              <w:bottom w:val="single" w:sz="6" w:space="0" w:color="CBD5E0"/>
              <w:end w:val="single" w:sz="6" w:space="0" w:color="CBD5E0"/>
            </w:tcBorders>
            <w:shd w:fill="F7FAFC" w:val="clear"/>
          </w:tcPr>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CPMK021 (4%)</w:t>
            </w:r>
          </w:p>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CPMK022 (4%)</w:t>
            </w:r>
          </w:p>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CPMK023 (2%)</w:t>
            </w:r>
          </w:p>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CPMK093 (2%)</w:t>
            </w:r>
          </w:p>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CPMK094 (4%)</w:t>
            </w:r>
          </w:p>
          <w:p>
            <w:pPr>
              <w:pStyle w:val="normal2"/>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CPMK095 (3%)</w:t>
            </w:r>
          </w:p>
          <w:p>
            <w:pPr>
              <w:pStyle w:val="normal2"/>
              <w:shd w:val="clear" w:fill="auto"/>
              <w:spacing w:lineRule="auto" w:line="300" w:before="120" w:after="120"/>
              <w:jc w:val="center"/>
              <w:rPr>
                <w:rFonts w:ascii="Arial" w:hAnsi="Arial" w:eastAsia="Arial" w:cs="Arial"/>
                <w:sz w:val="14"/>
                <w:szCs w:val="14"/>
                <w:shd w:fill="auto" w:val="clear"/>
              </w:rPr>
            </w:pPr>
            <w:r>
              <w:rPr>
                <w:rFonts w:eastAsia="Arial" w:cs="Arial"/>
                <w:sz w:val="14"/>
                <w:szCs w:val="14"/>
                <w:shd w:fill="auto" w:val="clear"/>
              </w:rPr>
              <w:t>CPMK096 (3%)</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jc w:val="center"/>
              <w:rPr>
                <w:rFonts w:ascii="Arial" w:hAnsi="Arial" w:eastAsia="Arial" w:cs="Arial"/>
                <w:b/>
                <w:bCs/>
                <w:sz w:val="16"/>
                <w:szCs w:val="16"/>
              </w:rPr>
            </w:pPr>
            <w:r>
              <w:rPr>
                <w:rFonts w:eastAsia="Arial" w:cs="Arial"/>
                <w:b/>
                <w:bCs/>
                <w:sz w:val="16"/>
                <w:szCs w:val="16"/>
              </w:rPr>
              <w:t>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rPr>
                <w:rFonts w:ascii="Arial" w:hAnsi="Arial" w:eastAsia="Arial" w:cs="Arial"/>
                <w:b/>
                <w:bCs/>
                <w:sz w:val="16"/>
                <w:szCs w:val="16"/>
              </w:rPr>
            </w:pPr>
            <w:r>
              <w:rPr>
                <w:rFonts w:eastAsia="Arial" w:cs="Arial"/>
                <w:b/>
                <w:bCs/>
                <w:sz w:val="16"/>
                <w:szCs w:val="16"/>
              </w:rPr>
              <w:t>Evaluasi Akhir Semester (UAS)</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rPr>
                <w:rFonts w:ascii="Arial" w:hAnsi="Arial" w:eastAsia="Arial" w:cs="Arial"/>
                <w:sz w:val="16"/>
                <w:szCs w:val="16"/>
              </w:rPr>
            </w:pPr>
            <w:r>
              <w:rPr>
                <w:rFonts w:eastAsia="Arial" w:cs="Arial"/>
                <w:sz w:val="16"/>
                <w:szCs w:val="16"/>
              </w:rPr>
              <w:t>Penguasaan menyeluruh kelayakan bisnis digital, unit economics, analisis risiko &amp; HKI, daya saing solusi, rencana pengembangan diri, dan performa Demo Day.</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rPr>
                <w:rFonts w:ascii="Arial" w:hAnsi="Arial" w:eastAsia="Arial" w:cs="Arial"/>
                <w:sz w:val="16"/>
                <w:szCs w:val="16"/>
              </w:rPr>
            </w:pPr>
            <w:r>
              <w:rPr>
                <w:rFonts w:eastAsia="Arial" w:cs="Arial"/>
                <w:sz w:val="16"/>
                <w:szCs w:val="16"/>
              </w:rPr>
              <w:t>Final Pitching Day (Demo Day), Gelar Karya MVP, &amp; Laporan Akhir Bisnis</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before="120" w:after="120"/>
              <w:jc w:val="center"/>
              <w:rPr>
                <w:rFonts w:ascii="Arial" w:hAnsi="Arial" w:eastAsia="Arial" w:cs="Arial"/>
                <w:b/>
                <w:bCs/>
                <w:sz w:val="16"/>
                <w:szCs w:val="16"/>
              </w:rPr>
            </w:pPr>
            <w:r>
              <w:rPr>
                <w:rFonts w:eastAsia="Arial" w:cs="Arial"/>
                <w:b/>
                <w:bCs/>
                <w:sz w:val="16"/>
                <w:szCs w:val="16"/>
              </w:rPr>
              <w:t>28 %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2"/>
              <w:shd w:val="clear" w:fill="auto"/>
              <w:spacing w:lineRule="auto" w:line="300"/>
              <w:jc w:val="center"/>
              <w:rPr>
                <w:rFonts w:ascii="Arial" w:hAnsi="Arial" w:eastAsia="Arial" w:cs="Arial"/>
                <w:sz w:val="14"/>
                <w:szCs w:val="14"/>
              </w:rPr>
            </w:pPr>
            <w:r>
              <w:rPr>
                <w:rFonts w:eastAsia="Arial" w:cs="Arial"/>
                <w:sz w:val="14"/>
                <w:szCs w:val="14"/>
              </w:rPr>
              <w:t>CPMK021 (5%)</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CPMK022 (5%)</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CPMK023 (2%)</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CPMK093 (4%)</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CPMK094 (4%)</w:t>
            </w:r>
          </w:p>
          <w:p>
            <w:pPr>
              <w:pStyle w:val="normal2"/>
              <w:shd w:val="clear" w:fill="auto"/>
              <w:spacing w:lineRule="auto" w:line="300"/>
              <w:jc w:val="center"/>
              <w:rPr>
                <w:rFonts w:ascii="Arial" w:hAnsi="Arial" w:eastAsia="Arial" w:cs="Arial"/>
                <w:sz w:val="14"/>
                <w:szCs w:val="14"/>
              </w:rPr>
            </w:pPr>
            <w:r>
              <w:rPr>
                <w:rFonts w:eastAsia="Arial" w:cs="Arial"/>
                <w:sz w:val="14"/>
                <w:szCs w:val="14"/>
              </w:rPr>
              <w:t>CPMK095 (4%)</w:t>
            </w:r>
          </w:p>
          <w:p>
            <w:pPr>
              <w:pStyle w:val="normal2"/>
              <w:shd w:val="clear" w:fill="auto"/>
              <w:spacing w:lineRule="auto" w:line="300" w:before="120" w:after="120"/>
              <w:jc w:val="center"/>
              <w:rPr>
                <w:rFonts w:ascii="Arial" w:hAnsi="Arial" w:eastAsia="Arial" w:cs="Arial"/>
                <w:sz w:val="14"/>
                <w:szCs w:val="14"/>
              </w:rPr>
            </w:pPr>
            <w:r>
              <w:rPr>
                <w:rFonts w:eastAsia="Arial" w:cs="Arial"/>
                <w:sz w:val="14"/>
                <w:szCs w:val="14"/>
              </w:rPr>
              <w:t>CPMK096 (4%)</w:t>
            </w:r>
          </w:p>
        </w:tc>
      </w:tr>
      <w:tr>
        <w:trPr/>
        <w:tc>
          <w:tcPr>
            <w:tcW w:w="7488" w:type="dxa"/>
            <w:gridSpan w:val="4"/>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TOTAL BOBOT KESELURUHAN</w:t>
            </w:r>
          </w:p>
        </w:tc>
        <w:tc>
          <w:tcPr>
            <w:tcW w:w="747"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100 %</w:t>
            </w:r>
          </w:p>
        </w:tc>
        <w:tc>
          <w:tcPr>
            <w:tcW w:w="1125"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7 CPMK Terpenuhi</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ascii="Arial" w:hAnsi="Arial"/>
          <w:color w:val="1A365D"/>
          <w:sz w:val="18"/>
          <w:szCs w:val="18"/>
        </w:rPr>
        <w:t>VII. PERINGKAT NILAI (GRADING SCALE)</w:t>
      </w:r>
    </w:p>
    <w:tbl>
      <w:tblPr>
        <w:tblStyle w:val="Table7"/>
        <w:tblW w:w="6552" w:type="dxa"/>
        <w:jc w:val="start"/>
        <w:tblInd w:w="0" w:type="dxa"/>
        <w:tblLayout w:type="fixed"/>
        <w:tblCellMar>
          <w:top w:w="120" w:type="dxa"/>
          <w:start w:w="120" w:type="dxa"/>
          <w:bottom w:w="120" w:type="dxa"/>
          <w:end w:w="120" w:type="dxa"/>
        </w:tblCellMar>
        <w:tblLook w:val="0600"/>
      </w:tblPr>
      <w:tblGrid>
        <w:gridCol w:w="1966"/>
        <w:gridCol w:w="1310"/>
        <w:gridCol w:w="1309"/>
        <w:gridCol w:w="1967"/>
      </w:tblGrid>
      <w:tr>
        <w:trPr>
          <w:tblHeader w:val="true"/>
        </w:trPr>
        <w:tc>
          <w:tcPr>
            <w:tcW w:w="1966"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Rentang Skor Akhir</w:t>
            </w:r>
          </w:p>
        </w:tc>
        <w:tc>
          <w:tcPr>
            <w:tcW w:w="1310"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Nilai Huruf</w:t>
            </w:r>
          </w:p>
        </w:tc>
        <w:tc>
          <w:tcPr>
            <w:tcW w:w="1309"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Bobot Mutu</w:t>
            </w:r>
          </w:p>
        </w:tc>
        <w:tc>
          <w:tcPr>
            <w:tcW w:w="1967" w:type="dxa"/>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Status Kelulusan</w:t>
            </w:r>
          </w:p>
          <w:p>
            <w:pPr>
              <w:pStyle w:val="normal2"/>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85.00 – 100.00</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rPr>
            </w:pPr>
            <w:r>
              <w:rPr>
                <w:rFonts w:eastAsia="Arial" w:cs="Arial"/>
                <w:b/>
                <w:bCs/>
                <w:sz w:val="16"/>
                <w:szCs w:val="16"/>
              </w:rPr>
              <w:t>A</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4.00</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2543D"/>
                <w:sz w:val="16"/>
                <w:szCs w:val="16"/>
              </w:rPr>
            </w:pPr>
            <w:r>
              <w:rPr>
                <w:rFonts w:eastAsia="Arial" w:cs="Arial"/>
                <w:b/>
                <w:bCs/>
                <w:color w:val="22543D"/>
                <w:sz w:val="16"/>
                <w:szCs w:val="16"/>
              </w:rPr>
              <w:t>Lulus (Istimewa)</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80.00 – 84.99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A-</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3.75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2543D"/>
                <w:sz w:val="16"/>
                <w:szCs w:val="16"/>
                <w:shd w:fill="auto" w:val="clear"/>
              </w:rPr>
            </w:pPr>
            <w:r>
              <w:rPr>
                <w:rFonts w:eastAsia="Arial" w:cs="Arial"/>
                <w:b/>
                <w:bCs/>
                <w:color w:val="22543D"/>
                <w:sz w:val="16"/>
                <w:szCs w:val="16"/>
                <w:shd w:fill="auto" w:val="clear"/>
              </w:rPr>
              <w:t>Lulus (Sangat Baik)</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75.00 – 79.99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rPr>
            </w:pPr>
            <w:r>
              <w:rPr>
                <w:rFonts w:eastAsia="Arial" w:cs="Arial"/>
                <w:b/>
                <w:bCs/>
                <w:sz w:val="16"/>
                <w:szCs w:val="16"/>
              </w:rPr>
              <w:t>B+</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3.25</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rPr>
            </w:pPr>
            <w:r>
              <w:rPr>
                <w:rFonts w:eastAsia="Arial" w:cs="Arial"/>
                <w:b/>
                <w:bCs/>
                <w:color w:val="2B6CB0"/>
                <w:sz w:val="16"/>
                <w:szCs w:val="16"/>
              </w:rPr>
              <w:t>Lulus (Baik Sekali)</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70.00 – 74.99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B</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3.00</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w:cs="Arial"/>
                <w:b/>
                <w:bCs/>
                <w:color w:val="2B6CB0"/>
                <w:sz w:val="16"/>
                <w:szCs w:val="16"/>
                <w:shd w:fill="auto" w:val="clear"/>
              </w:rPr>
              <w:t>Lulus (Baik)</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65.00 – 69.99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rPr>
            </w:pPr>
            <w:r>
              <w:rPr>
                <w:rFonts w:eastAsia="Arial" w:cs="Arial"/>
                <w:b/>
                <w:bCs/>
                <w:sz w:val="16"/>
                <w:szCs w:val="16"/>
              </w:rPr>
              <w:t>B-</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2.75</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color w:val="744210"/>
                <w:sz w:val="16"/>
                <w:szCs w:val="16"/>
              </w:rPr>
            </w:pPr>
            <w:r>
              <w:rPr>
                <w:rFonts w:eastAsia="Arial" w:cs="Arial"/>
                <w:color w:val="744210"/>
                <w:sz w:val="16"/>
                <w:szCs w:val="16"/>
              </w:rPr>
              <w:t>Lulus (Cukup Baik)</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60.00 – 64.99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C+</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2.25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color w:val="744210"/>
                <w:sz w:val="16"/>
                <w:szCs w:val="16"/>
                <w:shd w:fill="auto" w:val="clear"/>
              </w:rPr>
            </w:pPr>
            <w:r>
              <w:rPr>
                <w:rFonts w:eastAsia="Arial" w:cs="Arial"/>
                <w:color w:val="744210"/>
                <w:sz w:val="16"/>
                <w:szCs w:val="16"/>
                <w:shd w:fill="auto" w:val="clear"/>
              </w:rPr>
              <w:t>Lulus (Cukup)</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55.00 – 59.99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sz w:val="16"/>
                <w:szCs w:val="16"/>
              </w:rPr>
            </w:pPr>
            <w:r>
              <w:rPr>
                <w:rFonts w:eastAsia="Arial" w:cs="Arial"/>
                <w:b/>
                <w:bCs/>
                <w:sz w:val="16"/>
                <w:szCs w:val="16"/>
              </w:rPr>
              <w:t>C</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2.00</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color w:val="744210"/>
                <w:sz w:val="16"/>
                <w:szCs w:val="16"/>
              </w:rPr>
            </w:pPr>
            <w:r>
              <w:rPr>
                <w:rFonts w:eastAsia="Arial" w:cs="Arial"/>
                <w:color w:val="744210"/>
                <w:sz w:val="16"/>
                <w:szCs w:val="16"/>
              </w:rPr>
              <w:t>Lulus (Kurang Cukup)</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45.00 – 54.99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D</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color w:val="C53030"/>
                <w:sz w:val="16"/>
                <w:szCs w:val="16"/>
                <w:shd w:fill="auto" w:val="clear"/>
              </w:rPr>
            </w:pPr>
            <w:r>
              <w:rPr>
                <w:rFonts w:eastAsia="Arial" w:cs="Arial"/>
                <w:color w:val="C53030"/>
                <w:sz w:val="16"/>
                <w:szCs w:val="16"/>
                <w:shd w:fill="auto" w:val="clear"/>
              </w:rPr>
              <w:t>1.00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Tidak Lulus (Kurang)</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0.00 – 44.99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E</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color w:val="C53030"/>
                <w:sz w:val="16"/>
                <w:szCs w:val="16"/>
                <w:shd w:fill="auto" w:val="clear"/>
              </w:rPr>
            </w:pPr>
            <w:r>
              <w:rPr>
                <w:rFonts w:eastAsia="Arial" w:cs="Arial"/>
                <w:color w:val="C53030"/>
                <w:sz w:val="16"/>
                <w:szCs w:val="16"/>
                <w:shd w:fill="auto" w:val="clear"/>
              </w:rPr>
              <w:t>0.00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Tidak Lulus (Gagal)</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ascii="Arial" w:hAnsi="Arial"/>
          <w:color w:val="1A365D"/>
          <w:sz w:val="18"/>
          <w:szCs w:val="18"/>
        </w:rPr>
        <w:t>VIII. REFERENSI &amp; SUMBER BELAJAR</w:t>
      </w:r>
    </w:p>
    <w:p>
      <w:pPr>
        <w:pStyle w:val="normal2"/>
        <w:shd w:val="clear" w:fill="auto"/>
        <w:spacing w:lineRule="auto" w:line="240" w:before="0" w:after="75"/>
        <w:rPr>
          <w:rFonts w:ascii="Arial" w:hAnsi="Arial" w:eastAsia="Arial" w:cs="Arial"/>
          <w:b/>
          <w:bCs/>
          <w:color w:val="1A365D"/>
          <w:sz w:val="16"/>
          <w:szCs w:val="16"/>
        </w:rPr>
      </w:pPr>
      <w:r>
        <w:rPr>
          <w:rFonts w:eastAsia="Arial" w:cs="Arial"/>
          <w:b/>
          <w:bCs/>
          <w:color w:val="1A365D"/>
          <w:sz w:val="16"/>
          <w:szCs w:val="16"/>
        </w:rPr>
        <w:t>Buku Wajib / Utama:</w:t>
      </w:r>
    </w:p>
    <w:p>
      <w:pPr>
        <w:pStyle w:val="normal2"/>
        <w:numPr>
          <w:ilvl w:val="0"/>
          <w:numId w:val="2"/>
        </w:numPr>
        <w:shd w:val="clear" w:fill="auto"/>
        <w:spacing w:lineRule="auto" w:line="324"/>
        <w:ind w:hanging="360" w:start="600"/>
        <w:rPr/>
      </w:pPr>
      <w:r>
        <w:rPr>
          <w:rFonts w:eastAsia="Arial" w:cs="Arial"/>
          <w:b/>
          <w:bCs/>
          <w:sz w:val="16"/>
          <w:szCs w:val="16"/>
        </w:rPr>
        <w:t>[1] Ries, E. (2011).</w:t>
      </w:r>
      <w:r>
        <w:rPr>
          <w:rFonts w:eastAsia="Arial" w:cs="Arial"/>
          <w:sz w:val="16"/>
          <w:szCs w:val="16"/>
        </w:rPr>
        <w:t xml:space="preserve"> </w:t>
      </w:r>
      <w:r>
        <w:rPr>
          <w:rFonts w:eastAsia="Arial" w:cs="Arial"/>
          <w:i/>
          <w:iCs/>
          <w:sz w:val="16"/>
          <w:szCs w:val="16"/>
        </w:rPr>
        <w:t>The Lean Startup: How Today's Entrepreneurs Use Continuous Innovation to Create Radically Successful Businesses</w:t>
      </w:r>
      <w:r>
        <w:rPr>
          <w:rFonts w:eastAsia="Arial" w:cs="Arial"/>
          <w:sz w:val="16"/>
          <w:szCs w:val="16"/>
        </w:rPr>
        <w:t>. New York: Crown Business.</w:t>
      </w:r>
    </w:p>
    <w:p>
      <w:pPr>
        <w:pStyle w:val="normal2"/>
        <w:numPr>
          <w:ilvl w:val="0"/>
          <w:numId w:val="2"/>
        </w:numPr>
        <w:shd w:val="clear" w:fill="auto"/>
        <w:spacing w:lineRule="auto" w:line="324"/>
        <w:ind w:hanging="360" w:start="600"/>
        <w:rPr/>
      </w:pPr>
      <w:r>
        <w:rPr>
          <w:rFonts w:eastAsia="Arial" w:cs="Arial"/>
          <w:b/>
          <w:bCs/>
          <w:sz w:val="16"/>
          <w:szCs w:val="16"/>
        </w:rPr>
        <w:t>[2] Osterwalder, A., &amp; Pigneur, Y. (2010).</w:t>
      </w:r>
      <w:r>
        <w:rPr>
          <w:rFonts w:eastAsia="Arial" w:cs="Arial"/>
          <w:sz w:val="16"/>
          <w:szCs w:val="16"/>
        </w:rPr>
        <w:t xml:space="preserve"> </w:t>
      </w:r>
      <w:r>
        <w:rPr>
          <w:rFonts w:eastAsia="Arial" w:cs="Arial"/>
          <w:i/>
          <w:iCs/>
          <w:sz w:val="16"/>
          <w:szCs w:val="16"/>
        </w:rPr>
        <w:t>Business Model Generation: A Handbook for Visionaries, Game Changers, and Challengers</w:t>
      </w:r>
      <w:r>
        <w:rPr>
          <w:rFonts w:eastAsia="Arial" w:cs="Arial"/>
          <w:sz w:val="16"/>
          <w:szCs w:val="16"/>
        </w:rPr>
        <w:t>. Hoboken, NJ: John Wiley &amp; Sons.</w:t>
      </w:r>
    </w:p>
    <w:p>
      <w:pPr>
        <w:pStyle w:val="normal2"/>
        <w:numPr>
          <w:ilvl w:val="0"/>
          <w:numId w:val="2"/>
        </w:numPr>
        <w:shd w:val="clear" w:fill="auto"/>
        <w:spacing w:lineRule="auto" w:line="324"/>
        <w:ind w:hanging="360" w:start="600"/>
        <w:rPr/>
      </w:pPr>
      <w:r>
        <w:rPr>
          <w:rFonts w:eastAsia="Arial" w:cs="Arial"/>
          <w:b/>
          <w:bCs/>
          <w:sz w:val="16"/>
          <w:szCs w:val="16"/>
        </w:rPr>
        <w:t>[3] Blank, S., &amp; Dorf, B. (2020).</w:t>
      </w:r>
      <w:r>
        <w:rPr>
          <w:rFonts w:eastAsia="Arial" w:cs="Arial"/>
          <w:sz w:val="16"/>
          <w:szCs w:val="16"/>
        </w:rPr>
        <w:t xml:space="preserve"> </w:t>
      </w:r>
      <w:r>
        <w:rPr>
          <w:rFonts w:eastAsia="Arial" w:cs="Arial"/>
          <w:i/>
          <w:iCs/>
          <w:sz w:val="16"/>
          <w:szCs w:val="16"/>
        </w:rPr>
        <w:t>The Startup Owner's Manual: The Step-by-Step Guide for Building a Great Company</w:t>
      </w:r>
      <w:r>
        <w:rPr>
          <w:rFonts w:eastAsia="Arial" w:cs="Arial"/>
          <w:sz w:val="16"/>
          <w:szCs w:val="16"/>
        </w:rPr>
        <w:t>. Hoboken, NJ: John Wiley &amp; Sons.</w:t>
      </w:r>
    </w:p>
    <w:p>
      <w:pPr>
        <w:pStyle w:val="normal2"/>
        <w:numPr>
          <w:ilvl w:val="0"/>
          <w:numId w:val="2"/>
        </w:numPr>
        <w:shd w:val="clear" w:fill="auto"/>
        <w:spacing w:lineRule="auto" w:line="324"/>
        <w:ind w:hanging="360" w:start="600"/>
        <w:rPr/>
      </w:pPr>
      <w:r>
        <w:rPr>
          <w:rFonts w:eastAsia="Arial" w:cs="Arial"/>
          <w:b/>
          <w:bCs/>
          <w:sz w:val="16"/>
          <w:szCs w:val="16"/>
        </w:rPr>
        <w:t>[4] Byers, T. H., Dorf, R. C., &amp; Nelson, A. J. (2019).</w:t>
      </w:r>
      <w:r>
        <w:rPr>
          <w:rFonts w:eastAsia="Arial" w:cs="Arial"/>
          <w:sz w:val="16"/>
          <w:szCs w:val="16"/>
        </w:rPr>
        <w:t xml:space="preserve"> </w:t>
      </w:r>
      <w:r>
        <w:rPr>
          <w:rFonts w:eastAsia="Arial" w:cs="Arial"/>
          <w:i/>
          <w:iCs/>
          <w:sz w:val="16"/>
          <w:szCs w:val="16"/>
        </w:rPr>
        <w:t>Technology Ventures: From Idea to Enterprise</w:t>
      </w:r>
      <w:r>
        <w:rPr>
          <w:rFonts w:eastAsia="Arial" w:cs="Arial"/>
          <w:sz w:val="16"/>
          <w:szCs w:val="16"/>
        </w:rPr>
        <w:t xml:space="preserve"> (5th Edition). New York: McGraw-Hill Education.</w:t>
      </w:r>
    </w:p>
    <w:p>
      <w:pPr>
        <w:pStyle w:val="normal2"/>
        <w:shd w:val="clear" w:fill="auto"/>
        <w:spacing w:lineRule="auto" w:line="240" w:before="225" w:after="75"/>
        <w:rPr>
          <w:rFonts w:ascii="Arial" w:hAnsi="Arial" w:eastAsia="Arial" w:cs="Arial"/>
          <w:b/>
          <w:bCs/>
          <w:color w:val="1A365D"/>
          <w:sz w:val="16"/>
          <w:szCs w:val="16"/>
        </w:rPr>
      </w:pPr>
      <w:r>
        <w:rPr>
          <w:rFonts w:eastAsia="Arial" w:cs="Arial"/>
          <w:b/>
          <w:bCs/>
          <w:color w:val="1A365D"/>
          <w:sz w:val="16"/>
          <w:szCs w:val="16"/>
        </w:rPr>
        <w:t>Buku yang Direkomendasikan / Pustaka Pendukung:</w:t>
      </w:r>
    </w:p>
    <w:p>
      <w:pPr>
        <w:pStyle w:val="normal2"/>
        <w:numPr>
          <w:ilvl w:val="0"/>
          <w:numId w:val="3"/>
        </w:numPr>
        <w:shd w:val="clear" w:fill="auto"/>
        <w:spacing w:lineRule="auto" w:line="324"/>
        <w:ind w:hanging="360" w:start="600"/>
        <w:rPr/>
      </w:pPr>
      <w:r>
        <w:rPr>
          <w:rFonts w:eastAsia="Arial" w:cs="Arial"/>
          <w:b/>
          <w:bCs/>
          <w:sz w:val="16"/>
          <w:szCs w:val="16"/>
        </w:rPr>
        <w:t>[5] Kawasaki, G. (2015).</w:t>
      </w:r>
      <w:r>
        <w:rPr>
          <w:rFonts w:eastAsia="Arial" w:cs="Arial"/>
          <w:sz w:val="16"/>
          <w:szCs w:val="16"/>
        </w:rPr>
        <w:t xml:space="preserve"> </w:t>
      </w:r>
      <w:r>
        <w:rPr>
          <w:rFonts w:eastAsia="Arial" w:cs="Arial"/>
          <w:i/>
          <w:iCs/>
          <w:sz w:val="16"/>
          <w:szCs w:val="16"/>
        </w:rPr>
        <w:t>The Art of the Start 2.0: The Time-Tested, Battle-Hardened Guide for Anyone Starting Anything</w:t>
      </w:r>
      <w:r>
        <w:rPr>
          <w:rFonts w:eastAsia="Arial" w:cs="Arial"/>
          <w:sz w:val="16"/>
          <w:szCs w:val="16"/>
        </w:rPr>
        <w:t>. New York: Portfolio / Penguin.</w:t>
      </w:r>
    </w:p>
    <w:p>
      <w:pPr>
        <w:pStyle w:val="normal2"/>
        <w:numPr>
          <w:ilvl w:val="0"/>
          <w:numId w:val="3"/>
        </w:numPr>
        <w:shd w:val="clear" w:fill="auto"/>
        <w:spacing w:lineRule="auto" w:line="324"/>
        <w:ind w:hanging="360" w:start="600"/>
        <w:rPr/>
      </w:pPr>
      <w:r>
        <w:rPr>
          <w:rFonts w:eastAsia="Arial" w:cs="Arial"/>
          <w:b/>
          <w:bCs/>
          <w:sz w:val="16"/>
          <w:szCs w:val="16"/>
        </w:rPr>
        <w:t>[6] Maurya, A. (2012).</w:t>
      </w:r>
      <w:r>
        <w:rPr>
          <w:rFonts w:eastAsia="Arial" w:cs="Arial"/>
          <w:sz w:val="16"/>
          <w:szCs w:val="16"/>
        </w:rPr>
        <w:t xml:space="preserve"> </w:t>
      </w:r>
      <w:r>
        <w:rPr>
          <w:rFonts w:eastAsia="Arial" w:cs="Arial"/>
          <w:i/>
          <w:iCs/>
          <w:sz w:val="16"/>
          <w:szCs w:val="16"/>
        </w:rPr>
        <w:t>Running Lean: Iterate from Plan A to a Plan That Works</w:t>
      </w:r>
      <w:r>
        <w:rPr>
          <w:rFonts w:eastAsia="Arial" w:cs="Arial"/>
          <w:sz w:val="16"/>
          <w:szCs w:val="16"/>
        </w:rPr>
        <w:t xml:space="preserve"> (2nd Edition). Sebastopol, CA: O'Reilly Media.</w:t>
      </w:r>
    </w:p>
    <w:p>
      <w:pPr>
        <w:pStyle w:val="normal2"/>
        <w:numPr>
          <w:ilvl w:val="0"/>
          <w:numId w:val="3"/>
        </w:numPr>
        <w:shd w:val="clear" w:fill="auto"/>
        <w:spacing w:lineRule="auto" w:line="324"/>
        <w:ind w:hanging="360" w:start="600"/>
        <w:rPr/>
      </w:pPr>
      <w:r>
        <w:rPr>
          <w:rFonts w:eastAsia="Arial" w:cs="Arial"/>
          <w:b/>
          <w:bCs/>
          <w:sz w:val="16"/>
          <w:szCs w:val="16"/>
        </w:rPr>
        <w:t>[7] Tim Kurikulum UNIBI. (2026).</w:t>
      </w:r>
      <w:r>
        <w:rPr>
          <w:rFonts w:eastAsia="Arial" w:cs="Arial"/>
          <w:sz w:val="16"/>
          <w:szCs w:val="16"/>
        </w:rPr>
        <w:t xml:space="preserve"> </w:t>
      </w:r>
      <w:r>
        <w:rPr>
          <w:rFonts w:eastAsia="Arial" w:cs="Arial"/>
          <w:i/>
          <w:iCs/>
          <w:sz w:val="16"/>
          <w:szCs w:val="16"/>
        </w:rPr>
        <w:t>Pedoman Implementasi Nilai-Nilai UNIBI, Semangat Kewirausahaan, dan Karakter Pembelajar Sepanjang Hayat</w:t>
      </w:r>
      <w:r>
        <w:rPr>
          <w:rFonts w:eastAsia="Arial" w:cs="Arial"/>
          <w:sz w:val="16"/>
          <w:szCs w:val="16"/>
        </w:rPr>
        <w:t>. Bandung: UNIBI Press.</w:t>
      </w:r>
    </w:p>
    <w:p>
      <w:pPr>
        <w:pStyle w:val="normal2"/>
        <w:numPr>
          <w:ilvl w:val="0"/>
          <w:numId w:val="3"/>
        </w:numPr>
        <w:shd w:val="clear" w:fill="auto"/>
        <w:spacing w:lineRule="auto" w:line="324"/>
        <w:ind w:hanging="360" w:start="600"/>
        <w:rPr/>
      </w:pPr>
      <w:r>
        <w:rPr>
          <w:rFonts w:eastAsia="Arial" w:cs="Arial"/>
          <w:b/>
          <w:bCs/>
          <w:sz w:val="16"/>
          <w:szCs w:val="16"/>
        </w:rPr>
        <w:t>[8] Asosiasi Pendidikan Tinggi Informatika dan Komputer (APTIKOM). (2023).</w:t>
      </w:r>
      <w:r>
        <w:rPr>
          <w:rFonts w:eastAsia="Arial" w:cs="Arial"/>
          <w:sz w:val="16"/>
          <w:szCs w:val="16"/>
        </w:rPr>
        <w:t xml:space="preserve"> </w:t>
      </w:r>
      <w:r>
        <w:rPr>
          <w:rFonts w:eastAsia="Arial" w:cs="Arial"/>
          <w:i/>
          <w:iCs/>
          <w:sz w:val="16"/>
          <w:szCs w:val="16"/>
        </w:rPr>
        <w:t>Panduan Kurikulum Berbasis Outcome-Based Education (OBE) Program Studi Informatika/Ilmu Komputer</w:t>
      </w:r>
      <w:r>
        <w:rPr>
          <w:rFonts w:eastAsia="Arial" w:cs="Arial"/>
          <w:sz w:val="16"/>
          <w:szCs w:val="16"/>
        </w:rPr>
        <w:t>. Jakarta: APTIKOM Press.</w:t>
      </w:r>
    </w:p>
    <w:p>
      <w:pPr>
        <w:pStyle w:val="Heading3"/>
        <w:shd w:val="clear" w:fill="auto"/>
        <w:spacing w:lineRule="auto" w:line="240" w:before="375" w:after="120"/>
        <w:rPr>
          <w:rFonts w:ascii="Arial" w:hAnsi="Arial" w:eastAsia="Arial" w:cs="Arial"/>
          <w:color w:val="1A365D"/>
          <w:sz w:val="18"/>
          <w:szCs w:val="18"/>
        </w:rPr>
      </w:pPr>
      <w:r>
        <w:rPr>
          <w:rFonts w:eastAsia="Arial" w:cs="Arial" w:ascii="Arial" w:hAnsi="Arial"/>
          <w:color w:val="1A365D"/>
          <w:sz w:val="18"/>
          <w:szCs w:val="18"/>
        </w:rPr>
        <w:t>IX. PEMETAAN MATAKULIAH KE CAPAIAN PEMBELAJARAN LULUSAN (CPL) PROGRAM STUDI</w:t>
      </w:r>
    </w:p>
    <w:tbl>
      <w:tblPr>
        <w:tblStyle w:val="Table8"/>
        <w:tblW w:w="9360" w:type="dxa"/>
        <w:jc w:val="start"/>
        <w:tblInd w:w="0" w:type="dxa"/>
        <w:tblLayout w:type="fixed"/>
        <w:tblCellMar>
          <w:top w:w="120" w:type="dxa"/>
          <w:start w:w="120" w:type="dxa"/>
          <w:bottom w:w="120" w:type="dxa"/>
          <w:end w:w="120" w:type="dxa"/>
        </w:tblCellMar>
        <w:tblLook w:val="0600"/>
      </w:tblPr>
      <w:tblGrid>
        <w:gridCol w:w="3742"/>
        <w:gridCol w:w="560"/>
        <w:gridCol w:w="564"/>
        <w:gridCol w:w="560"/>
        <w:gridCol w:w="563"/>
        <w:gridCol w:w="562"/>
        <w:gridCol w:w="560"/>
        <w:gridCol w:w="563"/>
        <w:gridCol w:w="561"/>
        <w:gridCol w:w="563"/>
        <w:gridCol w:w="562"/>
      </w:tblGrid>
      <w:tr>
        <w:trPr>
          <w:tblHeader w:val="true"/>
        </w:trPr>
        <w:tc>
          <w:tcPr>
            <w:tcW w:w="3742" w:type="dxa"/>
            <w:vMerge w:val="restart"/>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Capaian Pembelajaran Mata Kuliah (CPMK)</w:t>
            </w:r>
          </w:p>
        </w:tc>
        <w:tc>
          <w:tcPr>
            <w:tcW w:w="5618" w:type="dxa"/>
            <w:gridSpan w:val="10"/>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Capaian Pembelajaran Lulusan Program Studi (CPL PRODI)</w:t>
            </w:r>
          </w:p>
        </w:tc>
      </w:tr>
      <w:tr>
        <w:trPr>
          <w:tblHeader w:val="true"/>
        </w:trPr>
        <w:tc>
          <w:tcPr>
            <w:tcW w:w="3742" w:type="dxa"/>
            <w:vMerge w:val="continue"/>
            <w:tcBorders>
              <w:top w:val="single" w:sz="6" w:space="0" w:color="CBD5E0"/>
              <w:start w:val="single" w:sz="6" w:space="0" w:color="CBD5E0"/>
              <w:bottom w:val="single" w:sz="6" w:space="0" w:color="CBD5E0"/>
              <w:end w:val="single" w:sz="6" w:space="0" w:color="CBD5E0"/>
            </w:tcBorders>
            <w:shd w:fill="EDF2F7" w:val="clear"/>
          </w:tcPr>
          <w:p>
            <w:pPr>
              <w:pStyle w:val="normal2"/>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Capaian Pembelajaran Mata Kuliah (CPMK)</w:t>
            </w:r>
          </w:p>
        </w:tc>
        <w:tc>
          <w:tcPr>
            <w:tcW w:w="560"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CPL01</w:t>
            </w:r>
          </w:p>
        </w:tc>
        <w:tc>
          <w:tcPr>
            <w:tcW w:w="564"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CPL02</w:t>
            </w:r>
          </w:p>
        </w:tc>
        <w:tc>
          <w:tcPr>
            <w:tcW w:w="560"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CPL03</w:t>
            </w:r>
          </w:p>
        </w:tc>
        <w:tc>
          <w:tcPr>
            <w:tcW w:w="563"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CPL04</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CPL05</w:t>
            </w:r>
          </w:p>
        </w:tc>
        <w:tc>
          <w:tcPr>
            <w:tcW w:w="560"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CPL06</w:t>
            </w:r>
          </w:p>
        </w:tc>
        <w:tc>
          <w:tcPr>
            <w:tcW w:w="563"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CPL07</w:t>
            </w:r>
          </w:p>
        </w:tc>
        <w:tc>
          <w:tcPr>
            <w:tcW w:w="561"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CPL08</w:t>
            </w:r>
          </w:p>
        </w:tc>
        <w:tc>
          <w:tcPr>
            <w:tcW w:w="563"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CPL09</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2"/>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CPL10</w:t>
            </w:r>
          </w:p>
          <w:p>
            <w:pPr>
              <w:pStyle w:val="normal2"/>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rPr>
            </w:pPr>
            <w:r>
              <w:rPr>
                <w:rFonts w:eastAsia="Arial" w:cs="Arial"/>
                <w:b/>
                <w:bCs/>
                <w:sz w:val="16"/>
                <w:szCs w:val="16"/>
              </w:rPr>
              <w:t>CPMK021:</w:t>
            </w:r>
            <w:r>
              <w:rPr>
                <w:rFonts w:eastAsia="Arial" w:cs="Arial"/>
                <w:sz w:val="16"/>
                <w:szCs w:val="16"/>
              </w:rPr>
              <w:t xml:space="preserve"> Mampu menganalisis &amp; mengimplementasikan prinsip kewirausahaan TI</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CPMK022:</w:t>
            </w:r>
            <w:r>
              <w:rPr>
                <w:rFonts w:eastAsia="Arial" w:cs="Arial"/>
                <w:sz w:val="16"/>
                <w:szCs w:val="16"/>
                <w:shd w:fill="auto" w:val="clear"/>
              </w:rPr>
              <w:t xml:space="preserve"> Mampu merancang, mengembangkan &amp; presentasi ide technopreneur</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rPr>
            </w:pPr>
            <w:r>
              <w:rPr>
                <w:rFonts w:eastAsia="Arial" w:cs="Arial"/>
                <w:b/>
                <w:bCs/>
                <w:sz w:val="16"/>
                <w:szCs w:val="16"/>
              </w:rPr>
              <w:t>CPMK023:</w:t>
            </w:r>
            <w:r>
              <w:rPr>
                <w:rFonts w:eastAsia="Arial" w:cs="Arial"/>
                <w:sz w:val="16"/>
                <w:szCs w:val="16"/>
              </w:rPr>
              <w:t xml:space="preserve"> Mampu berkomunikasi bisnis profesional dalam Bahasa Inggris</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CPMK093:</w:t>
            </w:r>
            <w:r>
              <w:rPr>
                <w:rFonts w:eastAsia="Arial" w:cs="Arial"/>
                <w:sz w:val="16"/>
                <w:szCs w:val="16"/>
                <w:shd w:fill="auto" w:val="clear"/>
              </w:rPr>
              <w:t xml:space="preserve"> Mampu membudayakan kolaborasi inklusif dalam tim multidisiplin</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rPr>
            </w:pPr>
            <w:r>
              <w:rPr>
                <w:rFonts w:eastAsia="Arial" w:cs="Arial"/>
                <w:b/>
                <w:bCs/>
                <w:sz w:val="16"/>
                <w:szCs w:val="16"/>
              </w:rPr>
              <w:t>CPMK094:</w:t>
            </w:r>
            <w:r>
              <w:rPr>
                <w:rFonts w:eastAsia="Arial" w:cs="Arial"/>
                <w:sz w:val="16"/>
                <w:szCs w:val="16"/>
              </w:rPr>
              <w:t xml:space="preserve"> Mampu menciptakan solusi digital berdampak &amp; berdaya saing global</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CPMK095:</w:t>
            </w:r>
            <w:r>
              <w:rPr>
                <w:rFonts w:eastAsia="Arial" w:cs="Arial"/>
                <w:sz w:val="16"/>
                <w:szCs w:val="16"/>
                <w:shd w:fill="auto" w:val="clear"/>
              </w:rPr>
              <w:t xml:space="preserve"> Mampu membudayakan lifelong learning &amp; adaptasi teknologi</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rPr>
                <w:rFonts w:ascii="Arial" w:hAnsi="Arial" w:eastAsia="Arial" w:cs="Arial"/>
                <w:sz w:val="16"/>
                <w:szCs w:val="16"/>
              </w:rPr>
            </w:pPr>
            <w:r>
              <w:rPr>
                <w:rFonts w:eastAsia="Arial" w:cs="Arial"/>
                <w:b/>
                <w:bCs/>
                <w:sz w:val="16"/>
                <w:szCs w:val="16"/>
              </w:rPr>
              <w:t>CPMK096:</w:t>
            </w:r>
            <w:r>
              <w:rPr>
                <w:rFonts w:eastAsia="Arial" w:cs="Arial"/>
                <w:sz w:val="16"/>
                <w:szCs w:val="16"/>
              </w:rPr>
              <w:t xml:space="preserve"> Mampu menciptakan budaya kerja profesional &amp; kepemimpinan diri</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2"/>
              <w:shd w:val="clear" w:fill="auto"/>
              <w:spacing w:lineRule="auto" w:line="300" w:before="90" w:after="90"/>
              <w:jc w:val="center"/>
              <w:rPr>
                <w:rFonts w:ascii="Arial" w:hAnsi="Arial" w:eastAsia="Arial" w:cs="Arial"/>
                <w:sz w:val="16"/>
                <w:szCs w:val="16"/>
              </w:rPr>
            </w:pPr>
            <w:r>
              <w:rPr>
                <w:rFonts w:eastAsia="Arial" w:cs="Arial"/>
                <w:sz w:val="16"/>
                <w:szCs w:val="16"/>
              </w:rPr>
              <w:t>-</w:t>
            </w:r>
          </w:p>
        </w:tc>
      </w:tr>
    </w:tbl>
    <w:p>
      <w:pPr>
        <w:pStyle w:val="normal2"/>
        <w:keepNext w:val="false"/>
        <w:keepLines w:val="false"/>
        <w:widowControl w:val="false"/>
        <w:shd w:val="clear" w:fill="auto"/>
        <w:spacing w:lineRule="auto" w:line="276" w:before="0" w:after="0"/>
        <w:ind w:hanging="0" w:start="0" w:end="0"/>
        <w:jc w:val="start"/>
        <w:rPr>
          <w:rFonts w:ascii="Arial" w:hAnsi="Arial" w:eastAsia="Arial" w:cs="Arial"/>
          <w:sz w:val="16"/>
          <w:szCs w:val="16"/>
        </w:rPr>
      </w:pPr>
      <w:r>
        <w:rPr>
          <w:rFonts w:eastAsia="Arial" w:cs="Arial"/>
          <w:sz w:val="16"/>
          <w:szCs w:val="16"/>
        </w:rPr>
      </w:r>
    </w:p>
    <w:sectPr>
      <w:headerReference w:type="default" r:id="rId2"/>
      <w:type w:val="nextPage"/>
      <w:pgSz w:w="12240" w:h="15840"/>
      <w:pgMar w:left="1440" w:right="1440" w:gutter="0" w:header="1440" w:top="4208"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default"/>
  </w:font>
  <w:font w:name="Liberation Serif">
    <w:altName w:val="Times New Roman"/>
    <w:charset w:val="01" w:characterSet="utf-8"/>
    <w:family w:val="roman"/>
    <w:pitch w:val="default"/>
  </w:font>
  <w:font w:name="Liberation Sans">
    <w:altName w:val="Arial"/>
    <w:charset w:val="01" w:characterSet="utf-8"/>
    <w:family w:val="swiss"/>
    <w:pitch w:val="default"/>
  </w:font>
  <w:font w:name="Times New Roman">
    <w:charset w:val="01" w:characterSet="utf-8"/>
    <w:family w:val="roman"/>
    <w:pitch w:val="default"/>
  </w:font>
  <w:font w:name="Georgia">
    <w:charset w:val="01" w:characterSet="utf-8"/>
    <w:family w:val="roman"/>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rial Unicode MS">
    <w:charset w:val="01"/>
    <w:family w:val="swiss"/>
    <w:pitch w:val="default"/>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150" w:type="dxa"/>
        <w:start w:w="150" w:type="dxa"/>
        <w:bottom w:w="150" w:type="dxa"/>
        <w:end w:w="150" w:type="dxa"/>
      </w:tblCellMar>
    </w:tblPr>
    <w:tblGrid>
      <w:gridCol w:w="1404"/>
      <w:gridCol w:w="5148"/>
      <w:gridCol w:w="2808"/>
    </w:tblGrid>
    <w:tr>
      <w:trPr/>
      <w:tc>
        <w:tcPr>
          <w:tcW w:w="1404" w:type="dxa"/>
          <w:tcBorders/>
          <w:vAlign w:val="center"/>
        </w:tcPr>
        <w:p>
          <w:pPr>
            <w:pStyle w:val="normal1"/>
            <w:spacing w:lineRule="auto" w:line="720"/>
            <w:jc w:val="center"/>
            <w:rPr>
              <w:color w:val="999999"/>
              <w:position w:val="0"/>
              <w:sz w:val="14"/>
              <w:szCs w:val="14"/>
              <w:shd w:fill="F0F0F0" w:val="clear"/>
              <w:vertAlign w:val="baseline"/>
            </w:rPr>
          </w:pPr>
          <w:r>
            <w:rPr>
              <w:color w:val="999999"/>
              <w:position w:val="0"/>
              <w:sz w:val="14"/>
              <w:szCs w:val="14"/>
              <w:shd w:fill="F0F0F0" w:val="clear"/>
              <w:vertAlign w:val="baseline"/>
            </w:rPr>
            <w:drawing>
              <wp:anchor distT="0" distB="0" distL="0" distR="0" simplePos="0" relativeHeight="13" behindDoc="1" locked="0" layoutInCell="1" allowOverlap="1">
                <wp:simplePos x="0" y="0"/>
                <wp:positionH relativeFrom="column">
                  <wp:align>center</wp:align>
                </wp:positionH>
                <wp:positionV relativeFrom="paragraph">
                  <wp:posOffset>635</wp:posOffset>
                </wp:positionV>
                <wp:extent cx="701040" cy="7010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701040" cy="701040"/>
                        </a:xfrm>
                        <a:prstGeom prst="rect">
                          <a:avLst/>
                        </a:prstGeom>
                        <a:noFill/>
                      </pic:spPr>
                    </pic:pic>
                  </a:graphicData>
                </a:graphic>
              </wp:anchor>
            </w:drawing>
          </w:r>
        </w:p>
      </w:tc>
      <w:tc>
        <w:tcPr>
          <w:tcW w:w="5148" w:type="dxa"/>
          <w:tcBorders/>
          <w:vAlign w:val="center"/>
        </w:tcPr>
        <w:p>
          <w:pPr>
            <w:pStyle w:val="JudulHeader"/>
            <w:rPr/>
          </w:pPr>
          <w:r>
            <w:rPr/>
            <w:t>UNIVERSITAS INFORMATIKA DAN BISNIS INDONESIA</w:t>
          </w:r>
        </w:p>
        <w:p>
          <w:pPr>
            <w:pStyle w:val="JudulHeader"/>
            <w:rPr/>
          </w:pPr>
          <w:r>
            <w:rPr/>
            <w:t>FAKULTAS TEKNOLOGI DAN INFORMATIKA</w:t>
          </w:r>
        </w:p>
      </w:tc>
      <w:tc>
        <w:tcPr>
          <w:tcW w:w="2808" w:type="dxa"/>
          <w:tcBorders>
            <w:top w:val="single" w:sz="6" w:space="0" w:color="000000"/>
            <w:start w:val="single" w:sz="6" w:space="0" w:color="000000"/>
            <w:bottom w:val="single" w:sz="6" w:space="0" w:color="000000"/>
            <w:end w:val="single" w:sz="6" w:space="0" w:color="000000"/>
          </w:tcBorders>
          <w:vAlign w:val="center"/>
        </w:tcPr>
        <w:tbl>
          <w:tblPr>
            <w:tblW w:w="5000" w:type="pct"/>
            <w:jc w:val="start"/>
            <w:tblInd w:w="0" w:type="dxa"/>
            <w:tblLayout w:type="fixed"/>
            <w:tblCellMar>
              <w:top w:w="55" w:type="dxa"/>
              <w:start w:w="55" w:type="dxa"/>
              <w:bottom w:w="55" w:type="dxa"/>
              <w:end w:w="55" w:type="dxa"/>
            </w:tblCellMar>
          </w:tblPr>
          <w:tblGrid>
            <w:gridCol w:w="2508"/>
          </w:tblGrid>
          <w:tr>
            <w:trPr>
              <w:tblHeader w:val="true"/>
            </w:trPr>
            <w:tc>
              <w:tcPr>
                <w:tcW w:w="2508" w:type="dxa"/>
                <w:tcBorders/>
              </w:tcPr>
              <w:p>
                <w:pPr>
                  <w:pStyle w:val="IsiTabel"/>
                  <w:spacing w:before="0" w:after="0"/>
                  <w:rPr/>
                </w:pPr>
                <w:r>
                  <w:rPr/>
                  <w:t>Kode Dokumen:</w:t>
                </w:r>
              </w:p>
              <w:p>
                <w:pPr>
                  <w:pStyle w:val="IsiTabel"/>
                  <w:spacing w:before="0" w:after="0"/>
                  <w:rPr/>
                </w:pPr>
                <w:r>
                  <w:rPr/>
                  <w:t>RPS/IFPU</w:t>
                </w:r>
                <w:r>
                  <w:rPr/>
                  <w:t>602</w:t>
                </w:r>
                <w:r>
                  <w:rPr/>
                  <w:t>/2026</w:t>
                </w:r>
              </w:p>
            </w:tc>
          </w:tr>
          <w:tr>
            <w:trPr/>
            <w:tc>
              <w:tcPr>
                <w:tcW w:w="2508" w:type="dxa"/>
                <w:tcBorders/>
              </w:tcPr>
              <w:p>
                <w:pPr>
                  <w:pStyle w:val="IsiTabel"/>
                  <w:spacing w:before="0" w:after="0"/>
                  <w:rPr/>
                </w:pPr>
                <w:r>
                  <w:rPr/>
                  <w:t>Tanggal: 29 Agustus 2026</w:t>
                </w:r>
              </w:p>
            </w:tc>
          </w:tr>
          <w:tr>
            <w:trPr/>
            <w:tc>
              <w:tcPr>
                <w:tcW w:w="2508" w:type="dxa"/>
                <w:tcBorders/>
              </w:tcPr>
              <w:p>
                <w:pPr>
                  <w:pStyle w:val="IsiTabel"/>
                  <w:spacing w:before="0" w:after="0"/>
                  <w:rPr/>
                </w:pPr>
                <w:r>
                  <w:rPr/>
                  <w:t>Revisi Ke-1</w:t>
                </w:r>
              </w:p>
            </w:tc>
          </w:tr>
          <w:tr>
            <w:trPr/>
            <w:tc>
              <w:tcPr>
                <w:tcW w:w="2508" w:type="dxa"/>
                <w:tcBorders/>
              </w:tcPr>
              <w:p>
                <w:pPr>
                  <w:pStyle w:val="IsiTabel"/>
                  <w:spacing w:before="0" w:after="0"/>
                  <w:rPr/>
                </w:pPr>
                <w:r>
                  <w:rPr/>
                  <w:t xml:space="preserve">Jumlah halaman </w:t>
                </w:r>
                <w:r>
                  <w:rPr/>
                  <w:fldChar w:fldCharType="begin"/>
                </w:r>
                <w:r>
                  <w:rPr/>
                  <w:instrText xml:space="preserve"> NUMPAGES </w:instrText>
                </w:r>
                <w:r>
                  <w:rPr/>
                  <w:fldChar w:fldCharType="separate"/>
                </w:r>
                <w:r>
                  <w:rPr/>
                  <w:t>13</w:t>
                </w:r>
                <w:r>
                  <w:rPr/>
                  <w:fldChar w:fldCharType="end"/>
                </w:r>
              </w:p>
            </w:tc>
          </w:tr>
        </w:tbl>
        <w:p>
          <w:pPr>
            <w:pStyle w:val="normal1"/>
            <w:rPr>
              <w:rFonts w:ascii="Arial" w:hAnsi="Arial" w:eastAsia="Arial" w:cs="Arial"/>
              <w:color w:val="000000"/>
              <w:position w:val="0"/>
              <w:sz w:val="20"/>
              <w:szCs w:val="20"/>
              <w:vertAlign w:val="baseline"/>
            </w:rPr>
          </w:pPr>
          <w:r>
            <w:rPr>
              <w:rFonts w:eastAsia="Arial" w:cs="Arial"/>
              <w:color w:val="000000"/>
              <w:position w:val="0"/>
              <w:sz w:val="20"/>
              <w:szCs w:val="20"/>
              <w:vertAlign w:val="baseline"/>
            </w:rPr>
          </w:r>
        </w:p>
      </w:tc>
    </w:tr>
  </w:tbl>
  <w:p>
    <w:pPr>
      <w:pStyle w:val="normal1"/>
      <w:keepNext w:val="false"/>
      <w:keepLines w:val="false"/>
      <w:widowControl w:val="false"/>
      <w:spacing w:lineRule="auto" w:line="276" w:before="0" w:after="0"/>
      <w:ind w:hanging="0" w:start="0" w:end="0"/>
      <w:jc w:val="start"/>
      <w:rPr>
        <w:rFonts w:ascii="Arial" w:hAnsi="Arial" w:eastAsia="Arial" w:cs="Arial"/>
        <w:b/>
        <w:bCs/>
        <w:color w:val="000000"/>
        <w:position w:val="0"/>
        <w:sz w:val="20"/>
        <w:szCs w:val="20"/>
        <w:vertAlign w:val="baseline"/>
      </w:rPr>
    </w:pPr>
    <w:r>
      <w:rPr>
        <w:rFonts w:eastAsia="Arial" w:cs="Arial"/>
        <w:b/>
        <w:bCs/>
        <w:color w:val="000000"/>
        <w:position w:val="0"/>
        <w:sz w:val="20"/>
        <w:szCs w:val="20"/>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5"/>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start"/>
    </w:pPr>
    <w:rPr>
      <w:rFonts w:ascii="Liberation Serif" w:hAnsi="Liberation Serif" w:eastAsia="Arial" w:cs="Arial"/>
      <w:color w:val="auto"/>
      <w:kern w:val="0"/>
      <w:sz w:val="22"/>
      <w:szCs w:val="22"/>
      <w:lang w:val="en-US" w:eastAsia="zh-CN" w:bidi="hi-IN"/>
    </w:rPr>
  </w:style>
  <w:style w:type="paragraph" w:styleId="Heading1">
    <w:name w:val="heading 1"/>
    <w:basedOn w:val="normal1"/>
    <w:next w:val="normal1"/>
    <w:qFormat/>
    <w:pPr>
      <w:spacing w:lineRule="auto" w:line="240" w:before="240" w:after="240"/>
    </w:pPr>
    <w:rPr>
      <w:b/>
      <w:bCs/>
      <w:i w:val="false"/>
      <w:iCs w:val="false"/>
      <w:sz w:val="48"/>
      <w:szCs w:val="48"/>
    </w:rPr>
  </w:style>
  <w:style w:type="paragraph" w:styleId="Heading2">
    <w:name w:val="heading 2"/>
    <w:basedOn w:val="normal1"/>
    <w:next w:val="normal1"/>
    <w:qFormat/>
    <w:pPr>
      <w:spacing w:lineRule="auto" w:line="240" w:before="225" w:after="225"/>
    </w:pPr>
    <w:rPr>
      <w:b/>
      <w:bCs/>
      <w:i w:val="false"/>
      <w:iCs w:val="false"/>
      <w:sz w:val="36"/>
      <w:szCs w:val="36"/>
    </w:rPr>
  </w:style>
  <w:style w:type="paragraph" w:styleId="Heading3">
    <w:name w:val="heading 3"/>
    <w:basedOn w:val="normal1"/>
    <w:next w:val="normal1"/>
    <w:qFormat/>
    <w:pPr>
      <w:spacing w:lineRule="auto" w:line="240" w:before="240" w:after="240"/>
    </w:pPr>
    <w:rPr>
      <w:b/>
      <w:bCs/>
      <w:i w:val="false"/>
      <w:iCs w:val="false"/>
      <w:sz w:val="28"/>
      <w:szCs w:val="28"/>
    </w:rPr>
  </w:style>
  <w:style w:type="paragraph" w:styleId="Heading4">
    <w:name w:val="heading 4"/>
    <w:basedOn w:val="normal1"/>
    <w:next w:val="normal1"/>
    <w:qFormat/>
    <w:pPr>
      <w:spacing w:lineRule="auto" w:line="240" w:before="255" w:after="255"/>
    </w:pPr>
    <w:rPr>
      <w:b/>
      <w:bCs/>
      <w:i w:val="false"/>
      <w:iCs w:val="false"/>
      <w:sz w:val="24"/>
      <w:szCs w:val="24"/>
    </w:rPr>
  </w:style>
  <w:style w:type="paragraph" w:styleId="Heading5">
    <w:name w:val="heading 5"/>
    <w:basedOn w:val="normal1"/>
    <w:next w:val="normal1"/>
    <w:qFormat/>
    <w:pPr>
      <w:spacing w:lineRule="auto" w:line="240" w:before="255" w:after="255"/>
    </w:pPr>
    <w:rPr>
      <w:b/>
      <w:bCs/>
      <w:i w:val="false"/>
      <w:iCs w:val="false"/>
      <w:sz w:val="18"/>
      <w:szCs w:val="18"/>
    </w:rPr>
  </w:style>
  <w:style w:type="paragraph" w:styleId="Heading6">
    <w:name w:val="heading 6"/>
    <w:basedOn w:val="normal1"/>
    <w:next w:val="normal1"/>
    <w:qFormat/>
    <w:pPr>
      <w:spacing w:lineRule="auto" w:line="240" w:before="360" w:after="360"/>
    </w:pPr>
    <w:rPr>
      <w:b/>
      <w:bCs/>
      <w:i w:val="false"/>
      <w:iCs w:val="false"/>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normal1">
    <w:name w:val="normal1"/>
    <w:qFormat/>
    <w:pPr>
      <w:widowControl w:val="false"/>
      <w:suppressAutoHyphens w:val="true"/>
      <w:kinsoku w:val="true"/>
      <w:overflowPunct w:val="true"/>
      <w:autoSpaceDE w:val="tru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JudulHeader">
    <w:name w:val="Judul Header"/>
    <w:basedOn w:val="Index3"/>
    <w:qFormat/>
    <w:pPr>
      <w:jc w:val="center"/>
    </w:pPr>
    <w:rPr>
      <w:rFonts w:ascii="Liberation Serif" w:hAnsi="Liberation Serif"/>
      <w:b/>
      <w:sz w:val="28"/>
    </w:rPr>
  </w:style>
  <w:style w:type="paragraph" w:styleId="Index3">
    <w:name w:val="index 3"/>
    <w:basedOn w:val="Index"/>
    <w:pPr>
      <w:ind w:hanging="0" w:start="567"/>
    </w:pPr>
    <w:rPr/>
  </w:style>
  <w:style w:type="paragraph" w:styleId="IsiTabel">
    <w:name w:val="Isi Tabel"/>
    <w:basedOn w:val="BodyText"/>
    <w:qFormat/>
    <w:pPr>
      <w:spacing w:before="0" w:after="0"/>
    </w:pPr>
    <w:rPr/>
  </w:style>
  <w:style w:type="paragraph" w:styleId="normal2">
    <w:name w:val="normal2"/>
    <w:qFormat/>
    <w:pPr>
      <w:widowControl w:val="false"/>
      <w:suppressAutoHyphens w:val="true"/>
      <w:kinsoku w:val="true"/>
      <w:overflowPunct w:val="false"/>
      <w:autoSpaceDE w:val="true"/>
      <w:bidi w:val="0"/>
      <w:spacing w:before="0" w:after="0"/>
      <w:jc w:val="start"/>
    </w:pPr>
    <w:rPr>
      <w:rFonts w:ascii="Arial" w:hAnsi="Arial" w:eastAsia="Arial" w:cs="Arial"/>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RPS UNIBI</Template>
  <TotalTime>7</TotalTime>
  <Application>LibreOffice/26.2.5.2$Linux_X86_64 LibreOffice_project/620$Build-2</Application>
  <AppVersion>15.0000</AppVersion>
  <Pages>13</Pages>
  <Words>2029</Words>
  <Characters>13104</Characters>
  <CharactersWithSpaces>14734</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2026-08-30T19:31:56Z</dcterms:created>
  <dc:creator/>
  <dc:description/>
  <dc:language>en-US</dc:language>
  <cp:lastModifiedBy/>
  <dcterms:modified xsi:type="dcterms:W3CDTF">2026-08-30T19:53:33Z</dcterms:modified>
  <cp:revision>2</cp:revision>
  <dc:subject/>
  <dc:title>RPS UNIBI</dc:title>
</cp:coreProperties>
</file>

<file path=docProps/custom.xml><?xml version="1.0" encoding="utf-8"?>
<Properties xmlns="http://schemas.openxmlformats.org/officeDocument/2006/custom-properties" xmlns:vt="http://schemas.openxmlformats.org/officeDocument/2006/docPropsVTypes"/>
</file>