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1"/>
        <w:tblW w:w="9360" w:type="dxa"/>
        <w:jc w:val="start"/>
        <w:tblInd w:w="0" w:type="dxa"/>
        <w:tblLayout w:type="fixed"/>
        <w:tblCellMar>
          <w:top w:w="180" w:type="dxa"/>
          <w:start w:w="180" w:type="dxa"/>
          <w:bottom w:w="180" w:type="dxa"/>
          <w:end w:w="180" w:type="dxa"/>
        </w:tblCellMar>
        <w:tblLook w:val="0600"/>
      </w:tblPr>
      <w:tblGrid>
        <w:gridCol w:w="1872"/>
        <w:gridCol w:w="5148"/>
        <w:gridCol w:w="2340"/>
      </w:tblGrid>
      <w:tr>
        <w:trPr/>
        <w:tc>
          <w:tcPr>
            <w:tcW w:w="1872" w:type="dxa"/>
            <w:tcBorders>
              <w:top w:val="single" w:sz="6" w:space="0" w:color="CBD5E0"/>
              <w:start w:val="single" w:sz="6" w:space="0" w:color="CBD5E0"/>
              <w:bottom w:val="single" w:sz="6" w:space="0" w:color="CBD5E0"/>
              <w:end w:val="single" w:sz="6" w:space="0" w:color="CBD5E0"/>
            </w:tcBorders>
            <w:shd w:fill="F7FAFC" w:val="clear"/>
            <w:vAlign w:val="center"/>
          </w:tcPr>
          <w:p>
            <w:pPr>
              <w:pStyle w:val="normal1"/>
              <w:shd w:val="clear" w:fill="auto"/>
              <w:spacing w:lineRule="auto" w:line="240" w:before="180" w:after="180"/>
              <w:jc w:val="center"/>
              <w:rPr>
                <w:rFonts w:ascii="Arial" w:hAnsi="Arial" w:eastAsia="Arial" w:cs="Arial"/>
                <w:b/>
                <w:bCs/>
                <w:color w:val="1A365D"/>
                <w:position w:val="0"/>
                <w:sz w:val="26"/>
                <w:szCs w:val="26"/>
                <w:shd w:fill="auto" w:val="clear"/>
                <w:vertAlign w:val="baseline"/>
              </w:rPr>
            </w:pPr>
            <w:r>
              <w:rPr>
                <w:rFonts w:eastAsia="Arial" w:cs="Arial"/>
                <w:b/>
                <w:bCs/>
                <w:color w:val="1A365D"/>
                <w:position w:val="0"/>
                <w:sz w:val="26"/>
                <w:szCs w:val="26"/>
                <w:shd w:fill="auto" w:val="clear"/>
                <w:vertAlign w:val="baseline"/>
              </w:rPr>
              <w:t>UNIBI</w:t>
            </w:r>
          </w:p>
        </w:tc>
        <w:tc>
          <w:tcPr>
            <w:tcW w:w="5148" w:type="dxa"/>
            <w:tcBorders>
              <w:top w:val="single" w:sz="6" w:space="0" w:color="CBD5E0"/>
              <w:start w:val="single" w:sz="6" w:space="0" w:color="CBD5E0"/>
              <w:bottom w:val="single" w:sz="6" w:space="0" w:color="CBD5E0"/>
              <w:end w:val="single" w:sz="6" w:space="0" w:color="CBD5E0"/>
            </w:tcBorders>
            <w:shd w:fill="F7FAFC" w:val="clear"/>
            <w:vAlign w:val="center"/>
          </w:tcPr>
          <w:p>
            <w:pPr>
              <w:pStyle w:val="normal1"/>
              <w:shd w:val="clear" w:fill="auto"/>
              <w:jc w:val="center"/>
              <w:rPr>
                <w:rFonts w:ascii="Arial" w:hAnsi="Arial" w:eastAsia="Arial" w:cs="Arial"/>
                <w:b/>
                <w:bCs/>
                <w:color w:val="1A365D"/>
                <w:position w:val="0"/>
                <w:sz w:val="20"/>
                <w:szCs w:val="20"/>
                <w:shd w:fill="auto" w:val="clear"/>
                <w:vertAlign w:val="baseline"/>
              </w:rPr>
            </w:pPr>
            <w:r>
              <w:rPr>
                <w:rFonts w:eastAsia="Arial" w:cs="Arial"/>
                <w:b/>
                <w:bCs/>
                <w:color w:val="1A365D"/>
                <w:position w:val="0"/>
                <w:sz w:val="20"/>
                <w:szCs w:val="20"/>
                <w:shd w:fill="auto" w:val="clear"/>
                <w:vertAlign w:val="baseline"/>
              </w:rPr>
              <w:t>UNIVERSITAS INFORMATIKA DAN BISNIS INDONESIA</w:t>
            </w:r>
          </w:p>
          <w:p>
            <w:pPr>
              <w:pStyle w:val="normal1"/>
              <w:shd w:val="clear" w:fill="auto"/>
              <w:jc w:val="center"/>
              <w:rPr>
                <w:rFonts w:ascii="Arial" w:hAnsi="Arial" w:eastAsia="Arial" w:cs="Arial"/>
                <w:b/>
                <w:bCs/>
                <w:color w:val="2D3748"/>
                <w:position w:val="0"/>
                <w:sz w:val="18"/>
                <w:szCs w:val="18"/>
                <w:shd w:fill="auto" w:val="clear"/>
                <w:vertAlign w:val="baseline"/>
              </w:rPr>
            </w:pPr>
            <w:r>
              <w:rPr>
                <w:rFonts w:eastAsia="Arial" w:cs="Arial"/>
                <w:b/>
                <w:bCs/>
                <w:color w:val="2D3748"/>
                <w:position w:val="0"/>
                <w:sz w:val="18"/>
                <w:szCs w:val="18"/>
                <w:shd w:fill="auto" w:val="clear"/>
                <w:vertAlign w:val="baseline"/>
              </w:rPr>
              <w:t>FAKULTAS TEKNOLOGI DAN INFORMATIKA</w:t>
            </w:r>
          </w:p>
          <w:p>
            <w:pPr>
              <w:pStyle w:val="normal1"/>
              <w:shd w:val="clear" w:fill="auto"/>
              <w:jc w:val="center"/>
              <w:rPr>
                <w:rFonts w:ascii="Arial" w:hAnsi="Arial" w:eastAsia="Arial" w:cs="Arial"/>
                <w:b/>
                <w:bCs/>
                <w:color w:val="4A5568"/>
                <w:position w:val="0"/>
                <w:sz w:val="18"/>
                <w:szCs w:val="18"/>
                <w:shd w:fill="auto" w:val="clear"/>
                <w:vertAlign w:val="baseline"/>
              </w:rPr>
            </w:pPr>
            <w:r>
              <w:rPr>
                <w:rFonts w:eastAsia="Arial" w:cs="Arial"/>
                <w:b/>
                <w:bCs/>
                <w:color w:val="4A5568"/>
                <w:position w:val="0"/>
                <w:sz w:val="18"/>
                <w:szCs w:val="18"/>
                <w:shd w:fill="auto" w:val="clear"/>
                <w:vertAlign w:val="baseline"/>
              </w:rPr>
              <w:t>PROGRAM STUDI INFORMATIKA</w:t>
            </w:r>
          </w:p>
          <w:p>
            <w:pPr>
              <w:pStyle w:val="normal1"/>
              <w:shd w:val="clear" w:fill="auto"/>
              <w:spacing w:lineRule="auto" w:line="240" w:before="180" w:after="180"/>
              <w:jc w:val="center"/>
              <w:rPr>
                <w:rFonts w:ascii="Arial" w:hAnsi="Arial" w:eastAsia="Arial" w:cs="Arial"/>
                <w:b/>
                <w:bCs/>
                <w:color w:val="2B6CB0"/>
                <w:position w:val="0"/>
                <w:sz w:val="18"/>
                <w:szCs w:val="18"/>
                <w:shd w:fill="auto" w:val="clear"/>
                <w:vertAlign w:val="baseline"/>
              </w:rPr>
            </w:pPr>
            <w:r>
              <w:rPr>
                <w:rFonts w:eastAsia="Arial" w:cs="Arial"/>
                <w:b/>
                <w:bCs/>
                <w:color w:val="2B6CB0"/>
                <w:position w:val="0"/>
                <w:sz w:val="18"/>
                <w:szCs w:val="18"/>
                <w:shd w:fill="auto" w:val="clear"/>
                <w:vertAlign w:val="baseline"/>
              </w:rPr>
              <w:t>RENCANA PEMBELAJARAN SEMESTER (RPS)</w:t>
            </w:r>
          </w:p>
        </w:tc>
        <w:tc>
          <w:tcPr>
            <w:tcW w:w="2340" w:type="dxa"/>
            <w:tcBorders>
              <w:top w:val="single" w:sz="6" w:space="0" w:color="CBD5E0"/>
              <w:start w:val="single" w:sz="6" w:space="0" w:color="CBD5E0"/>
              <w:bottom w:val="single" w:sz="6" w:space="0" w:color="CBD5E0"/>
              <w:end w:val="single" w:sz="6" w:space="0" w:color="CBD5E0"/>
            </w:tcBorders>
            <w:shd w:fill="F7FAFC" w:val="clear"/>
            <w:tcMar>
              <w:top w:w="150" w:type="dxa"/>
              <w:start w:w="150" w:type="dxa"/>
              <w:bottom w:w="150" w:type="dxa"/>
              <w:end w:w="150" w:type="dxa"/>
            </w:tcMar>
          </w:tcPr>
          <w:p>
            <w:pPr>
              <w:pStyle w:val="normal1"/>
              <w:shd w:val="clear" w:fill="auto"/>
              <w:spacing w:lineRule="auto" w:line="336"/>
              <w:rPr>
                <w:rFonts w:ascii="Arial" w:hAnsi="Arial" w:eastAsia="Arial" w:cs="Arial"/>
                <w:sz w:val="16"/>
                <w:szCs w:val="16"/>
                <w:shd w:fill="auto" w:val="clear"/>
              </w:rPr>
            </w:pPr>
            <w:r>
              <w:rPr>
                <w:rFonts w:eastAsia="Arial" w:cs="Arial"/>
                <w:b/>
                <w:bCs/>
                <w:sz w:val="16"/>
                <w:szCs w:val="16"/>
                <w:shd w:fill="auto" w:val="clear"/>
              </w:rPr>
              <w:t>Kode Dokumen:</w:t>
            </w:r>
            <w:r>
              <w:rPr>
                <w:rFonts w:eastAsia="Arial" w:cs="Arial"/>
                <w:sz w:val="16"/>
                <w:szCs w:val="16"/>
                <w:shd w:fill="auto" w:val="clear"/>
              </w:rPr>
              <w:t xml:space="preserve"> RPS/FTI-IF/IFPU706</w:t>
            </w:r>
          </w:p>
          <w:p>
            <w:pPr>
              <w:pStyle w:val="normal1"/>
              <w:shd w:val="clear" w:fill="auto"/>
              <w:spacing w:lineRule="auto" w:line="336"/>
              <w:rPr>
                <w:rFonts w:ascii="Arial" w:hAnsi="Arial" w:eastAsia="Arial" w:cs="Arial"/>
                <w:sz w:val="16"/>
                <w:szCs w:val="16"/>
                <w:shd w:fill="auto" w:val="clear"/>
              </w:rPr>
            </w:pPr>
            <w:r>
              <w:rPr>
                <w:rFonts w:eastAsia="Arial" w:cs="Arial"/>
                <w:b/>
                <w:bCs/>
                <w:sz w:val="16"/>
                <w:szCs w:val="16"/>
                <w:shd w:fill="auto" w:val="clear"/>
              </w:rPr>
              <w:t>Tanggal:</w:t>
            </w:r>
            <w:r>
              <w:rPr>
                <w:rFonts w:eastAsia="Arial" w:cs="Arial"/>
                <w:sz w:val="16"/>
                <w:szCs w:val="16"/>
                <w:shd w:fill="auto" w:val="clear"/>
              </w:rPr>
              <w:t xml:space="preserve"> 25 Juli 2026</w:t>
            </w:r>
          </w:p>
          <w:p>
            <w:pPr>
              <w:pStyle w:val="normal1"/>
              <w:shd w:val="clear" w:fill="auto"/>
              <w:spacing w:lineRule="auto" w:line="336"/>
              <w:rPr>
                <w:rFonts w:ascii="Arial" w:hAnsi="Arial" w:eastAsia="Arial" w:cs="Arial"/>
                <w:sz w:val="16"/>
                <w:szCs w:val="16"/>
                <w:shd w:fill="auto" w:val="clear"/>
              </w:rPr>
            </w:pPr>
            <w:r>
              <w:rPr>
                <w:rFonts w:eastAsia="Arial" w:cs="Arial"/>
                <w:b/>
                <w:bCs/>
                <w:sz w:val="16"/>
                <w:szCs w:val="16"/>
                <w:shd w:fill="auto" w:val="clear"/>
              </w:rPr>
              <w:t>Revisi:</w:t>
            </w:r>
            <w:r>
              <w:rPr>
                <w:rFonts w:eastAsia="Arial" w:cs="Arial"/>
                <w:sz w:val="16"/>
                <w:szCs w:val="16"/>
                <w:shd w:fill="auto" w:val="clear"/>
              </w:rPr>
              <w:t xml:space="preserve"> Ke-1 (Kurikulum OBE 2026)</w:t>
            </w:r>
          </w:p>
          <w:p>
            <w:pPr>
              <w:pStyle w:val="normal1"/>
              <w:shd w:val="clear" w:fill="auto"/>
              <w:spacing w:lineRule="auto" w:line="336" w:before="150" w:after="150"/>
              <w:rPr>
                <w:rFonts w:ascii="Arial" w:hAnsi="Arial" w:eastAsia="Arial" w:cs="Arial"/>
                <w:sz w:val="16"/>
                <w:szCs w:val="16"/>
                <w:shd w:fill="auto" w:val="clear"/>
              </w:rPr>
            </w:pPr>
            <w:r>
              <w:rPr>
                <w:rFonts w:eastAsia="Arial" w:cs="Arial"/>
                <w:b/>
                <w:bCs/>
                <w:sz w:val="16"/>
                <w:szCs w:val="16"/>
                <w:shd w:fill="auto" w:val="clear"/>
              </w:rPr>
              <w:t>Halaman:</w:t>
            </w:r>
            <w:r>
              <w:rPr>
                <w:rFonts w:eastAsia="Arial" w:cs="Arial"/>
                <w:sz w:val="16"/>
                <w:szCs w:val="16"/>
                <w:shd w:fill="auto" w:val="clear"/>
              </w:rPr>
              <w:t xml:space="preserve"> 1 dari 9</w:t>
            </w:r>
          </w:p>
        </w:tc>
      </w:tr>
    </w:tbl>
    <w:p>
      <w:pPr>
        <w:pStyle w:val="Heading1"/>
        <w:shd w:val="clear" w:fill="auto"/>
        <w:spacing w:lineRule="auto" w:line="240" w:before="300" w:after="75"/>
        <w:jc w:val="center"/>
        <w:rPr>
          <w:rFonts w:ascii="Arial" w:hAnsi="Arial" w:eastAsia="Arial" w:cs="Arial"/>
          <w:color w:val="1A365D"/>
          <w:sz w:val="26"/>
          <w:szCs w:val="26"/>
        </w:rPr>
      </w:pPr>
      <w:r>
        <w:rPr>
          <w:rFonts w:eastAsia="Arial" w:cs="Arial"/>
          <w:color w:val="1A365D"/>
          <w:sz w:val="26"/>
          <w:szCs w:val="26"/>
        </w:rPr>
        <w:t>RENCANA PEMBELAJARAN SEMESTER (RPS)</w:t>
      </w:r>
    </w:p>
    <w:p>
      <w:pPr>
        <w:pStyle w:val="Heading2"/>
        <w:shd w:val="clear" w:fill="auto"/>
        <w:spacing w:lineRule="auto" w:line="240" w:before="0" w:after="300"/>
        <w:jc w:val="center"/>
        <w:rPr>
          <w:rFonts w:ascii="Arial" w:hAnsi="Arial" w:eastAsia="Arial" w:cs="Arial"/>
          <w:color w:val="2D3748"/>
          <w:sz w:val="22"/>
          <w:szCs w:val="22"/>
        </w:rPr>
      </w:pPr>
      <w:r>
        <w:rPr>
          <w:rFonts w:eastAsia="Arial" w:cs="Arial"/>
          <w:color w:val="2D3748"/>
          <w:sz w:val="22"/>
          <w:szCs w:val="22"/>
        </w:rPr>
        <w:t>MATA KULIAH: FORENSIK SIBER / CYBER FORENSICS (KODE: IFPU706)</w:t>
      </w:r>
    </w:p>
    <w:p>
      <w:pPr>
        <w:pStyle w:val="Heading3"/>
        <w:shd w:val="clear" w:fill="auto"/>
        <w:spacing w:lineRule="auto" w:line="240" w:before="0" w:after="120"/>
        <w:rPr>
          <w:rFonts w:ascii="Arial" w:hAnsi="Arial" w:eastAsia="Arial" w:cs="Arial"/>
          <w:color w:val="1A365D"/>
          <w:sz w:val="18"/>
          <w:szCs w:val="18"/>
        </w:rPr>
      </w:pPr>
      <w:r>
        <w:rPr>
          <w:rFonts w:eastAsia="Arial" w:cs="Arial"/>
          <w:color w:val="1A365D"/>
          <w:sz w:val="18"/>
          <w:szCs w:val="18"/>
        </w:rPr>
        <w:t>LEMBAR PENGESAHAN DOKUMEN RPS</w:t>
      </w:r>
    </w:p>
    <w:tbl>
      <w:tblPr>
        <w:tblStyle w:val="Table2"/>
        <w:tblW w:w="9360" w:type="dxa"/>
        <w:jc w:val="start"/>
        <w:tblInd w:w="0" w:type="dxa"/>
        <w:tblLayout w:type="fixed"/>
        <w:tblCellMar>
          <w:top w:w="120" w:type="dxa"/>
          <w:start w:w="120" w:type="dxa"/>
          <w:bottom w:w="120" w:type="dxa"/>
          <w:end w:w="120" w:type="dxa"/>
        </w:tblCellMar>
        <w:tblLook w:val="0600"/>
      </w:tblPr>
      <w:tblGrid>
        <w:gridCol w:w="1404"/>
        <w:gridCol w:w="2808"/>
        <w:gridCol w:w="2340"/>
        <w:gridCol w:w="1404"/>
        <w:gridCol w:w="1404"/>
      </w:tblGrid>
      <w:tr>
        <w:trPr>
          <w:tblHeader w:val="true"/>
        </w:trPr>
        <w:tc>
          <w:tcPr>
            <w:tcW w:w="1404"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Proses</w:t>
            </w:r>
          </w:p>
        </w:tc>
        <w:tc>
          <w:tcPr>
            <w:tcW w:w="2808"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Nama Penanggung Jawab</w:t>
            </w:r>
          </w:p>
        </w:tc>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Jabatan</w:t>
            </w:r>
          </w:p>
        </w:tc>
        <w:tc>
          <w:tcPr>
            <w:tcW w:w="1404"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Tanda Tangan</w:t>
            </w:r>
          </w:p>
        </w:tc>
        <w:tc>
          <w:tcPr>
            <w:tcW w:w="1404"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Tanggal</w:t>
            </w:r>
          </w:p>
          <w:p>
            <w:pPr>
              <w:pStyle w:val="normal1"/>
              <w:keepNext w:val="false"/>
              <w:keepLines w:val="false"/>
              <w:widowControl w:val="false"/>
              <w:shd w:val="clear" w:fill="auto"/>
              <w:spacing w:lineRule="auto" w:line="240" w:before="0" w:after="0"/>
              <w:ind w:hanging="0" w:start="0" w:end="0"/>
              <w:jc w:val="start"/>
              <w:rPr>
                <w:rFonts w:ascii="Arial" w:hAnsi="Arial" w:eastAsia="Arial" w:cs="Arial"/>
                <w:sz w:val="16"/>
                <w:szCs w:val="16"/>
              </w:rPr>
            </w:pPr>
            <w:r>
              <w:rPr>
                <w:rFonts w:eastAsia="Arial" w:cs="Arial"/>
                <w:sz w:val="16"/>
                <w:szCs w:val="16"/>
              </w:rPr>
              <w:t xml:space="preserve"> </w:t>
            </w:r>
          </w:p>
        </w:tc>
      </w:tr>
      <w:tr>
        <w:trPr/>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Perumusan</w:t>
            </w:r>
          </w:p>
        </w:tc>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Tim Dosen Pengampu Forensik Siber</w:t>
            </w:r>
          </w:p>
        </w:tc>
        <w:tc>
          <w:tcPr>
            <w:tcW w:w="2340"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Koordinator Mata Kuliah</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i/>
                <w:iCs/>
                <w:sz w:val="16"/>
                <w:szCs w:val="16"/>
              </w:rPr>
            </w:pPr>
            <w:r>
              <w:rPr>
                <w:rFonts w:eastAsia="Arial" w:cs="Arial"/>
                <w:i/>
                <w:iCs/>
                <w:sz w:val="16"/>
                <w:szCs w:val="16"/>
              </w:rPr>
              <w:t>(Tervalidasi)</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sz w:val="16"/>
                <w:szCs w:val="16"/>
              </w:rPr>
            </w:pPr>
            <w:r>
              <w:rPr>
                <w:rFonts w:eastAsia="Arial" w:cs="Arial"/>
                <w:sz w:val="16"/>
                <w:szCs w:val="16"/>
              </w:rPr>
              <w:t>25 Juli 2026</w:t>
            </w:r>
          </w:p>
        </w:tc>
      </w:tr>
      <w:tr>
        <w:trPr/>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Pemeriksaan</w:t>
            </w:r>
          </w:p>
        </w:tc>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Ketua Kelompok Bidang Keahlian (KBK)</w:t>
            </w:r>
          </w:p>
        </w:tc>
        <w:tc>
          <w:tcPr>
            <w:tcW w:w="2340"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Ketua KBK Cyber Security &amp; Forensics</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i/>
                <w:iCs/>
                <w:sz w:val="16"/>
                <w:szCs w:val="16"/>
                <w:shd w:fill="auto" w:val="clear"/>
              </w:rPr>
            </w:pPr>
            <w:r>
              <w:rPr>
                <w:rFonts w:eastAsia="Arial" w:cs="Arial"/>
                <w:i/>
                <w:iCs/>
                <w:sz w:val="16"/>
                <w:szCs w:val="16"/>
                <w:shd w:fill="auto" w:val="clear"/>
              </w:rPr>
              <w:t>(Tervalidasi)</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sz w:val="16"/>
                <w:szCs w:val="16"/>
                <w:shd w:fill="auto" w:val="clear"/>
              </w:rPr>
            </w:pPr>
            <w:r>
              <w:rPr>
                <w:rFonts w:eastAsia="Arial" w:cs="Arial"/>
                <w:sz w:val="16"/>
                <w:szCs w:val="16"/>
                <w:shd w:fill="auto" w:val="clear"/>
              </w:rPr>
              <w:t>28 Juli 2026</w:t>
            </w:r>
          </w:p>
        </w:tc>
      </w:tr>
      <w:tr>
        <w:trPr/>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Persetujuan</w:t>
            </w:r>
          </w:p>
        </w:tc>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Ketua Program Studi Informatika</w:t>
            </w:r>
          </w:p>
        </w:tc>
        <w:tc>
          <w:tcPr>
            <w:tcW w:w="2340"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Ketua Program Studi Informatika</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i/>
                <w:iCs/>
                <w:sz w:val="16"/>
                <w:szCs w:val="16"/>
              </w:rPr>
            </w:pPr>
            <w:r>
              <w:rPr>
                <w:rFonts w:eastAsia="Arial" w:cs="Arial"/>
                <w:i/>
                <w:iCs/>
                <w:sz w:val="16"/>
                <w:szCs w:val="16"/>
              </w:rPr>
              <w:t>(Tervalidasi)</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sz w:val="16"/>
                <w:szCs w:val="16"/>
              </w:rPr>
            </w:pPr>
            <w:r>
              <w:rPr>
                <w:rFonts w:eastAsia="Arial" w:cs="Arial"/>
                <w:sz w:val="16"/>
                <w:szCs w:val="16"/>
              </w:rPr>
              <w:t>30 Juli 2026</w:t>
            </w:r>
          </w:p>
        </w:tc>
      </w:tr>
      <w:tr>
        <w:trPr/>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Penetapan</w:t>
            </w:r>
          </w:p>
        </w:tc>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Dekan Fakultas Teknologi dan Informatika</w:t>
            </w:r>
          </w:p>
        </w:tc>
        <w:tc>
          <w:tcPr>
            <w:tcW w:w="2340"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Dekan FTI UNIBI</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i/>
                <w:iCs/>
                <w:sz w:val="16"/>
                <w:szCs w:val="16"/>
                <w:shd w:fill="auto" w:val="clear"/>
              </w:rPr>
            </w:pPr>
            <w:r>
              <w:rPr>
                <w:rFonts w:eastAsia="Arial" w:cs="Arial"/>
                <w:i/>
                <w:iCs/>
                <w:sz w:val="16"/>
                <w:szCs w:val="16"/>
                <w:shd w:fill="auto" w:val="clear"/>
              </w:rPr>
              <w:t>(Tervalidasi)</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sz w:val="16"/>
                <w:szCs w:val="16"/>
                <w:shd w:fill="auto" w:val="clear"/>
              </w:rPr>
            </w:pPr>
            <w:r>
              <w:rPr>
                <w:rFonts w:eastAsia="Arial" w:cs="Arial"/>
                <w:sz w:val="16"/>
                <w:szCs w:val="16"/>
                <w:shd w:fill="auto" w:val="clear"/>
              </w:rPr>
              <w:t>02 Agustus 2026</w:t>
            </w:r>
          </w:p>
        </w:tc>
      </w:tr>
      <w:tr>
        <w:trPr/>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Pengendalian</w:t>
            </w:r>
          </w:p>
        </w:tc>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Gugus Kendali Mutu (GKM) FTI</w:t>
            </w:r>
          </w:p>
        </w:tc>
        <w:tc>
          <w:tcPr>
            <w:tcW w:w="2340"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Ketua GKM FTI</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i/>
                <w:iCs/>
                <w:sz w:val="16"/>
                <w:szCs w:val="16"/>
              </w:rPr>
            </w:pPr>
            <w:r>
              <w:rPr>
                <w:rFonts w:eastAsia="Arial" w:cs="Arial"/>
                <w:i/>
                <w:iCs/>
                <w:sz w:val="16"/>
                <w:szCs w:val="16"/>
              </w:rPr>
              <w:t>(Tervalidasi)</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sz w:val="16"/>
                <w:szCs w:val="16"/>
              </w:rPr>
            </w:pPr>
            <w:r>
              <w:rPr>
                <w:rFonts w:eastAsia="Arial" w:cs="Arial"/>
                <w:sz w:val="16"/>
                <w:szCs w:val="16"/>
              </w:rPr>
              <w:t>05 Agustus 2026</w:t>
            </w:r>
          </w:p>
        </w:tc>
      </w:tr>
    </w:tbl>
    <w:p>
      <w:pPr>
        <w:pStyle w:val="Heading3"/>
        <w:shd w:val="clear" w:fill="auto"/>
        <w:spacing w:lineRule="auto" w:line="240" w:before="375" w:after="120"/>
        <w:rPr>
          <w:rFonts w:ascii="Arial" w:hAnsi="Arial" w:eastAsia="Arial" w:cs="Arial"/>
          <w:color w:val="1A365D"/>
          <w:sz w:val="18"/>
          <w:szCs w:val="18"/>
        </w:rPr>
      </w:pPr>
      <w:r>
        <w:rPr>
          <w:rFonts w:eastAsia="Arial" w:cs="Arial"/>
          <w:color w:val="1A365D"/>
          <w:sz w:val="18"/>
          <w:szCs w:val="18"/>
        </w:rPr>
        <w:t>I. IDENTITAS MATA KULIAH</w:t>
      </w:r>
    </w:p>
    <w:tbl>
      <w:tblPr>
        <w:tblStyle w:val="Table3"/>
        <w:tblW w:w="9360" w:type="dxa"/>
        <w:jc w:val="start"/>
        <w:tblInd w:w="0" w:type="dxa"/>
        <w:tblLayout w:type="fixed"/>
        <w:tblCellMar>
          <w:top w:w="120" w:type="dxa"/>
          <w:start w:w="120" w:type="dxa"/>
          <w:bottom w:w="120" w:type="dxa"/>
          <w:end w:w="120" w:type="dxa"/>
        </w:tblCellMar>
        <w:tblLook w:val="0600"/>
      </w:tblPr>
      <w:tblGrid>
        <w:gridCol w:w="2340"/>
        <w:gridCol w:w="2340"/>
        <w:gridCol w:w="2340"/>
        <w:gridCol w:w="2340"/>
      </w:tblGrid>
      <w:tr>
        <w:trPr/>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Nama Mata Kuliah</w:t>
            </w:r>
          </w:p>
        </w:tc>
        <w:tc>
          <w:tcPr>
            <w:tcW w:w="2340"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Forensik Siber (Cyber Forensics)</w:t>
            </w:r>
          </w:p>
        </w:tc>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Kode Mata Kuliah</w:t>
            </w:r>
          </w:p>
        </w:tc>
        <w:tc>
          <w:tcPr>
            <w:tcW w:w="2340"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IFPU706</w:t>
            </w:r>
          </w:p>
        </w:tc>
      </w:tr>
      <w:tr>
        <w:trPr/>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Bobot SKS</w:t>
            </w:r>
          </w:p>
        </w:tc>
        <w:tc>
          <w:tcPr>
            <w:tcW w:w="2340"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3 SKS (Teori &amp; Praktik Laboratorium)</w:t>
            </w:r>
          </w:p>
        </w:tc>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Semester / Program Studi</w:t>
            </w:r>
          </w:p>
        </w:tc>
        <w:tc>
          <w:tcPr>
            <w:tcW w:w="2340"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Semester 7 / Informatika (S1)</w:t>
            </w:r>
          </w:p>
        </w:tc>
      </w:tr>
      <w:tr>
        <w:trPr/>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Status / Kategori MK</w:t>
            </w:r>
          </w:p>
        </w:tc>
        <w:tc>
          <w:tcPr>
            <w:tcW w:w="2340"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Mata Kuliah Lanjut Program Studi (Wajib)</w:t>
            </w:r>
          </w:p>
        </w:tc>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Mata Kuliah Prasyarat</w:t>
            </w:r>
          </w:p>
        </w:tc>
        <w:tc>
          <w:tcPr>
            <w:tcW w:w="2340"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Sistem Keamanan Komputer (IFPU504)</w:t>
            </w:r>
          </w:p>
        </w:tc>
      </w:tr>
      <w:tr>
        <w:trPr/>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Dosen Pengampu</w:t>
            </w:r>
          </w:p>
        </w:tc>
        <w:tc>
          <w:tcPr>
            <w:tcW w:w="7020" w:type="dxa"/>
            <w:gridSpan w:val="3"/>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Tim Dosen Pengampu Mata Kuliah Forensik Siber</w:t>
            </w:r>
          </w:p>
        </w:tc>
      </w:tr>
    </w:tbl>
    <w:p>
      <w:pPr>
        <w:pStyle w:val="Heading3"/>
        <w:shd w:val="clear" w:fill="auto"/>
        <w:spacing w:lineRule="auto" w:line="240" w:before="375" w:after="120"/>
        <w:rPr>
          <w:rFonts w:ascii="Arial" w:hAnsi="Arial" w:eastAsia="Arial" w:cs="Arial"/>
          <w:color w:val="1A365D"/>
          <w:sz w:val="18"/>
          <w:szCs w:val="18"/>
        </w:rPr>
      </w:pPr>
      <w:r>
        <w:rPr>
          <w:rFonts w:eastAsia="Arial" w:cs="Arial"/>
          <w:color w:val="1A365D"/>
          <w:sz w:val="18"/>
          <w:szCs w:val="18"/>
        </w:rPr>
        <w:t>II. CAPAIAN PEMBELAJARAN (LEARNING OUTCOMES)</w:t>
      </w:r>
    </w:p>
    <w:tbl>
      <w:tblPr>
        <w:tblStyle w:val="Table4"/>
        <w:tblW w:w="9360" w:type="dxa"/>
        <w:jc w:val="start"/>
        <w:tblInd w:w="0" w:type="dxa"/>
        <w:tblLayout w:type="fixed"/>
        <w:tblCellMar>
          <w:top w:w="120" w:type="dxa"/>
          <w:start w:w="120" w:type="dxa"/>
          <w:bottom w:w="120" w:type="dxa"/>
          <w:end w:w="120" w:type="dxa"/>
        </w:tblCellMar>
        <w:tblLook w:val="0600"/>
      </w:tblPr>
      <w:tblGrid>
        <w:gridCol w:w="2808"/>
        <w:gridCol w:w="6552"/>
      </w:tblGrid>
      <w:tr>
        <w:trPr>
          <w:tblHeader w:val="true"/>
        </w:trPr>
        <w:tc>
          <w:tcPr>
            <w:tcW w:w="2808"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Kode &amp; Aspek</w:t>
            </w:r>
          </w:p>
        </w:tc>
        <w:tc>
          <w:tcPr>
            <w:tcW w:w="6552"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Deskripsi Capaian Pembelajaran</w:t>
            </w:r>
          </w:p>
          <w:p>
            <w:pPr>
              <w:pStyle w:val="normal1"/>
              <w:keepNext w:val="false"/>
              <w:keepLines w:val="false"/>
              <w:widowControl w:val="false"/>
              <w:shd w:val="clear" w:fill="auto"/>
              <w:spacing w:lineRule="auto" w:line="240" w:before="0" w:after="0"/>
              <w:ind w:hanging="0" w:start="0" w:end="0"/>
              <w:jc w:val="start"/>
              <w:rPr>
                <w:rFonts w:ascii="Arial" w:hAnsi="Arial" w:eastAsia="Arial" w:cs="Arial"/>
                <w:sz w:val="16"/>
                <w:szCs w:val="16"/>
              </w:rPr>
            </w:pPr>
            <w:r>
              <w:rPr>
                <w:rFonts w:eastAsia="Arial" w:cs="Arial"/>
                <w:sz w:val="16"/>
                <w:szCs w:val="16"/>
              </w:rPr>
              <w:t xml:space="preserve"> </w:t>
            </w:r>
          </w:p>
        </w:tc>
      </w:tr>
      <w:tr>
        <w:trPr/>
        <w:tc>
          <w:tcPr>
            <w:tcW w:w="9360" w:type="dxa"/>
            <w:gridSpan w:val="2"/>
            <w:tcBorders>
              <w:top w:val="single" w:sz="6" w:space="0" w:color="CBD5E0"/>
              <w:start w:val="single" w:sz="6" w:space="0" w:color="CBD5E0"/>
              <w:bottom w:val="single" w:sz="6" w:space="0" w:color="CBD5E0"/>
              <w:end w:val="single" w:sz="6" w:space="0" w:color="CBD5E0"/>
            </w:tcBorders>
            <w:shd w:fill="E2E8F0"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Capaian Pembelajaran Lulusan (CPL) Program Studi yang Dibebankan pada Mata Kuliah</w:t>
            </w:r>
          </w:p>
        </w:tc>
      </w:tr>
      <w:tr>
        <w:trPr/>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b/>
                <w:bCs/>
                <w:position w:val="0"/>
                <w:sz w:val="16"/>
                <w:szCs w:val="16"/>
                <w:vertAlign w:val="baseline"/>
              </w:rPr>
            </w:pPr>
            <w:r>
              <w:rPr>
                <w:rFonts w:eastAsia="Arial" w:cs="Arial"/>
                <w:b/>
                <w:bCs/>
                <w:position w:val="0"/>
                <w:sz w:val="16"/>
                <w:szCs w:val="16"/>
                <w:vertAlign w:val="baseline"/>
              </w:rPr>
              <w:t>CPL06</w:t>
            </w:r>
          </w:p>
        </w:tc>
        <w:tc>
          <w:tcPr>
            <w:tcW w:w="6552"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Mampu menganalisis dan mengevaluasi kebutuhan komputasi, menentukan metode atau algoritma yang sesuai, serta mengembangkan solusi komputasi yang dapat diuji dan diperbaiki berdasarkan kinerja, kualitas, keamanan, dan konteks penggunaannya.</w:t>
            </w:r>
          </w:p>
        </w:tc>
      </w:tr>
      <w:tr>
        <w:trPr/>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b/>
                <w:bCs/>
                <w:position w:val="0"/>
                <w:sz w:val="16"/>
                <w:szCs w:val="16"/>
                <w:shd w:fill="auto" w:val="clear"/>
                <w:vertAlign w:val="baseline"/>
              </w:rPr>
            </w:pPr>
            <w:r>
              <w:rPr>
                <w:rFonts w:eastAsia="Arial" w:cs="Arial"/>
                <w:b/>
                <w:bCs/>
                <w:position w:val="0"/>
                <w:sz w:val="16"/>
                <w:szCs w:val="16"/>
                <w:shd w:fill="auto" w:val="clear"/>
                <w:vertAlign w:val="baseline"/>
              </w:rPr>
              <w:t>CPL09</w:t>
            </w:r>
          </w:p>
        </w:tc>
        <w:tc>
          <w:tcPr>
            <w:tcW w:w="6552"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Mampu membudayakan sikap profesional, etis, bertanggung jawab, adaptif, dan kolaboratif dalam tim multidisiplin untuk menciptakan solusi digital yang berdampak, berkelanjutan, dan berdaya saing global, serta mengembangkan kompetensi secara berkelanjutan melalui pembelajaran sepanjang hayat.</w:t>
            </w:r>
          </w:p>
        </w:tc>
      </w:tr>
      <w:tr>
        <w:trPr/>
        <w:tc>
          <w:tcPr>
            <w:tcW w:w="9360" w:type="dxa"/>
            <w:gridSpan w:val="2"/>
            <w:tcBorders>
              <w:top w:val="single" w:sz="6" w:space="0" w:color="CBD5E0"/>
              <w:start w:val="single" w:sz="6" w:space="0" w:color="CBD5E0"/>
              <w:bottom w:val="single" w:sz="6" w:space="0" w:color="CBD5E0"/>
              <w:end w:val="single" w:sz="6" w:space="0" w:color="CBD5E0"/>
            </w:tcBorders>
            <w:shd w:fill="E2E8F0"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Capaian Pembelajaran Mata Kuliah (CPMK)</w:t>
            </w:r>
          </w:p>
        </w:tc>
      </w:tr>
      <w:tr>
        <w:trPr/>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b/>
                <w:bCs/>
                <w:position w:val="0"/>
                <w:sz w:val="16"/>
                <w:szCs w:val="16"/>
                <w:vertAlign w:val="baseline"/>
              </w:rPr>
            </w:pPr>
            <w:r>
              <w:rPr>
                <w:rFonts w:eastAsia="Arial" w:cs="Arial"/>
                <w:b/>
                <w:bCs/>
                <w:position w:val="0"/>
                <w:sz w:val="16"/>
                <w:szCs w:val="16"/>
                <w:vertAlign w:val="baseline"/>
              </w:rPr>
              <w:t>CPMK061 (C4, C5)</w:t>
            </w:r>
          </w:p>
        </w:tc>
        <w:tc>
          <w:tcPr>
            <w:tcW w:w="6552"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Mampu mengevaluasi kebutuhan komputasi, batasan, risiko awal, kriteria keberhasilan, dan konteks pemangku kepentingan sebagai dasar pengembangan solusi investigasi forensik digital.</w:t>
            </w:r>
          </w:p>
        </w:tc>
      </w:tr>
      <w:tr>
        <w:trPr/>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b/>
                <w:bCs/>
                <w:position w:val="0"/>
                <w:sz w:val="16"/>
                <w:szCs w:val="16"/>
                <w:shd w:fill="auto" w:val="clear"/>
                <w:vertAlign w:val="baseline"/>
              </w:rPr>
            </w:pPr>
            <w:r>
              <w:rPr>
                <w:rFonts w:eastAsia="Arial" w:cs="Arial"/>
                <w:b/>
                <w:bCs/>
                <w:position w:val="0"/>
                <w:sz w:val="16"/>
                <w:szCs w:val="16"/>
                <w:shd w:fill="auto" w:val="clear"/>
                <w:vertAlign w:val="baseline"/>
              </w:rPr>
              <w:t>CPMK065 (C5)</w:t>
            </w:r>
          </w:p>
        </w:tc>
        <w:tc>
          <w:tcPr>
            <w:tcW w:w="6552"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Mampu mengevaluasi kualitas, keamanan, risiko, keandalan, dan kesesuaian solusi komputasi melalui pengujian, penjaminan kualitas, analisis bukti, dan kriteria evaluasi yang relevan dalam investigasi digital.</w:t>
            </w:r>
          </w:p>
        </w:tc>
      </w:tr>
      <w:tr>
        <w:trPr/>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b/>
                <w:bCs/>
                <w:position w:val="0"/>
                <w:sz w:val="16"/>
                <w:szCs w:val="16"/>
                <w:vertAlign w:val="baseline"/>
              </w:rPr>
            </w:pPr>
            <w:r>
              <w:rPr>
                <w:rFonts w:eastAsia="Arial" w:cs="Arial"/>
                <w:b/>
                <w:bCs/>
                <w:position w:val="0"/>
                <w:sz w:val="16"/>
                <w:szCs w:val="16"/>
                <w:vertAlign w:val="baseline"/>
              </w:rPr>
              <w:t>CPMK066 (C6)</w:t>
            </w:r>
          </w:p>
        </w:tc>
        <w:tc>
          <w:tcPr>
            <w:tcW w:w="6552"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Mampu merancang perbaikan dan optimalisasi solusi komputasi serta rekomendasi mitigasi keamanan berdasarkan hasil evaluasi kinerja, kualitas, keamanan, keterbatasan teknis, serta bukti artefak digital.</w:t>
            </w:r>
          </w:p>
        </w:tc>
      </w:tr>
      <w:tr>
        <w:trPr/>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b/>
                <w:bCs/>
                <w:position w:val="0"/>
                <w:sz w:val="16"/>
                <w:szCs w:val="16"/>
                <w:shd w:fill="auto" w:val="clear"/>
                <w:vertAlign w:val="baseline"/>
              </w:rPr>
            </w:pPr>
            <w:r>
              <w:rPr>
                <w:rFonts w:eastAsia="Arial" w:cs="Arial"/>
                <w:b/>
                <w:bCs/>
                <w:position w:val="0"/>
                <w:sz w:val="16"/>
                <w:szCs w:val="16"/>
                <w:shd w:fill="auto" w:val="clear"/>
                <w:vertAlign w:val="baseline"/>
              </w:rPr>
              <w:t>CPMK091 (A5, C4)</w:t>
            </w:r>
          </w:p>
        </w:tc>
        <w:tc>
          <w:tcPr>
            <w:tcW w:w="6552"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Mampu menginternalisasi dan membudayakan prinsip etika profesi, integritas, kepatuhan hukum, keamanan, tanggung jawab, dan akuntabilitas (</w:t>
            </w:r>
            <w:r>
              <w:rPr>
                <w:rFonts w:eastAsia="Arial" w:cs="Arial"/>
                <w:i/>
                <w:iCs/>
                <w:sz w:val="16"/>
                <w:szCs w:val="16"/>
                <w:shd w:fill="auto" w:val="clear"/>
              </w:rPr>
              <w:t>chain of custody</w:t>
            </w:r>
            <w:r>
              <w:rPr>
                <w:rFonts w:eastAsia="Arial" w:cs="Arial"/>
                <w:sz w:val="16"/>
                <w:szCs w:val="16"/>
                <w:shd w:fill="auto" w:val="clear"/>
              </w:rPr>
              <w:t>) dalam pengambilan keputusan investigasi profesional.</w:t>
            </w:r>
          </w:p>
        </w:tc>
      </w:tr>
      <w:tr>
        <w:trPr/>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b/>
                <w:bCs/>
                <w:position w:val="0"/>
                <w:sz w:val="16"/>
                <w:szCs w:val="16"/>
                <w:vertAlign w:val="baseline"/>
              </w:rPr>
            </w:pPr>
            <w:r>
              <w:rPr>
                <w:rFonts w:eastAsia="Arial" w:cs="Arial"/>
                <w:b/>
                <w:bCs/>
                <w:position w:val="0"/>
                <w:sz w:val="16"/>
                <w:szCs w:val="16"/>
                <w:vertAlign w:val="baseline"/>
              </w:rPr>
              <w:t>CPMK092 (C6, A4)</w:t>
            </w:r>
          </w:p>
        </w:tc>
        <w:tc>
          <w:tcPr>
            <w:tcW w:w="6552"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Mampu menciptakan respons profesional terhadap isu sosial, insiden keamanan, dan perkembangan teknologi dengan mempertimbangkan dampak, risiko, hak pemangku kepentingan, privasi data, serta kepentingan publik.</w:t>
            </w:r>
          </w:p>
        </w:tc>
      </w:tr>
      <w:tr>
        <w:trPr/>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b/>
                <w:bCs/>
                <w:position w:val="0"/>
                <w:sz w:val="16"/>
                <w:szCs w:val="16"/>
                <w:shd w:fill="auto" w:val="clear"/>
                <w:vertAlign w:val="baseline"/>
              </w:rPr>
            </w:pPr>
            <w:r>
              <w:rPr>
                <w:rFonts w:eastAsia="Arial" w:cs="Arial"/>
                <w:b/>
                <w:bCs/>
                <w:position w:val="0"/>
                <w:sz w:val="16"/>
                <w:szCs w:val="16"/>
                <w:shd w:fill="auto" w:val="clear"/>
                <w:vertAlign w:val="baseline"/>
              </w:rPr>
              <w:t>CPMK093 (A5, P4)</w:t>
            </w:r>
          </w:p>
        </w:tc>
        <w:tc>
          <w:tcPr>
            <w:tcW w:w="6552"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Mampu membudayakan kolaborasi yang inklusif dan mengorganisasi kontribusi anggota dalam tim multidisiplin untuk menyelesaikan proyek investigasi kasus kejahatan siber secara bertanggung jawab.</w:t>
            </w:r>
          </w:p>
        </w:tc>
      </w:tr>
    </w:tbl>
    <w:p>
      <w:pPr>
        <w:pStyle w:val="Heading3"/>
        <w:shd w:val="clear" w:fill="auto"/>
        <w:spacing w:lineRule="auto" w:line="240" w:before="375" w:after="120"/>
        <w:rPr>
          <w:rFonts w:ascii="Arial" w:hAnsi="Arial" w:eastAsia="Arial" w:cs="Arial"/>
          <w:color w:val="1A365D"/>
          <w:sz w:val="18"/>
          <w:szCs w:val="18"/>
        </w:rPr>
      </w:pPr>
      <w:r>
        <w:rPr>
          <w:rFonts w:eastAsia="Arial" w:cs="Arial"/>
          <w:color w:val="1A365D"/>
          <w:sz w:val="18"/>
          <w:szCs w:val="18"/>
        </w:rPr>
        <w:t>III. DESKRIPSI SINGKAT MATA KULIAH</w:t>
      </w:r>
    </w:p>
    <w:p>
      <w:pPr>
        <w:pStyle w:val="normal1"/>
        <w:shd w:val="clear" w:fill="auto"/>
        <w:spacing w:lineRule="auto" w:line="300" w:before="0" w:after="240"/>
        <w:jc w:val="both"/>
        <w:rPr>
          <w:rFonts w:ascii="Arial" w:hAnsi="Arial" w:eastAsia="Arial" w:cs="Arial"/>
          <w:sz w:val="16"/>
          <w:szCs w:val="16"/>
        </w:rPr>
      </w:pPr>
      <w:r>
        <w:rPr>
          <w:rFonts w:eastAsia="Arial" w:cs="Arial"/>
          <w:sz w:val="16"/>
          <w:szCs w:val="16"/>
        </w:rPr>
        <w:t xml:space="preserve">Mata kuliah </w:t>
      </w:r>
      <w:r>
        <w:rPr>
          <w:rFonts w:eastAsia="Arial" w:cs="Arial"/>
          <w:b/>
          <w:bCs/>
          <w:sz w:val="16"/>
          <w:szCs w:val="16"/>
        </w:rPr>
        <w:t>Forensik Siber (Cyber Forensics / IFPU706)</w:t>
      </w:r>
      <w:r>
        <w:rPr>
          <w:rFonts w:eastAsia="Arial" w:cs="Arial"/>
          <w:sz w:val="16"/>
          <w:szCs w:val="16"/>
        </w:rPr>
        <w:t xml:space="preserve"> merupakan mata kuliah lanjut program studi berbobot </w:t>
      </w:r>
      <w:r>
        <w:rPr>
          <w:rFonts w:eastAsia="Arial" w:cs="Arial"/>
          <w:b/>
          <w:bCs/>
          <w:sz w:val="16"/>
          <w:szCs w:val="16"/>
        </w:rPr>
        <w:t>3 SKS</w:t>
      </w:r>
      <w:r>
        <w:rPr>
          <w:rFonts w:eastAsia="Arial" w:cs="Arial"/>
          <w:sz w:val="16"/>
          <w:szCs w:val="16"/>
        </w:rPr>
        <w:t xml:space="preserve"> pada semester 7 yang membekali mahasiswa dengan kompetensi komprehensif, ilmiah, dan praktis dalam melakukan proses investigasi insiden siber dan kejahatan digital sesuai standar hukum dan industri. Pembelajaran mencakup metodologi forensik digital standar internasional (NIST SP 800-86, ISO/IEC 27037), pemeliharaan integritas barang bukti (</w:t>
      </w:r>
      <w:r>
        <w:rPr>
          <w:rFonts w:eastAsia="Arial" w:cs="Arial"/>
          <w:i/>
          <w:iCs/>
          <w:sz w:val="16"/>
          <w:szCs w:val="16"/>
        </w:rPr>
        <w:t>chain of custody</w:t>
      </w:r>
      <w:r>
        <w:rPr>
          <w:rFonts w:eastAsia="Arial" w:cs="Arial"/>
          <w:sz w:val="16"/>
          <w:szCs w:val="16"/>
        </w:rPr>
        <w:t xml:space="preserve"> dan algoritma cryptographic hashing), teknik akuisisi data digital baik secara statis (</w:t>
      </w:r>
      <w:r>
        <w:rPr>
          <w:rFonts w:eastAsia="Arial" w:cs="Arial"/>
          <w:i/>
          <w:iCs/>
          <w:sz w:val="16"/>
          <w:szCs w:val="16"/>
        </w:rPr>
        <w:t>dead acquisition / forensic imaging</w:t>
      </w:r>
      <w:r>
        <w:rPr>
          <w:rFonts w:eastAsia="Arial" w:cs="Arial"/>
          <w:sz w:val="16"/>
          <w:szCs w:val="16"/>
        </w:rPr>
        <w:t>) maupun dinamis (</w:t>
      </w:r>
      <w:r>
        <w:rPr>
          <w:rFonts w:eastAsia="Arial" w:cs="Arial"/>
          <w:i/>
          <w:iCs/>
          <w:sz w:val="16"/>
          <w:szCs w:val="16"/>
        </w:rPr>
        <w:t>live acquisition / memory forensics</w:t>
      </w:r>
      <w:r>
        <w:rPr>
          <w:rFonts w:eastAsia="Arial" w:cs="Arial"/>
          <w:sz w:val="16"/>
          <w:szCs w:val="16"/>
        </w:rPr>
        <w:t>), ekskavasi artefak sistem operasi (Windows, Linux) dan file system (NTFS, EXT4, FAT), analisis berkas log dan jaringan (</w:t>
      </w:r>
      <w:r>
        <w:rPr>
          <w:rFonts w:eastAsia="Arial" w:cs="Arial"/>
          <w:i/>
          <w:iCs/>
          <w:sz w:val="16"/>
          <w:szCs w:val="16"/>
        </w:rPr>
        <w:t>network forensics</w:t>
      </w:r>
      <w:r>
        <w:rPr>
          <w:rFonts w:eastAsia="Arial" w:cs="Arial"/>
          <w:sz w:val="16"/>
          <w:szCs w:val="16"/>
        </w:rPr>
        <w:t>), rekonstruksi linimasa peristiwa (</w:t>
      </w:r>
      <w:r>
        <w:rPr>
          <w:rFonts w:eastAsia="Arial" w:cs="Arial"/>
          <w:i/>
          <w:iCs/>
          <w:sz w:val="16"/>
          <w:szCs w:val="16"/>
        </w:rPr>
        <w:t>timeline analysis</w:t>
      </w:r>
      <w:r>
        <w:rPr>
          <w:rFonts w:eastAsia="Arial" w:cs="Arial"/>
          <w:sz w:val="16"/>
          <w:szCs w:val="16"/>
        </w:rPr>
        <w:t xml:space="preserve">), hingga deteksi upaya </w:t>
      </w:r>
      <w:r>
        <w:rPr>
          <w:rFonts w:eastAsia="Arial" w:cs="Arial"/>
          <w:i/>
          <w:iCs/>
          <w:sz w:val="16"/>
          <w:szCs w:val="16"/>
        </w:rPr>
        <w:t>anti-forensics</w:t>
      </w:r>
      <w:r>
        <w:rPr>
          <w:rFonts w:eastAsia="Arial" w:cs="Arial"/>
          <w:sz w:val="16"/>
          <w:szCs w:val="16"/>
        </w:rPr>
        <w:t>. Mahasiswa juga dilatih untuk menyusun laporan ahli forensik digital (</w:t>
      </w:r>
      <w:r>
        <w:rPr>
          <w:rFonts w:eastAsia="Arial" w:cs="Arial"/>
          <w:i/>
          <w:iCs/>
          <w:sz w:val="16"/>
          <w:szCs w:val="16"/>
        </w:rPr>
        <w:t>expert forensic report</w:t>
      </w:r>
      <w:r>
        <w:rPr>
          <w:rFonts w:eastAsia="Arial" w:cs="Arial"/>
          <w:sz w:val="16"/>
          <w:szCs w:val="16"/>
        </w:rPr>
        <w:t>) yang akuntabel, mempresentasikan temuan dalam simulasi gelar perkara (</w:t>
      </w:r>
      <w:r>
        <w:rPr>
          <w:rFonts w:eastAsia="Arial" w:cs="Arial"/>
          <w:i/>
          <w:iCs/>
          <w:sz w:val="16"/>
          <w:szCs w:val="16"/>
        </w:rPr>
        <w:t>mock court / expert witness</w:t>
      </w:r>
      <w:r>
        <w:rPr>
          <w:rFonts w:eastAsia="Arial" w:cs="Arial"/>
          <w:sz w:val="16"/>
          <w:szCs w:val="16"/>
        </w:rPr>
        <w:t xml:space="preserve">), serta mengintegrasikan investigasi forensik dengan respons insiden siber organisasi secara etis, profesional, dan kolaboratif melalui model pembelajaran </w:t>
      </w:r>
      <w:r>
        <w:rPr>
          <w:rFonts w:eastAsia="Arial" w:cs="Arial"/>
          <w:i/>
          <w:iCs/>
          <w:sz w:val="16"/>
          <w:szCs w:val="16"/>
        </w:rPr>
        <w:t>Case-Based Learning</w:t>
      </w:r>
      <w:r>
        <w:rPr>
          <w:rFonts w:eastAsia="Arial" w:cs="Arial"/>
          <w:sz w:val="16"/>
          <w:szCs w:val="16"/>
        </w:rPr>
        <w:t xml:space="preserve"> dan </w:t>
      </w:r>
      <w:r>
        <w:rPr>
          <w:rFonts w:eastAsia="Arial" w:cs="Arial"/>
          <w:i/>
          <w:iCs/>
          <w:sz w:val="16"/>
          <w:szCs w:val="16"/>
        </w:rPr>
        <w:t>Project-Based Learning</w:t>
      </w:r>
      <w:r>
        <w:rPr>
          <w:rFonts w:eastAsia="Arial" w:cs="Arial"/>
          <w:sz w:val="16"/>
          <w:szCs w:val="16"/>
        </w:rPr>
        <w:t>.</w:t>
      </w:r>
    </w:p>
    <w:p>
      <w:pPr>
        <w:pStyle w:val="Heading3"/>
        <w:shd w:val="clear" w:fill="auto"/>
        <w:spacing w:lineRule="auto" w:line="240" w:before="0" w:after="120"/>
        <w:rPr>
          <w:rFonts w:ascii="Arial" w:hAnsi="Arial" w:eastAsia="Arial" w:cs="Arial"/>
          <w:color w:val="1A365D"/>
          <w:sz w:val="18"/>
          <w:szCs w:val="18"/>
        </w:rPr>
      </w:pPr>
      <w:r>
        <w:rPr>
          <w:rFonts w:eastAsia="Arial" w:cs="Arial"/>
          <w:color w:val="1A365D"/>
          <w:sz w:val="18"/>
          <w:szCs w:val="18"/>
        </w:rPr>
        <w:t>IV. BAHAN KAJIAN (BODY OF KNOWLEDGE)</w:t>
      </w:r>
    </w:p>
    <w:p>
      <w:pPr>
        <w:pStyle w:val="normal1"/>
        <w:numPr>
          <w:ilvl w:val="0"/>
          <w:numId w:val="1"/>
        </w:numPr>
        <w:shd w:val="clear" w:fill="auto"/>
        <w:spacing w:lineRule="auto" w:line="300"/>
        <w:ind w:hanging="360" w:start="600"/>
        <w:rPr/>
      </w:pPr>
      <w:r>
        <w:rPr>
          <w:rFonts w:eastAsia="Arial" w:cs="Arial"/>
          <w:b/>
          <w:bCs/>
          <w:sz w:val="16"/>
          <w:szCs w:val="16"/>
        </w:rPr>
        <w:t>BK03: Society, Ethics and Professionalism</w:t>
      </w:r>
      <w:r>
        <w:rPr>
          <w:rFonts w:eastAsia="Arial" w:cs="Arial"/>
          <w:sz w:val="16"/>
          <w:szCs w:val="16"/>
        </w:rPr>
        <w:t xml:space="preserve"> (BK Program Studi Informatika) — Meliputi pemahaman aspek hukum kejahatan siber (UU ITE &amp; regulasi global), etika profesi investigator/analis forensik, standar legalitas bukti di peradilan, perlindungan privasi data pemangku kepentingan, dan pemeliharaan rantai penjagaan bukti (</w:t>
      </w:r>
      <w:r>
        <w:rPr>
          <w:rFonts w:eastAsia="Arial" w:cs="Arial"/>
          <w:i/>
          <w:iCs/>
          <w:sz w:val="16"/>
          <w:szCs w:val="16"/>
        </w:rPr>
        <w:t>chain of custody</w:t>
      </w:r>
      <w:r>
        <w:rPr>
          <w:rFonts w:eastAsia="Arial" w:cs="Arial"/>
          <w:sz w:val="16"/>
          <w:szCs w:val="16"/>
        </w:rPr>
        <w:t>).</w:t>
      </w:r>
    </w:p>
    <w:p>
      <w:pPr>
        <w:pStyle w:val="normal1"/>
        <w:numPr>
          <w:ilvl w:val="0"/>
          <w:numId w:val="1"/>
        </w:numPr>
        <w:shd w:val="clear" w:fill="auto"/>
        <w:spacing w:lineRule="auto" w:line="300"/>
        <w:ind w:hanging="360" w:start="600"/>
        <w:rPr/>
      </w:pPr>
      <w:r>
        <w:rPr>
          <w:rFonts w:eastAsia="Arial" w:cs="Arial"/>
          <w:b/>
          <w:bCs/>
          <w:sz w:val="16"/>
          <w:szCs w:val="16"/>
        </w:rPr>
        <w:t>BK04: Security</w:t>
      </w:r>
      <w:r>
        <w:rPr>
          <w:rFonts w:eastAsia="Arial" w:cs="Arial"/>
          <w:sz w:val="16"/>
          <w:szCs w:val="16"/>
        </w:rPr>
        <w:t xml:space="preserve"> (BK Program Studi Informatika) — Meliputi metodologi forensik digital, akuisisi citra forensik bit-stream, verifikasi integritas dengan hashing, analisis memori volatil, ekskavasi artefak registri &amp; file system, forensik jaringan, analisis malware sederhana, deteksi anti-forensik, dan integrasi dengan </w:t>
      </w:r>
      <w:r>
        <w:rPr>
          <w:rFonts w:eastAsia="Arial" w:cs="Arial"/>
          <w:i/>
          <w:iCs/>
          <w:sz w:val="16"/>
          <w:szCs w:val="16"/>
        </w:rPr>
        <w:t>Computer Security Incident Response Team (CSIRT)</w:t>
      </w:r>
      <w:r>
        <w:rPr>
          <w:rFonts w:eastAsia="Arial" w:cs="Arial"/>
          <w:sz w:val="16"/>
          <w:szCs w:val="16"/>
        </w:rPr>
        <w:t>.</w:t>
      </w:r>
    </w:p>
    <w:p>
      <w:pPr>
        <w:pStyle w:val="Heading3"/>
        <w:shd w:val="clear" w:fill="auto"/>
        <w:spacing w:lineRule="auto" w:line="240" w:before="375" w:after="120"/>
        <w:rPr>
          <w:rFonts w:ascii="Arial" w:hAnsi="Arial" w:eastAsia="Arial" w:cs="Arial"/>
          <w:color w:val="1A365D"/>
          <w:sz w:val="18"/>
          <w:szCs w:val="18"/>
        </w:rPr>
      </w:pPr>
      <w:r>
        <w:rPr>
          <w:rFonts w:eastAsia="Arial" w:cs="Arial"/>
          <w:color w:val="1A365D"/>
          <w:sz w:val="18"/>
          <w:szCs w:val="18"/>
        </w:rPr>
        <w:t>V. RENCANA KEGIATAN PEMBELAJARAN MINGGUAN</w:t>
      </w:r>
    </w:p>
    <w:tbl>
      <w:tblPr>
        <w:tblStyle w:val="Table5"/>
        <w:tblW w:w="9360" w:type="dxa"/>
        <w:jc w:val="start"/>
        <w:tblInd w:w="0" w:type="dxa"/>
        <w:tblLayout w:type="fixed"/>
        <w:tblCellMar>
          <w:top w:w="90" w:type="dxa"/>
          <w:start w:w="90" w:type="dxa"/>
          <w:bottom w:w="90" w:type="dxa"/>
          <w:end w:w="90" w:type="dxa"/>
        </w:tblCellMar>
        <w:tblLook w:val="0600"/>
      </w:tblPr>
      <w:tblGrid>
        <w:gridCol w:w="468"/>
        <w:gridCol w:w="2059"/>
        <w:gridCol w:w="2059"/>
        <w:gridCol w:w="1498"/>
        <w:gridCol w:w="936"/>
        <w:gridCol w:w="1404"/>
        <w:gridCol w:w="936"/>
      </w:tblGrid>
      <w:tr>
        <w:trPr>
          <w:tblHeader w:val="true"/>
        </w:trPr>
        <w:tc>
          <w:tcPr>
            <w:tcW w:w="468"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90" w:after="90"/>
              <w:jc w:val="center"/>
              <w:rPr>
                <w:rFonts w:ascii="Arial" w:hAnsi="Arial" w:eastAsia="Arial" w:cs="Arial"/>
                <w:color w:val="1A365D"/>
                <w:sz w:val="14"/>
                <w:szCs w:val="14"/>
                <w:shd w:fill="auto" w:val="clear"/>
              </w:rPr>
            </w:pPr>
            <w:r>
              <w:rPr>
                <w:rFonts w:eastAsia="Arial" w:cs="Arial"/>
                <w:color w:val="1A365D"/>
                <w:sz w:val="14"/>
                <w:szCs w:val="14"/>
                <w:shd w:fill="auto" w:val="clear"/>
              </w:rPr>
              <w:t>Mg Ke-</w:t>
            </w:r>
          </w:p>
        </w:tc>
        <w:tc>
          <w:tcPr>
            <w:tcW w:w="2059"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90" w:after="90"/>
              <w:rPr>
                <w:rFonts w:ascii="Arial" w:hAnsi="Arial" w:eastAsia="Arial" w:cs="Arial"/>
                <w:color w:val="1A365D"/>
                <w:sz w:val="14"/>
                <w:szCs w:val="14"/>
                <w:shd w:fill="auto" w:val="clear"/>
              </w:rPr>
            </w:pPr>
            <w:r>
              <w:rPr>
                <w:rFonts w:eastAsia="Arial" w:cs="Arial"/>
                <w:color w:val="1A365D"/>
                <w:sz w:val="14"/>
                <w:szCs w:val="14"/>
                <w:shd w:fill="auto" w:val="clear"/>
              </w:rPr>
              <w:t>Sub-CPMK &amp; Indikator</w:t>
            </w:r>
          </w:p>
        </w:tc>
        <w:tc>
          <w:tcPr>
            <w:tcW w:w="2059"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90" w:after="90"/>
              <w:rPr>
                <w:rFonts w:ascii="Arial" w:hAnsi="Arial" w:eastAsia="Arial" w:cs="Arial"/>
                <w:color w:val="1A365D"/>
                <w:sz w:val="14"/>
                <w:szCs w:val="14"/>
                <w:shd w:fill="auto" w:val="clear"/>
              </w:rPr>
            </w:pPr>
            <w:r>
              <w:rPr>
                <w:rFonts w:eastAsia="Arial" w:cs="Arial"/>
                <w:color w:val="1A365D"/>
                <w:sz w:val="14"/>
                <w:szCs w:val="14"/>
                <w:shd w:fill="auto" w:val="clear"/>
              </w:rPr>
              <w:t>Bahan Kajian / Topik Materi</w:t>
            </w:r>
          </w:p>
        </w:tc>
        <w:tc>
          <w:tcPr>
            <w:tcW w:w="1498"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90" w:after="90"/>
              <w:rPr>
                <w:rFonts w:ascii="Arial" w:hAnsi="Arial" w:eastAsia="Arial" w:cs="Arial"/>
                <w:color w:val="1A365D"/>
                <w:sz w:val="14"/>
                <w:szCs w:val="14"/>
                <w:shd w:fill="auto" w:val="clear"/>
              </w:rPr>
            </w:pPr>
            <w:r>
              <w:rPr>
                <w:rFonts w:eastAsia="Arial" w:cs="Arial"/>
                <w:color w:val="1A365D"/>
                <w:sz w:val="14"/>
                <w:szCs w:val="14"/>
                <w:shd w:fill="auto" w:val="clear"/>
              </w:rPr>
              <w:t>Bentuk &amp; Metode Pembelajaran</w:t>
            </w:r>
          </w:p>
        </w:tc>
        <w:tc>
          <w:tcPr>
            <w:tcW w:w="936"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90" w:after="90"/>
              <w:jc w:val="center"/>
              <w:rPr>
                <w:rFonts w:ascii="Arial" w:hAnsi="Arial" w:eastAsia="Arial" w:cs="Arial"/>
                <w:color w:val="1A365D"/>
                <w:sz w:val="14"/>
                <w:szCs w:val="14"/>
                <w:shd w:fill="auto" w:val="clear"/>
              </w:rPr>
            </w:pPr>
            <w:r>
              <w:rPr>
                <w:rFonts w:eastAsia="Arial" w:cs="Arial"/>
                <w:color w:val="1A365D"/>
                <w:sz w:val="14"/>
                <w:szCs w:val="14"/>
                <w:shd w:fill="auto" w:val="clear"/>
              </w:rPr>
              <w:t>Alokasi Waktu</w:t>
            </w:r>
          </w:p>
        </w:tc>
        <w:tc>
          <w:tcPr>
            <w:tcW w:w="1404"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90" w:after="90"/>
              <w:rPr>
                <w:rFonts w:ascii="Arial" w:hAnsi="Arial" w:eastAsia="Arial" w:cs="Arial"/>
                <w:color w:val="1A365D"/>
                <w:sz w:val="14"/>
                <w:szCs w:val="14"/>
                <w:shd w:fill="auto" w:val="clear"/>
              </w:rPr>
            </w:pPr>
            <w:r>
              <w:rPr>
                <w:rFonts w:eastAsia="Arial" w:cs="Arial"/>
                <w:color w:val="1A365D"/>
                <w:sz w:val="14"/>
                <w:szCs w:val="14"/>
                <w:shd w:fill="auto" w:val="clear"/>
              </w:rPr>
              <w:t>Pengalaman Belajar Mahasiswa</w:t>
            </w:r>
          </w:p>
        </w:tc>
        <w:tc>
          <w:tcPr>
            <w:tcW w:w="936"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90" w:after="90"/>
              <w:rPr>
                <w:rFonts w:ascii="Arial" w:hAnsi="Arial" w:eastAsia="Arial" w:cs="Arial"/>
                <w:color w:val="1A365D"/>
                <w:sz w:val="14"/>
                <w:szCs w:val="14"/>
                <w:shd w:fill="auto" w:val="clear"/>
              </w:rPr>
            </w:pPr>
            <w:r>
              <w:rPr>
                <w:rFonts w:eastAsia="Arial" w:cs="Arial"/>
                <w:color w:val="1A365D"/>
                <w:sz w:val="14"/>
                <w:szCs w:val="14"/>
                <w:shd w:fill="auto" w:val="clear"/>
              </w:rPr>
              <w:t>Pustaka / Ref</w:t>
            </w:r>
          </w:p>
          <w:p>
            <w:pPr>
              <w:pStyle w:val="normal1"/>
              <w:keepNext w:val="false"/>
              <w:keepLines w:val="false"/>
              <w:widowControl w:val="false"/>
              <w:shd w:val="clear" w:fill="auto"/>
              <w:spacing w:lineRule="auto" w:line="240" w:before="0" w:after="0"/>
              <w:ind w:hanging="0" w:start="0" w:end="0"/>
              <w:jc w:val="start"/>
              <w:rPr>
                <w:rFonts w:ascii="Arial" w:hAnsi="Arial" w:eastAsia="Arial" w:cs="Arial"/>
                <w:sz w:val="14"/>
                <w:szCs w:val="14"/>
              </w:rPr>
            </w:pPr>
            <w:r>
              <w:rPr>
                <w:rFonts w:eastAsia="Arial" w:cs="Arial"/>
                <w:sz w:val="14"/>
                <w:szCs w:val="14"/>
              </w:rPr>
              <w:t xml:space="preserve"> </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jc w:val="center"/>
              <w:rPr>
                <w:rFonts w:ascii="Arial" w:hAnsi="Arial" w:eastAsia="Arial" w:cs="Arial"/>
                <w:b/>
                <w:bCs/>
                <w:sz w:val="14"/>
                <w:szCs w:val="14"/>
              </w:rPr>
            </w:pPr>
            <w:r>
              <w:rPr>
                <w:rFonts w:eastAsia="Arial" w:cs="Arial"/>
                <w:b/>
                <w:bCs/>
                <w:sz w:val="14"/>
                <w:szCs w:val="14"/>
              </w:rPr>
              <w:t>1</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SCPMK0611</w:t>
            </w:r>
            <w:r>
              <w:rPr>
                <w:rFonts w:eastAsia="Arial" w:cs="Arial"/>
                <w:sz w:val="14"/>
                <w:szCs w:val="14"/>
              </w:rPr>
              <w:t xml:space="preserve"> (CPL06, CPMK061): Mampu menjelaskan konsep dasar, prinsip ilmiah, tahapan investigasi, dan ruang lingkup cyber forensics.</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Konsep Dasar Digital &amp; Cyber Forensics:</w:t>
            </w:r>
            <w:r>
              <w:rPr>
                <w:rFonts w:eastAsia="Arial" w:cs="Arial"/>
                <w:sz w:val="14"/>
                <w:szCs w:val="14"/>
              </w:rPr>
              <w:t xml:space="preserve"> Definisi, taksonomi cabang forensik (Disk, Memory, Network, Mobile, Cloud), model investigasi NIST SP 800-86 &amp; ISO/IEC 27037.</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Kuliah Interaktif, Diskusi Kasus Insiden Siber Awal</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TM: 3x50'</w:t>
            </w:r>
          </w:p>
          <w:p>
            <w:pPr>
              <w:pStyle w:val="normal1"/>
              <w:shd w:val="clear" w:fill="auto"/>
              <w:spacing w:lineRule="auto" w:line="300"/>
              <w:jc w:val="center"/>
              <w:rPr>
                <w:rFonts w:ascii="Arial" w:hAnsi="Arial" w:eastAsia="Arial" w:cs="Arial"/>
                <w:sz w:val="14"/>
                <w:szCs w:val="14"/>
              </w:rPr>
            </w:pPr>
            <w:r>
              <w:rPr>
                <w:rFonts w:eastAsia="Arial" w:cs="Arial"/>
                <w:sz w:val="14"/>
                <w:szCs w:val="14"/>
              </w:rPr>
              <w:t>TT: 3x60'</w:t>
            </w:r>
          </w:p>
          <w:p>
            <w:pPr>
              <w:pStyle w:val="normal1"/>
              <w:shd w:val="clear" w:fill="auto"/>
              <w:spacing w:lineRule="auto" w:line="300" w:before="90" w:after="90"/>
              <w:jc w:val="center"/>
              <w:rPr>
                <w:rFonts w:ascii="Arial" w:hAnsi="Arial" w:eastAsia="Arial" w:cs="Arial"/>
                <w:sz w:val="14"/>
                <w:szCs w:val="14"/>
              </w:rPr>
            </w:pPr>
            <w:r>
              <w:rPr>
                <w:rFonts w:eastAsia="Arial" w:cs="Arial"/>
                <w:sz w:val="14"/>
                <w:szCs w:val="14"/>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Mengkaji terminologi forensik digital, membedakan proses audit vs forensik, dan menganalisis siklus investigasi.</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[1], [2], [5]</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jc w:val="center"/>
              <w:rPr>
                <w:rFonts w:ascii="Arial" w:hAnsi="Arial" w:eastAsia="Arial" w:cs="Arial"/>
                <w:b/>
                <w:bCs/>
                <w:sz w:val="14"/>
                <w:szCs w:val="14"/>
                <w:shd w:fill="auto" w:val="clear"/>
              </w:rPr>
            </w:pPr>
            <w:r>
              <w:rPr>
                <w:rFonts w:eastAsia="Arial" w:cs="Arial"/>
                <w:b/>
                <w:bCs/>
                <w:sz w:val="14"/>
                <w:szCs w:val="14"/>
                <w:shd w:fill="auto" w:val="clear"/>
              </w:rPr>
              <w:t>2</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SCPMK0611</w:t>
            </w:r>
            <w:r>
              <w:rPr>
                <w:rFonts w:eastAsia="Arial" w:cs="Arial"/>
                <w:sz w:val="14"/>
                <w:szCs w:val="14"/>
                <w:shd w:fill="auto" w:val="clear"/>
              </w:rPr>
              <w:t xml:space="preserve"> (CPL06, CPMK061): Mampu menerapkan prinsip legal, kepatuhan etika, dan dokumentasi chain of custody secara akuntabel.</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Prinsip Legal, Etika Profesi, &amp; Chain of Custody:</w:t>
            </w:r>
            <w:r>
              <w:rPr>
                <w:rFonts w:eastAsia="Arial" w:cs="Arial"/>
                <w:sz w:val="14"/>
                <w:szCs w:val="14"/>
                <w:shd w:fill="auto" w:val="clear"/>
              </w:rPr>
              <w:t xml:space="preserve"> Kerangka hukum (UU ITE &amp; KUHAP), standar bukti peradilan (Locard's Principle, Daubert Standard), prosedur form Chain of Custody.</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Kuliah Interaktif, Workshop Penyusunan Dokumen Chain of Custody</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TM: 3x50'</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TT: 3x60'</w:t>
            </w:r>
          </w:p>
          <w:p>
            <w:pPr>
              <w:pStyle w:val="normal1"/>
              <w:shd w:val="clear" w:fill="auto"/>
              <w:spacing w:lineRule="auto" w:line="300" w:before="90" w:after="90"/>
              <w:jc w:val="center"/>
              <w:rPr>
                <w:rFonts w:ascii="Arial" w:hAnsi="Arial" w:eastAsia="Arial" w:cs="Arial"/>
                <w:sz w:val="14"/>
                <w:szCs w:val="14"/>
                <w:shd w:fill="auto" w:val="clear"/>
              </w:rPr>
            </w:pPr>
            <w:r>
              <w:rPr>
                <w:rFonts w:eastAsia="Arial" w:cs="Arial"/>
                <w:sz w:val="14"/>
                <w:szCs w:val="14"/>
                <w:shd w:fill="auto" w:val="clear"/>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Merancang formulir serah terima dan pelabelan barang bukti fisik/digital sesuai prosedur forensik legal.</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[1], [4], [7]</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jc w:val="center"/>
              <w:rPr>
                <w:rFonts w:ascii="Arial" w:hAnsi="Arial" w:eastAsia="Arial" w:cs="Arial"/>
                <w:b/>
                <w:bCs/>
                <w:sz w:val="14"/>
                <w:szCs w:val="14"/>
              </w:rPr>
            </w:pPr>
            <w:r>
              <w:rPr>
                <w:rFonts w:eastAsia="Arial" w:cs="Arial"/>
                <w:b/>
                <w:bCs/>
                <w:sz w:val="14"/>
                <w:szCs w:val="14"/>
              </w:rPr>
              <w:t>3</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SCPMK0651</w:t>
            </w:r>
            <w:r>
              <w:rPr>
                <w:rFonts w:eastAsia="Arial" w:cs="Arial"/>
                <w:sz w:val="14"/>
                <w:szCs w:val="14"/>
              </w:rPr>
              <w:t xml:space="preserve"> (CPL06, CPMK065): Mampu menerapkan prosedur akuisisi dan preservasi barang bukti digital pada skenario statis dan dinamis.</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Akuisisi &amp; Preservasi Barang Bukti Digital:</w:t>
            </w:r>
            <w:r>
              <w:rPr>
                <w:rFonts w:eastAsia="Arial" w:cs="Arial"/>
                <w:sz w:val="14"/>
                <w:szCs w:val="14"/>
              </w:rPr>
              <w:t xml:space="preserve"> Live acquisition vs Static (Dead) acquisition, order of volatility (RFC 3227), penggunaan hardware write-blocker.</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Praktikum Laboratorium, Demonstrasi Prosedur First Responder</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TM: 3x50'</w:t>
            </w:r>
          </w:p>
          <w:p>
            <w:pPr>
              <w:pStyle w:val="normal1"/>
              <w:shd w:val="clear" w:fill="auto"/>
              <w:spacing w:lineRule="auto" w:line="300"/>
              <w:jc w:val="center"/>
              <w:rPr>
                <w:rFonts w:ascii="Arial" w:hAnsi="Arial" w:eastAsia="Arial" w:cs="Arial"/>
                <w:sz w:val="14"/>
                <w:szCs w:val="14"/>
              </w:rPr>
            </w:pPr>
            <w:r>
              <w:rPr>
                <w:rFonts w:eastAsia="Arial" w:cs="Arial"/>
                <w:sz w:val="14"/>
                <w:szCs w:val="14"/>
              </w:rPr>
              <w:t>TT: 3x60'</w:t>
            </w:r>
          </w:p>
          <w:p>
            <w:pPr>
              <w:pStyle w:val="normal1"/>
              <w:shd w:val="clear" w:fill="auto"/>
              <w:spacing w:lineRule="auto" w:line="300" w:before="90" w:after="90"/>
              <w:jc w:val="center"/>
              <w:rPr>
                <w:rFonts w:ascii="Arial" w:hAnsi="Arial" w:eastAsia="Arial" w:cs="Arial"/>
                <w:sz w:val="14"/>
                <w:szCs w:val="14"/>
              </w:rPr>
            </w:pPr>
            <w:r>
              <w:rPr>
                <w:rFonts w:eastAsia="Arial" w:cs="Arial"/>
                <w:sz w:val="14"/>
                <w:szCs w:val="14"/>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Melakukan simulasi penanganan awal TKP digital (triage) dan preservasi media penyimpanan tanpa kontaminasi.</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[2], [3]</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jc w:val="center"/>
              <w:rPr>
                <w:rFonts w:ascii="Arial" w:hAnsi="Arial" w:eastAsia="Arial" w:cs="Arial"/>
                <w:b/>
                <w:bCs/>
                <w:sz w:val="14"/>
                <w:szCs w:val="14"/>
                <w:shd w:fill="auto" w:val="clear"/>
              </w:rPr>
            </w:pPr>
            <w:r>
              <w:rPr>
                <w:rFonts w:eastAsia="Arial" w:cs="Arial"/>
                <w:b/>
                <w:bCs/>
                <w:sz w:val="14"/>
                <w:szCs w:val="14"/>
                <w:shd w:fill="auto" w:val="clear"/>
              </w:rPr>
              <w:t>4</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SCPMK0651</w:t>
            </w:r>
            <w:r>
              <w:rPr>
                <w:rFonts w:eastAsia="Arial" w:cs="Arial"/>
                <w:sz w:val="14"/>
                <w:szCs w:val="14"/>
                <w:shd w:fill="auto" w:val="clear"/>
              </w:rPr>
              <w:t xml:space="preserve"> (CPL06, CPMK065): Mampu menganalisis dan memverifikasi integritas citra bit-stream dengan cryptographic hashing.</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Penerapan Imaging &amp; Hashing Bukti Digital:</w:t>
            </w:r>
            <w:r>
              <w:rPr>
                <w:rFonts w:eastAsia="Arial" w:cs="Arial"/>
                <w:sz w:val="14"/>
                <w:szCs w:val="14"/>
                <w:shd w:fill="auto" w:val="clear"/>
              </w:rPr>
              <w:t xml:space="preserve"> Format citra forensik (RAW/DD, E01, AFF), komputasi hashing (MD5, SHA-1, SHA-256), verifikasi integritas bit-by-bit.</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Praktikum Pembuatan Forensic Image (FTK Imager, dc3dd, dd)</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TM: 3x50'</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TT: 3x60'</w:t>
            </w:r>
          </w:p>
          <w:p>
            <w:pPr>
              <w:pStyle w:val="normal1"/>
              <w:shd w:val="clear" w:fill="auto"/>
              <w:spacing w:lineRule="auto" w:line="300" w:before="90" w:after="90"/>
              <w:jc w:val="center"/>
              <w:rPr>
                <w:rFonts w:ascii="Arial" w:hAnsi="Arial" w:eastAsia="Arial" w:cs="Arial"/>
                <w:sz w:val="14"/>
                <w:szCs w:val="14"/>
                <w:shd w:fill="auto" w:val="clear"/>
              </w:rPr>
            </w:pPr>
            <w:r>
              <w:rPr>
                <w:rFonts w:eastAsia="Arial" w:cs="Arial"/>
                <w:sz w:val="14"/>
                <w:szCs w:val="14"/>
                <w:shd w:fill="auto" w:val="clear"/>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Membuat forensic image bit-stream dari media penyimpanan USB/Disk dan memvalidasi kecocokan nilai hash.</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[2], [5]</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jc w:val="center"/>
              <w:rPr>
                <w:rFonts w:ascii="Arial" w:hAnsi="Arial" w:eastAsia="Arial" w:cs="Arial"/>
                <w:b/>
                <w:bCs/>
                <w:sz w:val="14"/>
                <w:szCs w:val="14"/>
              </w:rPr>
            </w:pPr>
            <w:r>
              <w:rPr>
                <w:rFonts w:eastAsia="Arial" w:cs="Arial"/>
                <w:b/>
                <w:bCs/>
                <w:sz w:val="14"/>
                <w:szCs w:val="14"/>
              </w:rPr>
              <w:t>5</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SCPMK0652</w:t>
            </w:r>
            <w:r>
              <w:rPr>
                <w:rFonts w:eastAsia="Arial" w:cs="Arial"/>
                <w:sz w:val="14"/>
                <w:szCs w:val="14"/>
              </w:rPr>
              <w:t xml:space="preserve"> (CPL06, CPMK065): Mampu menganalisis struktur file system dan memulihkan artefak berkas terhapus.</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Penerapan Analisis File System &amp; Artefak Berkas:</w:t>
            </w:r>
            <w:r>
              <w:rPr>
                <w:rFonts w:eastAsia="Arial" w:cs="Arial"/>
                <w:sz w:val="14"/>
                <w:szCs w:val="14"/>
              </w:rPr>
              <w:t xml:space="preserve"> Struktur FAT32, NTFS ($MFT, $LogFile), EXT4 (Inode), file carving, unallocated space, metadata berkas.</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Praktikum Ekskavasi File System &amp; Data Carving (Scalpel, Foremost)</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TM: 3x50'</w:t>
            </w:r>
          </w:p>
          <w:p>
            <w:pPr>
              <w:pStyle w:val="normal1"/>
              <w:shd w:val="clear" w:fill="auto"/>
              <w:spacing w:lineRule="auto" w:line="300"/>
              <w:jc w:val="center"/>
              <w:rPr>
                <w:rFonts w:ascii="Arial" w:hAnsi="Arial" w:eastAsia="Arial" w:cs="Arial"/>
                <w:sz w:val="14"/>
                <w:szCs w:val="14"/>
              </w:rPr>
            </w:pPr>
            <w:r>
              <w:rPr>
                <w:rFonts w:eastAsia="Arial" w:cs="Arial"/>
                <w:sz w:val="14"/>
                <w:szCs w:val="14"/>
              </w:rPr>
              <w:t>TT: 3x60'</w:t>
            </w:r>
          </w:p>
          <w:p>
            <w:pPr>
              <w:pStyle w:val="normal1"/>
              <w:shd w:val="clear" w:fill="auto"/>
              <w:spacing w:lineRule="auto" w:line="300" w:before="90" w:after="90"/>
              <w:jc w:val="center"/>
              <w:rPr>
                <w:rFonts w:ascii="Arial" w:hAnsi="Arial" w:eastAsia="Arial" w:cs="Arial"/>
                <w:sz w:val="14"/>
                <w:szCs w:val="14"/>
              </w:rPr>
            </w:pPr>
            <w:r>
              <w:rPr>
                <w:rFonts w:eastAsia="Arial" w:cs="Arial"/>
                <w:sz w:val="14"/>
                <w:szCs w:val="14"/>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Menganalisis Master File Table ($MFT) dan melakukan file carving pada partisi yang terformat untuk merecovery data.</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[1], [2]</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jc w:val="center"/>
              <w:rPr>
                <w:rFonts w:ascii="Arial" w:hAnsi="Arial" w:eastAsia="Arial" w:cs="Arial"/>
                <w:b/>
                <w:bCs/>
                <w:sz w:val="14"/>
                <w:szCs w:val="14"/>
                <w:shd w:fill="auto" w:val="clear"/>
              </w:rPr>
            </w:pPr>
            <w:r>
              <w:rPr>
                <w:rFonts w:eastAsia="Arial" w:cs="Arial"/>
                <w:b/>
                <w:bCs/>
                <w:sz w:val="14"/>
                <w:szCs w:val="14"/>
                <w:shd w:fill="auto" w:val="clear"/>
              </w:rPr>
              <w:t>6</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SCPMK0652</w:t>
            </w:r>
            <w:r>
              <w:rPr>
                <w:rFonts w:eastAsia="Arial" w:cs="Arial"/>
                <w:sz w:val="14"/>
                <w:szCs w:val="14"/>
                <w:shd w:fill="auto" w:val="clear"/>
              </w:rPr>
              <w:t xml:space="preserve"> (CPL06, CPMK065): Mampu menggunakan dan mengevaluasi perangkat lunak investigasi forensik digital open-source dan industri.</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Penggunaan Tools Forensik Digital:</w:t>
            </w:r>
            <w:r>
              <w:rPr>
                <w:rFonts w:eastAsia="Arial" w:cs="Arial"/>
                <w:sz w:val="14"/>
                <w:szCs w:val="14"/>
                <w:shd w:fill="auto" w:val="clear"/>
              </w:rPr>
              <w:t xml:space="preserve"> Autopsy Digital Forensics, The Sleuth Kit (TSK), FTK, OSForensics, validasi tool reliability.</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Praktikum Eksplorasi Kasus dengan Autopsy &amp; The Sleuth Kit</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TM: 3x50'</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TT: 3x60'</w:t>
            </w:r>
          </w:p>
          <w:p>
            <w:pPr>
              <w:pStyle w:val="normal1"/>
              <w:shd w:val="clear" w:fill="auto"/>
              <w:spacing w:lineRule="auto" w:line="300" w:before="90" w:after="90"/>
              <w:jc w:val="center"/>
              <w:rPr>
                <w:rFonts w:ascii="Arial" w:hAnsi="Arial" w:eastAsia="Arial" w:cs="Arial"/>
                <w:sz w:val="14"/>
                <w:szCs w:val="14"/>
                <w:shd w:fill="auto" w:val="clear"/>
              </w:rPr>
            </w:pPr>
            <w:r>
              <w:rPr>
                <w:rFonts w:eastAsia="Arial" w:cs="Arial"/>
                <w:sz w:val="14"/>
                <w:szCs w:val="14"/>
                <w:shd w:fill="auto" w:val="clear"/>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Mengkonfigurasi case investigation pada Autopsy, mengekstraksi web history, USB attached devices, dan email artifacts.</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[1], [5]</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jc w:val="center"/>
              <w:rPr>
                <w:rFonts w:ascii="Arial" w:hAnsi="Arial" w:eastAsia="Arial" w:cs="Arial"/>
                <w:b/>
                <w:bCs/>
                <w:sz w:val="14"/>
                <w:szCs w:val="14"/>
              </w:rPr>
            </w:pPr>
            <w:r>
              <w:rPr>
                <w:rFonts w:eastAsia="Arial" w:cs="Arial"/>
                <w:b/>
                <w:bCs/>
                <w:sz w:val="14"/>
                <w:szCs w:val="14"/>
              </w:rPr>
              <w:t>7</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SCPMK0661</w:t>
            </w:r>
            <w:r>
              <w:rPr>
                <w:rFonts w:eastAsia="Arial" w:cs="Arial"/>
                <w:sz w:val="14"/>
                <w:szCs w:val="14"/>
              </w:rPr>
              <w:t xml:space="preserve"> (CPL06, CPMK066): Mampu menganalisis artefak memori volatil (RAM) dan artefak sistem operasi.</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Analisis Memori Volatil (RAM) &amp; Artefak OS:</w:t>
            </w:r>
            <w:r>
              <w:rPr>
                <w:rFonts w:eastAsia="Arial" w:cs="Arial"/>
                <w:sz w:val="14"/>
                <w:szCs w:val="14"/>
              </w:rPr>
              <w:t xml:space="preserve"> Dumpit/WinPmem, Volatility Framework (analisis proses injeksi, koneksi jaringan aktif, DLL, password hashes, Windows Registry, Prefetch, Shimcache, LNK files).</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Praktikum Memory Forensics dengan Volatility &amp; Registry Explorer</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TM: 3x50'</w:t>
            </w:r>
          </w:p>
          <w:p>
            <w:pPr>
              <w:pStyle w:val="normal1"/>
              <w:shd w:val="clear" w:fill="auto"/>
              <w:spacing w:lineRule="auto" w:line="300"/>
              <w:jc w:val="center"/>
              <w:rPr>
                <w:rFonts w:ascii="Arial" w:hAnsi="Arial" w:eastAsia="Arial" w:cs="Arial"/>
                <w:sz w:val="14"/>
                <w:szCs w:val="14"/>
              </w:rPr>
            </w:pPr>
            <w:r>
              <w:rPr>
                <w:rFonts w:eastAsia="Arial" w:cs="Arial"/>
                <w:sz w:val="14"/>
                <w:szCs w:val="14"/>
              </w:rPr>
              <w:t>TT: 3x60'</w:t>
            </w:r>
          </w:p>
          <w:p>
            <w:pPr>
              <w:pStyle w:val="normal1"/>
              <w:shd w:val="clear" w:fill="auto"/>
              <w:spacing w:lineRule="auto" w:line="300" w:before="90" w:after="90"/>
              <w:jc w:val="center"/>
              <w:rPr>
                <w:rFonts w:ascii="Arial" w:hAnsi="Arial" w:eastAsia="Arial" w:cs="Arial"/>
                <w:sz w:val="14"/>
                <w:szCs w:val="14"/>
              </w:rPr>
            </w:pPr>
            <w:r>
              <w:rPr>
                <w:rFonts w:eastAsia="Arial" w:cs="Arial"/>
                <w:sz w:val="14"/>
                <w:szCs w:val="14"/>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Menganalisis dump RAM komputer terinfeksi malware untuk mengidentifikasi proses tersembunyi dan bukti eksekusi program.</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[3], [6]</w:t>
            </w:r>
          </w:p>
        </w:tc>
      </w:tr>
      <w:tr>
        <w:trPr/>
        <w:tc>
          <w:tcPr>
            <w:tcW w:w="468"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normal1"/>
              <w:shd w:val="clear" w:fill="auto"/>
              <w:spacing w:lineRule="auto" w:line="300" w:before="120" w:after="120"/>
              <w:jc w:val="center"/>
              <w:rPr>
                <w:rFonts w:ascii="Arial" w:hAnsi="Arial" w:eastAsia="Arial" w:cs="Arial"/>
                <w:b/>
                <w:bCs/>
                <w:color w:val="7B341E"/>
                <w:sz w:val="14"/>
                <w:szCs w:val="14"/>
                <w:shd w:fill="auto" w:val="clear"/>
              </w:rPr>
            </w:pPr>
            <w:r>
              <w:rPr>
                <w:rFonts w:eastAsia="Arial" w:cs="Arial"/>
                <w:b/>
                <w:bCs/>
                <w:color w:val="7B341E"/>
                <w:sz w:val="14"/>
                <w:szCs w:val="14"/>
                <w:shd w:fill="auto" w:val="clear"/>
              </w:rPr>
              <w:t>8</w:t>
            </w:r>
          </w:p>
        </w:tc>
        <w:tc>
          <w:tcPr>
            <w:tcW w:w="7956" w:type="dxa"/>
            <w:gridSpan w:val="5"/>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normal1"/>
              <w:shd w:val="clear" w:fill="auto"/>
              <w:spacing w:lineRule="auto" w:line="300"/>
              <w:rPr>
                <w:rFonts w:ascii="Arial" w:hAnsi="Arial" w:eastAsia="Arial" w:cs="Arial"/>
                <w:b/>
                <w:bCs/>
                <w:color w:val="7B341E"/>
                <w:sz w:val="14"/>
                <w:szCs w:val="14"/>
                <w:shd w:fill="auto" w:val="clear"/>
              </w:rPr>
            </w:pPr>
            <w:r>
              <w:rPr>
                <w:rFonts w:eastAsia="Arial" w:cs="Arial"/>
                <w:b/>
                <w:bCs/>
                <w:color w:val="7B341E"/>
                <w:sz w:val="14"/>
                <w:szCs w:val="14"/>
                <w:shd w:fill="auto" w:val="clear"/>
              </w:rPr>
              <w:t>UJIAN TENGAH SEMESTER (UTS)</w:t>
            </w:r>
          </w:p>
          <w:p>
            <w:pPr>
              <w:pStyle w:val="normal1"/>
              <w:shd w:val="clear" w:fill="auto"/>
              <w:spacing w:lineRule="auto" w:line="300" w:before="120" w:after="120"/>
              <w:rPr>
                <w:rFonts w:ascii="Arial" w:hAnsi="Arial" w:eastAsia="Arial" w:cs="Arial"/>
                <w:b/>
                <w:bCs/>
                <w:color w:val="7B341E"/>
                <w:sz w:val="14"/>
                <w:szCs w:val="14"/>
                <w:shd w:fill="auto" w:val="clear"/>
              </w:rPr>
            </w:pPr>
            <w:r>
              <w:rPr>
                <w:rFonts w:eastAsia="Arial" w:cs="Arial"/>
                <w:b/>
                <w:bCs/>
                <w:color w:val="7B341E"/>
                <w:sz w:val="14"/>
                <w:szCs w:val="14"/>
                <w:shd w:fill="auto" w:val="clear"/>
              </w:rPr>
              <w:t>Evaluasi komprehensif teori, analisis studi kasus first response, akuisisi citra forensik, verifikasi hash, dan ekskavasi artefak file system (Bobot: 9%).</w:t>
            </w:r>
          </w:p>
        </w:tc>
        <w:tc>
          <w:tcPr>
            <w:tcW w:w="936"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normal1"/>
              <w:shd w:val="clear" w:fill="auto"/>
              <w:spacing w:lineRule="auto" w:line="300" w:before="120" w:after="120"/>
              <w:jc w:val="center"/>
              <w:rPr>
                <w:rFonts w:ascii="Arial" w:hAnsi="Arial" w:eastAsia="Arial" w:cs="Arial"/>
                <w:b/>
                <w:bCs/>
                <w:color w:val="7B341E"/>
                <w:sz w:val="14"/>
                <w:szCs w:val="14"/>
                <w:shd w:fill="auto" w:val="clear"/>
              </w:rPr>
            </w:pPr>
            <w:r>
              <w:rPr>
                <w:rFonts w:eastAsia="Arial" w:cs="Arial"/>
                <w:b/>
                <w:bCs/>
                <w:color w:val="7B341E"/>
                <w:sz w:val="14"/>
                <w:szCs w:val="14"/>
                <w:shd w:fill="auto" w:val="clear"/>
              </w:rPr>
              <w:t>Materi Mg 1–7</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jc w:val="center"/>
              <w:rPr>
                <w:rFonts w:ascii="Arial" w:hAnsi="Arial" w:eastAsia="Arial" w:cs="Arial"/>
                <w:b/>
                <w:bCs/>
                <w:sz w:val="14"/>
                <w:szCs w:val="14"/>
              </w:rPr>
            </w:pPr>
            <w:r>
              <w:rPr>
                <w:rFonts w:eastAsia="Arial" w:cs="Arial"/>
                <w:b/>
                <w:bCs/>
                <w:sz w:val="14"/>
                <w:szCs w:val="14"/>
              </w:rPr>
              <w:t>9</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SCPMK0661</w:t>
            </w:r>
            <w:r>
              <w:rPr>
                <w:rFonts w:eastAsia="Arial" w:cs="Arial"/>
                <w:sz w:val="14"/>
                <w:szCs w:val="14"/>
              </w:rPr>
              <w:t xml:space="preserve"> (CPL06, CPMK066): Mampu menyusun dan menganalisis rekonsiliasi linimasa peristiwa digital (Super Timeline).</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Analisis Timeline &amp; Jejak Aktivitas Digital:</w:t>
            </w:r>
            <w:r>
              <w:rPr>
                <w:rFonts w:eastAsia="Arial" w:cs="Arial"/>
                <w:sz w:val="14"/>
                <w:szCs w:val="14"/>
              </w:rPr>
              <w:t xml:space="preserve"> Pembuatan super timeline (Plaso/log2timeline, Timesketch), temporal correlation, identifikasi titik awal kompromi (Patient Zero).</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Case-Based Learning, Praktikum Rekonstruksi Kronologi Peristiwa</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TM: 3x50'</w:t>
            </w:r>
          </w:p>
          <w:p>
            <w:pPr>
              <w:pStyle w:val="normal1"/>
              <w:shd w:val="clear" w:fill="auto"/>
              <w:spacing w:lineRule="auto" w:line="300"/>
              <w:jc w:val="center"/>
              <w:rPr>
                <w:rFonts w:ascii="Arial" w:hAnsi="Arial" w:eastAsia="Arial" w:cs="Arial"/>
                <w:sz w:val="14"/>
                <w:szCs w:val="14"/>
              </w:rPr>
            </w:pPr>
            <w:r>
              <w:rPr>
                <w:rFonts w:eastAsia="Arial" w:cs="Arial"/>
                <w:sz w:val="14"/>
                <w:szCs w:val="14"/>
              </w:rPr>
              <w:t>TT: 3x60'</w:t>
            </w:r>
          </w:p>
          <w:p>
            <w:pPr>
              <w:pStyle w:val="normal1"/>
              <w:shd w:val="clear" w:fill="auto"/>
              <w:spacing w:lineRule="auto" w:line="300" w:before="90" w:after="90"/>
              <w:jc w:val="center"/>
              <w:rPr>
                <w:rFonts w:ascii="Arial" w:hAnsi="Arial" w:eastAsia="Arial" w:cs="Arial"/>
                <w:sz w:val="14"/>
                <w:szCs w:val="14"/>
              </w:rPr>
            </w:pPr>
            <w:r>
              <w:rPr>
                <w:rFonts w:eastAsia="Arial" w:cs="Arial"/>
                <w:sz w:val="14"/>
                <w:szCs w:val="14"/>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Menghubungkan timestamp berkas (MACB), event logs, dan aktivitas user untuk merekonstruksi urutan insiden peretasan.</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[2], [3]</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jc w:val="center"/>
              <w:rPr>
                <w:rFonts w:ascii="Arial" w:hAnsi="Arial" w:eastAsia="Arial" w:cs="Arial"/>
                <w:b/>
                <w:bCs/>
                <w:sz w:val="14"/>
                <w:szCs w:val="14"/>
                <w:shd w:fill="auto" w:val="clear"/>
              </w:rPr>
            </w:pPr>
            <w:r>
              <w:rPr>
                <w:rFonts w:eastAsia="Arial" w:cs="Arial"/>
                <w:b/>
                <w:bCs/>
                <w:sz w:val="14"/>
                <w:szCs w:val="14"/>
                <w:shd w:fill="auto" w:val="clear"/>
              </w:rPr>
              <w:t>10</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SCPMK0662</w:t>
            </w:r>
            <w:r>
              <w:rPr>
                <w:rFonts w:eastAsia="Arial" w:cs="Arial"/>
                <w:sz w:val="14"/>
                <w:szCs w:val="14"/>
                <w:shd w:fill="auto" w:val="clear"/>
              </w:rPr>
              <w:t xml:space="preserve"> (CPL06, CPMK066): Mampu mengevaluasi validitas integritas bukti dan mendeteksi teknik anti-forensics.</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Evaluasi Validitas, Integritas Bukti, &amp; Anti-Forensics:</w:t>
            </w:r>
            <w:r>
              <w:rPr>
                <w:rFonts w:eastAsia="Arial" w:cs="Arial"/>
                <w:sz w:val="14"/>
                <w:szCs w:val="14"/>
                <w:shd w:fill="auto" w:val="clear"/>
              </w:rPr>
              <w:t xml:space="preserve"> Deteksi timestomping, data hiding (steganografi, ADS/Alternate Data Streams), secure deletion/wiping, enkripsi drive (BitLocker/VeraCrypt).</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Praktikum Deteksi Anti-Forensik &amp; Diskusi Analisis Bukti Terkontaminasi</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TM: 3x50'</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TT: 3x60'</w:t>
            </w:r>
          </w:p>
          <w:p>
            <w:pPr>
              <w:pStyle w:val="normal1"/>
              <w:shd w:val="clear" w:fill="auto"/>
              <w:spacing w:lineRule="auto" w:line="300" w:before="90" w:after="90"/>
              <w:jc w:val="center"/>
              <w:rPr>
                <w:rFonts w:ascii="Arial" w:hAnsi="Arial" w:eastAsia="Arial" w:cs="Arial"/>
                <w:sz w:val="14"/>
                <w:szCs w:val="14"/>
                <w:shd w:fill="auto" w:val="clear"/>
              </w:rPr>
            </w:pPr>
            <w:r>
              <w:rPr>
                <w:rFonts w:eastAsia="Arial" w:cs="Arial"/>
                <w:sz w:val="14"/>
                <w:szCs w:val="14"/>
                <w:shd w:fill="auto" w:val="clear"/>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Menguji dan mendeteksi manipulasi timestamp berkas serta menemukan informasi tersembunyi pada ADS dan steganografi.</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[1], [4]</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jc w:val="center"/>
              <w:rPr>
                <w:rFonts w:ascii="Arial" w:hAnsi="Arial" w:eastAsia="Arial" w:cs="Arial"/>
                <w:b/>
                <w:bCs/>
                <w:sz w:val="14"/>
                <w:szCs w:val="14"/>
              </w:rPr>
            </w:pPr>
            <w:r>
              <w:rPr>
                <w:rFonts w:eastAsia="Arial" w:cs="Arial"/>
                <w:b/>
                <w:bCs/>
                <w:sz w:val="14"/>
                <w:szCs w:val="14"/>
              </w:rPr>
              <w:t>11</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SCPMK0911</w:t>
            </w:r>
            <w:r>
              <w:rPr>
                <w:rFonts w:eastAsia="Arial" w:cs="Arial"/>
                <w:sz w:val="14"/>
                <w:szCs w:val="14"/>
              </w:rPr>
              <w:t xml:space="preserve"> (CPL09, CPMK091): Mampu menganalisis log jaringan dan lalu lintas paket dalam koridor etika investigasi.</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Investigasi Forensik Jaringan (Network Forensics):</w:t>
            </w:r>
            <w:r>
              <w:rPr>
                <w:rFonts w:eastAsia="Arial" w:cs="Arial"/>
                <w:sz w:val="14"/>
                <w:szCs w:val="14"/>
              </w:rPr>
              <w:t xml:space="preserve"> Analisis berkas PCAP (Wireshark, NetworkMiner), analisis log firewall, proxy, DNS tunneling, etika pemantauan lalu lintas data.</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Praktikum Packet Capture Analysis &amp; Studi Kasus Pembobolan Jaringan</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TM: 3x50'</w:t>
            </w:r>
          </w:p>
          <w:p>
            <w:pPr>
              <w:pStyle w:val="normal1"/>
              <w:shd w:val="clear" w:fill="auto"/>
              <w:spacing w:lineRule="auto" w:line="300"/>
              <w:jc w:val="center"/>
              <w:rPr>
                <w:rFonts w:ascii="Arial" w:hAnsi="Arial" w:eastAsia="Arial" w:cs="Arial"/>
                <w:sz w:val="14"/>
                <w:szCs w:val="14"/>
              </w:rPr>
            </w:pPr>
            <w:r>
              <w:rPr>
                <w:rFonts w:eastAsia="Arial" w:cs="Arial"/>
                <w:sz w:val="14"/>
                <w:szCs w:val="14"/>
              </w:rPr>
              <w:t>TT: 3x60'</w:t>
            </w:r>
          </w:p>
          <w:p>
            <w:pPr>
              <w:pStyle w:val="normal1"/>
              <w:shd w:val="clear" w:fill="auto"/>
              <w:spacing w:lineRule="auto" w:line="300" w:before="90" w:after="90"/>
              <w:jc w:val="center"/>
              <w:rPr>
                <w:rFonts w:ascii="Arial" w:hAnsi="Arial" w:eastAsia="Arial" w:cs="Arial"/>
                <w:sz w:val="14"/>
                <w:szCs w:val="14"/>
              </w:rPr>
            </w:pPr>
            <w:r>
              <w:rPr>
                <w:rFonts w:eastAsia="Arial" w:cs="Arial"/>
                <w:sz w:val="14"/>
                <w:szCs w:val="14"/>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Menganalisis komunikasi Command &amp; Control (C2) dari rekaman paket jaringan serta menjaga kerahasiaan data pengguna.</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[3], [6]</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jc w:val="center"/>
              <w:rPr>
                <w:rFonts w:ascii="Arial" w:hAnsi="Arial" w:eastAsia="Arial" w:cs="Arial"/>
                <w:b/>
                <w:bCs/>
                <w:sz w:val="14"/>
                <w:szCs w:val="14"/>
                <w:shd w:fill="auto" w:val="clear"/>
              </w:rPr>
            </w:pPr>
            <w:r>
              <w:rPr>
                <w:rFonts w:eastAsia="Arial" w:cs="Arial"/>
                <w:b/>
                <w:bCs/>
                <w:sz w:val="14"/>
                <w:szCs w:val="14"/>
                <w:shd w:fill="auto" w:val="clear"/>
              </w:rPr>
              <w:t>12</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SCPMK0912</w:t>
            </w:r>
            <w:r>
              <w:rPr>
                <w:rFonts w:eastAsia="Arial" w:cs="Arial"/>
                <w:sz w:val="14"/>
                <w:szCs w:val="14"/>
                <w:shd w:fill="auto" w:val="clear"/>
              </w:rPr>
              <w:t xml:space="preserve"> (CPL09, CPMK091): Mampu menerapkan prosedur investigasi forensik terintegrasi dengan penanganan insiden siber organisasi.</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Integrasi Forensik dengan Incident Response (DFIR):</w:t>
            </w:r>
            <w:r>
              <w:rPr>
                <w:rFonts w:eastAsia="Arial" w:cs="Arial"/>
                <w:sz w:val="14"/>
                <w:szCs w:val="14"/>
                <w:shd w:fill="auto" w:val="clear"/>
              </w:rPr>
              <w:t xml:space="preserve"> Kerangka kerja CSIRT, containment, eradication, recovery, koordinasi forensik saat insiden aktif.</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Simulasi Insiden Siber Berkelompok (Project-Based Learning Tahap 1)</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TM: 3x50'</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TT: 3x60'</w:t>
            </w:r>
          </w:p>
          <w:p>
            <w:pPr>
              <w:pStyle w:val="normal1"/>
              <w:shd w:val="clear" w:fill="auto"/>
              <w:spacing w:lineRule="auto" w:line="300" w:before="90" w:after="90"/>
              <w:jc w:val="center"/>
              <w:rPr>
                <w:rFonts w:ascii="Arial" w:hAnsi="Arial" w:eastAsia="Arial" w:cs="Arial"/>
                <w:sz w:val="14"/>
                <w:szCs w:val="14"/>
                <w:shd w:fill="auto" w:val="clear"/>
              </w:rPr>
            </w:pPr>
            <w:r>
              <w:rPr>
                <w:rFonts w:eastAsia="Arial" w:cs="Arial"/>
                <w:sz w:val="14"/>
                <w:szCs w:val="14"/>
                <w:shd w:fill="auto" w:val="clear"/>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Melakukan investigasi triage cepat pada skenario insiden ransomware perusahaan dan memitigasi penyebaran ancaman.</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[2], [5], [7]</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jc w:val="center"/>
              <w:rPr>
                <w:rFonts w:ascii="Arial" w:hAnsi="Arial" w:eastAsia="Arial" w:cs="Arial"/>
                <w:b/>
                <w:bCs/>
                <w:sz w:val="14"/>
                <w:szCs w:val="14"/>
              </w:rPr>
            </w:pPr>
            <w:r>
              <w:rPr>
                <w:rFonts w:eastAsia="Arial" w:cs="Arial"/>
                <w:b/>
                <w:bCs/>
                <w:sz w:val="14"/>
                <w:szCs w:val="14"/>
              </w:rPr>
              <w:t>13</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SCPMK0921</w:t>
            </w:r>
            <w:r>
              <w:rPr>
                <w:rFonts w:eastAsia="Arial" w:cs="Arial"/>
                <w:sz w:val="14"/>
                <w:szCs w:val="14"/>
              </w:rPr>
              <w:t xml:space="preserve"> (CPL09, CPMK092): Mampu mengevaluasi studi kasus kejahatan siber kompleks dan mempertimbangkan dampak publik.</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Analisis Studi Kasus Cyber Forensics Kompleks:</w:t>
            </w:r>
            <w:r>
              <w:rPr>
                <w:rFonts w:eastAsia="Arial" w:cs="Arial"/>
                <w:sz w:val="14"/>
                <w:szCs w:val="14"/>
              </w:rPr>
              <w:t xml:space="preserve"> Investigasi data breach, insider threat, fraud digital, Advanced Persistent Threats (APT), kepatuhan privasi (UU PDP).</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Case-Based Learning, Diskusi Panel Analisis Kasus Riil</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TM: 3x50'</w:t>
            </w:r>
          </w:p>
          <w:p>
            <w:pPr>
              <w:pStyle w:val="normal1"/>
              <w:shd w:val="clear" w:fill="auto"/>
              <w:spacing w:lineRule="auto" w:line="300"/>
              <w:jc w:val="center"/>
              <w:rPr>
                <w:rFonts w:ascii="Arial" w:hAnsi="Arial" w:eastAsia="Arial" w:cs="Arial"/>
                <w:sz w:val="14"/>
                <w:szCs w:val="14"/>
              </w:rPr>
            </w:pPr>
            <w:r>
              <w:rPr>
                <w:rFonts w:eastAsia="Arial" w:cs="Arial"/>
                <w:sz w:val="14"/>
                <w:szCs w:val="14"/>
              </w:rPr>
              <w:t>TT: 3x60'</w:t>
            </w:r>
          </w:p>
          <w:p>
            <w:pPr>
              <w:pStyle w:val="normal1"/>
              <w:shd w:val="clear" w:fill="auto"/>
              <w:spacing w:lineRule="auto" w:line="300" w:before="90" w:after="90"/>
              <w:jc w:val="center"/>
              <w:rPr>
                <w:rFonts w:ascii="Arial" w:hAnsi="Arial" w:eastAsia="Arial" w:cs="Arial"/>
                <w:sz w:val="14"/>
                <w:szCs w:val="14"/>
              </w:rPr>
            </w:pPr>
            <w:r>
              <w:rPr>
                <w:rFonts w:eastAsia="Arial" w:cs="Arial"/>
                <w:sz w:val="14"/>
                <w:szCs w:val="14"/>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Membedah berkas bukti kasus kebocoran data industri dan menyusun mitigasi risiko sosial dan hukum.</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[1], [4], [7]</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jc w:val="center"/>
              <w:rPr>
                <w:rFonts w:ascii="Arial" w:hAnsi="Arial" w:eastAsia="Arial" w:cs="Arial"/>
                <w:b/>
                <w:bCs/>
                <w:sz w:val="14"/>
                <w:szCs w:val="14"/>
                <w:shd w:fill="auto" w:val="clear"/>
              </w:rPr>
            </w:pPr>
            <w:r>
              <w:rPr>
                <w:rFonts w:eastAsia="Arial" w:cs="Arial"/>
                <w:b/>
                <w:bCs/>
                <w:sz w:val="14"/>
                <w:szCs w:val="14"/>
                <w:shd w:fill="auto" w:val="clear"/>
              </w:rPr>
              <w:t>14</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SCPMK0922</w:t>
            </w:r>
            <w:r>
              <w:rPr>
                <w:rFonts w:eastAsia="Arial" w:cs="Arial"/>
                <w:sz w:val="14"/>
                <w:szCs w:val="14"/>
                <w:shd w:fill="auto" w:val="clear"/>
              </w:rPr>
              <w:t xml:space="preserve"> (CPL09, CPMK092): Mampu merancang prosedur investigasi dan rekomendasi keamanan tingkat organisasi.</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b/>
                <w:bCs/>
                <w:sz w:val="14"/>
                <w:szCs w:val="14"/>
                <w:shd w:fill="auto" w:val="clear"/>
              </w:rPr>
              <w:t>Penerapan Prosedur Investigasi Digital Organisasi:</w:t>
            </w:r>
            <w:r>
              <w:rPr>
                <w:rFonts w:eastAsia="Arial" w:cs="Arial"/>
                <w:sz w:val="14"/>
                <w:szCs w:val="14"/>
                <w:shd w:fill="auto" w:val="clear"/>
              </w:rPr>
              <w:t xml:space="preserve"> Forensic readiness planning, SOP audit keamanan pasca-insiden, kebijakan preservasi log jangka panjang.</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PjBL, Penyusunan Dokumen Forensic Readiness Policy</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TM: 3x50'</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TT: 3x60'</w:t>
            </w:r>
          </w:p>
          <w:p>
            <w:pPr>
              <w:pStyle w:val="normal1"/>
              <w:shd w:val="clear" w:fill="auto"/>
              <w:spacing w:lineRule="auto" w:line="300" w:before="90" w:after="90"/>
              <w:jc w:val="center"/>
              <w:rPr>
                <w:rFonts w:ascii="Arial" w:hAnsi="Arial" w:eastAsia="Arial" w:cs="Arial"/>
                <w:sz w:val="14"/>
                <w:szCs w:val="14"/>
                <w:shd w:fill="auto" w:val="clear"/>
              </w:rPr>
            </w:pPr>
            <w:r>
              <w:rPr>
                <w:rFonts w:eastAsia="Arial" w:cs="Arial"/>
                <w:sz w:val="14"/>
                <w:szCs w:val="14"/>
                <w:shd w:fill="auto" w:val="clear"/>
              </w:rPr>
              <w:t>BM: 3x60'</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Merancang Standard Operating Procedure (SOP) kesiapan forensik digital untuk infrastruktur IT perusahaan.</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90" w:after="90"/>
              <w:rPr>
                <w:rFonts w:ascii="Arial" w:hAnsi="Arial" w:eastAsia="Arial" w:cs="Arial"/>
                <w:sz w:val="14"/>
                <w:szCs w:val="14"/>
                <w:shd w:fill="auto" w:val="clear"/>
              </w:rPr>
            </w:pPr>
            <w:r>
              <w:rPr>
                <w:rFonts w:eastAsia="Arial" w:cs="Arial"/>
                <w:sz w:val="14"/>
                <w:szCs w:val="14"/>
                <w:shd w:fill="auto" w:val="clear"/>
              </w:rPr>
              <w:t>[5], [7]</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jc w:val="center"/>
              <w:rPr>
                <w:rFonts w:ascii="Arial" w:hAnsi="Arial" w:eastAsia="Arial" w:cs="Arial"/>
                <w:b/>
                <w:bCs/>
                <w:sz w:val="14"/>
                <w:szCs w:val="14"/>
              </w:rPr>
            </w:pPr>
            <w:r>
              <w:rPr>
                <w:rFonts w:eastAsia="Arial" w:cs="Arial"/>
                <w:b/>
                <w:bCs/>
                <w:sz w:val="14"/>
                <w:szCs w:val="14"/>
              </w:rPr>
              <w:t>15</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SCPMK0931</w:t>
            </w:r>
            <w:r>
              <w:rPr>
                <w:rFonts w:eastAsia="Arial" w:cs="Arial"/>
                <w:sz w:val="14"/>
                <w:szCs w:val="14"/>
              </w:rPr>
              <w:t xml:space="preserve"> (CPL09, CPMK093): Mampu menyusun laporan ahli forensik komprehensif dan berkolaborasi dalam gelar perkara.</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b/>
                <w:bCs/>
                <w:sz w:val="14"/>
                <w:szCs w:val="14"/>
              </w:rPr>
              <w:t>Pelaporan Forensik &amp; Simulasi Gelar Perkara (Mock Trial):</w:t>
            </w:r>
            <w:r>
              <w:rPr>
                <w:rFonts w:eastAsia="Arial" w:cs="Arial"/>
                <w:sz w:val="14"/>
                <w:szCs w:val="14"/>
              </w:rPr>
              <w:t xml:space="preserve"> Struktur laporan ahli (Expert Witness Report), penyajian bukti teknis secara non-teknis, teknik kesaksian ahli.</w:t>
            </w:r>
          </w:p>
        </w:tc>
        <w:tc>
          <w:tcPr>
            <w:tcW w:w="149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Simulasi Gelar Perkara (Mock Court), Peer Assessment, Mentoring</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TM: 3x50'</w:t>
            </w:r>
          </w:p>
          <w:p>
            <w:pPr>
              <w:pStyle w:val="normal1"/>
              <w:shd w:val="clear" w:fill="auto"/>
              <w:spacing w:lineRule="auto" w:line="300"/>
              <w:jc w:val="center"/>
              <w:rPr>
                <w:rFonts w:ascii="Arial" w:hAnsi="Arial" w:eastAsia="Arial" w:cs="Arial"/>
                <w:sz w:val="14"/>
                <w:szCs w:val="14"/>
              </w:rPr>
            </w:pPr>
            <w:r>
              <w:rPr>
                <w:rFonts w:eastAsia="Arial" w:cs="Arial"/>
                <w:sz w:val="14"/>
                <w:szCs w:val="14"/>
              </w:rPr>
              <w:t>TT: 3x60'</w:t>
            </w:r>
          </w:p>
          <w:p>
            <w:pPr>
              <w:pStyle w:val="normal1"/>
              <w:shd w:val="clear" w:fill="auto"/>
              <w:spacing w:lineRule="auto" w:line="300" w:before="90" w:after="90"/>
              <w:jc w:val="center"/>
              <w:rPr>
                <w:rFonts w:ascii="Arial" w:hAnsi="Arial" w:eastAsia="Arial" w:cs="Arial"/>
                <w:sz w:val="14"/>
                <w:szCs w:val="14"/>
              </w:rPr>
            </w:pPr>
            <w:r>
              <w:rPr>
                <w:rFonts w:eastAsia="Arial" w:cs="Arial"/>
                <w:sz w:val="14"/>
                <w:szCs w:val="14"/>
              </w:rPr>
              <w:t>BM: 3x60'</w:t>
            </w:r>
          </w:p>
        </w:tc>
        <w:tc>
          <w:tcPr>
            <w:tcW w:w="1404"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Menyajikan laporan hasil investigasi kelompok dan mempertanggungjawabkan keabsahan bukti di hadapan majelis penguji.</w:t>
            </w:r>
          </w:p>
        </w:tc>
        <w:tc>
          <w:tcPr>
            <w:tcW w:w="936"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90" w:after="90"/>
              <w:rPr>
                <w:rFonts w:ascii="Arial" w:hAnsi="Arial" w:eastAsia="Arial" w:cs="Arial"/>
                <w:sz w:val="14"/>
                <w:szCs w:val="14"/>
              </w:rPr>
            </w:pPr>
            <w:r>
              <w:rPr>
                <w:rFonts w:eastAsia="Arial" w:cs="Arial"/>
                <w:sz w:val="14"/>
                <w:szCs w:val="14"/>
              </w:rPr>
              <w:t>[1], [2], [4]</w:t>
            </w:r>
          </w:p>
        </w:tc>
      </w:tr>
      <w:tr>
        <w:trPr/>
        <w:tc>
          <w:tcPr>
            <w:tcW w:w="468"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normal1"/>
              <w:shd w:val="clear" w:fill="auto"/>
              <w:spacing w:lineRule="auto" w:line="300" w:before="120" w:after="120"/>
              <w:jc w:val="center"/>
              <w:rPr>
                <w:rFonts w:ascii="Arial" w:hAnsi="Arial" w:eastAsia="Arial" w:cs="Arial"/>
                <w:b/>
                <w:bCs/>
                <w:color w:val="7B341E"/>
                <w:sz w:val="14"/>
                <w:szCs w:val="14"/>
                <w:shd w:fill="auto" w:val="clear"/>
              </w:rPr>
            </w:pPr>
            <w:r>
              <w:rPr>
                <w:rFonts w:eastAsia="Arial" w:cs="Arial"/>
                <w:b/>
                <w:bCs/>
                <w:color w:val="7B341E"/>
                <w:sz w:val="14"/>
                <w:szCs w:val="14"/>
                <w:shd w:fill="auto" w:val="clear"/>
              </w:rPr>
              <w:t>16</w:t>
            </w:r>
          </w:p>
        </w:tc>
        <w:tc>
          <w:tcPr>
            <w:tcW w:w="7956" w:type="dxa"/>
            <w:gridSpan w:val="5"/>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normal1"/>
              <w:shd w:val="clear" w:fill="auto"/>
              <w:spacing w:lineRule="auto" w:line="300"/>
              <w:rPr>
                <w:rFonts w:ascii="Arial" w:hAnsi="Arial" w:eastAsia="Arial" w:cs="Arial"/>
                <w:b/>
                <w:bCs/>
                <w:color w:val="7B341E"/>
                <w:sz w:val="14"/>
                <w:szCs w:val="14"/>
                <w:shd w:fill="auto" w:val="clear"/>
              </w:rPr>
            </w:pPr>
            <w:r>
              <w:rPr>
                <w:rFonts w:eastAsia="Arial" w:cs="Arial"/>
                <w:b/>
                <w:bCs/>
                <w:color w:val="7B341E"/>
                <w:sz w:val="14"/>
                <w:szCs w:val="14"/>
                <w:shd w:fill="auto" w:val="clear"/>
              </w:rPr>
              <w:t>UJIAN AKHIR SEMESTER (UAS)</w:t>
            </w:r>
          </w:p>
          <w:p>
            <w:pPr>
              <w:pStyle w:val="normal1"/>
              <w:shd w:val="clear" w:fill="auto"/>
              <w:spacing w:lineRule="auto" w:line="300" w:before="120" w:after="120"/>
              <w:rPr>
                <w:rFonts w:ascii="Arial" w:hAnsi="Arial" w:eastAsia="Arial" w:cs="Arial"/>
                <w:b/>
                <w:bCs/>
                <w:color w:val="7B341E"/>
                <w:sz w:val="14"/>
                <w:szCs w:val="14"/>
                <w:shd w:fill="auto" w:val="clear"/>
              </w:rPr>
            </w:pPr>
            <w:r>
              <w:rPr>
                <w:rFonts w:eastAsia="Arial" w:cs="Arial"/>
                <w:b/>
                <w:bCs/>
                <w:color w:val="7B341E"/>
                <w:sz w:val="14"/>
                <w:szCs w:val="14"/>
                <w:shd w:fill="auto" w:val="clear"/>
              </w:rPr>
              <w:t>Presentasi akhir laporan investigasi proyek forensik siber komprehensif, pembuktian artefak digital, dan pertanggungjawaban teknis di hadapan dewan penguji (Bobot: 16%).</w:t>
            </w:r>
          </w:p>
        </w:tc>
        <w:tc>
          <w:tcPr>
            <w:tcW w:w="936"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normal1"/>
              <w:shd w:val="clear" w:fill="auto"/>
              <w:spacing w:lineRule="auto" w:line="300" w:before="120" w:after="120"/>
              <w:jc w:val="center"/>
              <w:rPr>
                <w:rFonts w:ascii="Arial" w:hAnsi="Arial" w:eastAsia="Arial" w:cs="Arial"/>
                <w:b/>
                <w:bCs/>
                <w:color w:val="7B341E"/>
                <w:sz w:val="14"/>
                <w:szCs w:val="14"/>
                <w:shd w:fill="auto" w:val="clear"/>
              </w:rPr>
            </w:pPr>
            <w:r>
              <w:rPr>
                <w:rFonts w:eastAsia="Arial" w:cs="Arial"/>
                <w:b/>
                <w:bCs/>
                <w:color w:val="7B341E"/>
                <w:sz w:val="14"/>
                <w:szCs w:val="14"/>
                <w:shd w:fill="auto" w:val="clear"/>
              </w:rPr>
              <w:t>Seluruh Materi</w:t>
            </w:r>
          </w:p>
        </w:tc>
      </w:tr>
    </w:tbl>
    <w:p>
      <w:pPr>
        <w:pStyle w:val="Heading3"/>
        <w:shd w:val="clear" w:fill="auto"/>
        <w:spacing w:lineRule="auto" w:line="240" w:before="375" w:after="120"/>
        <w:rPr>
          <w:rFonts w:ascii="Arial" w:hAnsi="Arial" w:eastAsia="Arial" w:cs="Arial"/>
          <w:color w:val="1A365D"/>
          <w:sz w:val="18"/>
          <w:szCs w:val="18"/>
        </w:rPr>
      </w:pPr>
      <w:r>
        <w:rPr>
          <w:rFonts w:eastAsia="Arial" w:cs="Arial"/>
          <w:color w:val="1A365D"/>
          <w:sz w:val="18"/>
          <w:szCs w:val="18"/>
        </w:rPr>
        <w:t>VI. KRITERIA EVALUASI PEMBELAJARAN (ASSESSMENT CRITERIA)</w:t>
      </w:r>
    </w:p>
    <w:p>
      <w:pPr>
        <w:pStyle w:val="normal1"/>
        <w:shd w:val="clear" w:fill="auto"/>
        <w:spacing w:lineRule="auto" w:line="300" w:before="0" w:after="150"/>
        <w:rPr>
          <w:rFonts w:ascii="Arial" w:hAnsi="Arial" w:eastAsia="Arial" w:cs="Arial"/>
          <w:sz w:val="16"/>
          <w:szCs w:val="16"/>
        </w:rPr>
      </w:pPr>
      <w:r>
        <w:rPr>
          <w:rFonts w:eastAsia="Arial" w:cs="Arial"/>
          <w:sz w:val="16"/>
          <w:szCs w:val="16"/>
        </w:rPr>
        <w:t>Penilaian ketercapaian CPMK mata kuliah Forensik Siber mengacu secara presisi pada matriks bobot evaluasi SKOPI dengan sebaran metode asesmen terstruktur:</w:t>
      </w:r>
    </w:p>
    <w:tbl>
      <w:tblPr>
        <w:tblStyle w:val="Table6"/>
        <w:tblW w:w="9360" w:type="dxa"/>
        <w:jc w:val="start"/>
        <w:tblInd w:w="0" w:type="dxa"/>
        <w:tblLayout w:type="fixed"/>
        <w:tblCellMar>
          <w:top w:w="120" w:type="dxa"/>
          <w:start w:w="120" w:type="dxa"/>
          <w:bottom w:w="120" w:type="dxa"/>
          <w:end w:w="120" w:type="dxa"/>
        </w:tblCellMar>
        <w:tblLook w:val="0600"/>
      </w:tblPr>
      <w:tblGrid>
        <w:gridCol w:w="468"/>
        <w:gridCol w:w="2059"/>
        <w:gridCol w:w="2808"/>
        <w:gridCol w:w="2153"/>
        <w:gridCol w:w="747"/>
        <w:gridCol w:w="1125"/>
      </w:tblGrid>
      <w:tr>
        <w:trPr>
          <w:tblHeader w:val="true"/>
        </w:trPr>
        <w:tc>
          <w:tcPr>
            <w:tcW w:w="468"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No</w:t>
            </w:r>
          </w:p>
        </w:tc>
        <w:tc>
          <w:tcPr>
            <w:tcW w:w="2059"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Komponen Evaluasi</w:t>
            </w:r>
          </w:p>
        </w:tc>
        <w:tc>
          <w:tcPr>
            <w:tcW w:w="2808"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Indikator Penilaian</w:t>
            </w:r>
          </w:p>
        </w:tc>
        <w:tc>
          <w:tcPr>
            <w:tcW w:w="2153"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Bentuk &amp; Metode Penilaian</w:t>
            </w:r>
          </w:p>
        </w:tc>
        <w:tc>
          <w:tcPr>
            <w:tcW w:w="747"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Bobot</w:t>
            </w:r>
          </w:p>
        </w:tc>
        <w:tc>
          <w:tcPr>
            <w:tcW w:w="1125"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CPMK yang Diukur</w:t>
            </w:r>
          </w:p>
          <w:p>
            <w:pPr>
              <w:pStyle w:val="normal1"/>
              <w:keepNext w:val="false"/>
              <w:keepLines w:val="false"/>
              <w:widowControl w:val="false"/>
              <w:shd w:val="clear" w:fill="auto"/>
              <w:spacing w:lineRule="auto" w:line="240" w:before="0" w:after="0"/>
              <w:ind w:hanging="0" w:start="0" w:end="0"/>
              <w:jc w:val="start"/>
              <w:rPr>
                <w:rFonts w:ascii="Arial" w:hAnsi="Arial" w:eastAsia="Arial" w:cs="Arial"/>
                <w:sz w:val="16"/>
                <w:szCs w:val="16"/>
              </w:rPr>
            </w:pPr>
            <w:r>
              <w:rPr>
                <w:rFonts w:eastAsia="Arial" w:cs="Arial"/>
                <w:sz w:val="16"/>
                <w:szCs w:val="16"/>
              </w:rPr>
              <w:t xml:space="preserve"> </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1</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b/>
                <w:bCs/>
                <w:sz w:val="16"/>
                <w:szCs w:val="16"/>
              </w:rPr>
            </w:pPr>
            <w:r>
              <w:rPr>
                <w:rFonts w:eastAsia="Arial" w:cs="Arial"/>
                <w:b/>
                <w:bCs/>
                <w:sz w:val="16"/>
                <w:szCs w:val="16"/>
              </w:rPr>
              <w:t>Observasi / Praktik / Tugas</w:t>
            </w:r>
          </w:p>
        </w:tc>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Ketelitian dalam akuisisi citra, akurasi komputasi hash, keberhasilan pemulihan file carving, ekskavasi registri, dan analisis log.</w:t>
            </w:r>
          </w:p>
        </w:tc>
        <w:tc>
          <w:tcPr>
            <w:tcW w:w="2153"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Laporan Mingguan Praktikum Lab Forensik &amp; Tugas Ekskavasi Artefak</w:t>
            </w:r>
          </w:p>
        </w:tc>
        <w:tc>
          <w:tcPr>
            <w:tcW w:w="747"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22 %</w:t>
            </w:r>
          </w:p>
        </w:tc>
        <w:tc>
          <w:tcPr>
            <w:tcW w:w="1125"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CPMK061 (2%)</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CPMK065 (4%)</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CPMK066 (5%)</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CPMK091 (4%)</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CPMK092 (4%)</w:t>
            </w:r>
          </w:p>
          <w:p>
            <w:pPr>
              <w:pStyle w:val="normal1"/>
              <w:shd w:val="clear" w:fill="auto"/>
              <w:spacing w:lineRule="auto" w:line="300" w:before="120" w:after="120"/>
              <w:jc w:val="center"/>
              <w:rPr>
                <w:rFonts w:ascii="Arial" w:hAnsi="Arial" w:eastAsia="Arial" w:cs="Arial"/>
                <w:sz w:val="14"/>
                <w:szCs w:val="14"/>
              </w:rPr>
            </w:pPr>
            <w:r>
              <w:rPr>
                <w:rFonts w:eastAsia="Arial" w:cs="Arial"/>
                <w:sz w:val="14"/>
                <w:szCs w:val="14"/>
              </w:rPr>
              <w:t>CPMK093 (3%)</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2</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Kuis Terstruktur</w:t>
            </w:r>
          </w:p>
        </w:tc>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Penguasaan konsep teoritis, standar ISO/NIST, pemahaman struktur file system, dan terminologi forensik digital.</w:t>
            </w:r>
          </w:p>
        </w:tc>
        <w:tc>
          <w:tcPr>
            <w:tcW w:w="2153"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Tes Daring Objektif &amp; Analisis Kasus Singkat</w:t>
            </w:r>
          </w:p>
        </w:tc>
        <w:tc>
          <w:tcPr>
            <w:tcW w:w="747"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4 %</w:t>
            </w:r>
          </w:p>
        </w:tc>
        <w:tc>
          <w:tcPr>
            <w:tcW w:w="1125"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CPMK061 (1%)</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CPMK065 (1%)</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CPMK091 (1%)</w:t>
            </w:r>
          </w:p>
          <w:p>
            <w:pPr>
              <w:pStyle w:val="normal1"/>
              <w:shd w:val="clear" w:fill="auto"/>
              <w:spacing w:lineRule="auto" w:line="300" w:before="120" w:after="120"/>
              <w:jc w:val="center"/>
              <w:rPr>
                <w:rFonts w:ascii="Arial" w:hAnsi="Arial" w:eastAsia="Arial" w:cs="Arial"/>
                <w:sz w:val="14"/>
                <w:szCs w:val="14"/>
                <w:shd w:fill="auto" w:val="clear"/>
              </w:rPr>
            </w:pPr>
            <w:r>
              <w:rPr>
                <w:rFonts w:eastAsia="Arial" w:cs="Arial"/>
                <w:sz w:val="14"/>
                <w:szCs w:val="14"/>
                <w:shd w:fill="auto" w:val="clear"/>
              </w:rPr>
              <w:t>CPMK092 (1%)</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3</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b/>
                <w:bCs/>
                <w:sz w:val="16"/>
                <w:szCs w:val="16"/>
              </w:rPr>
            </w:pPr>
            <w:r>
              <w:rPr>
                <w:rFonts w:eastAsia="Arial" w:cs="Arial"/>
                <w:b/>
                <w:bCs/>
                <w:sz w:val="16"/>
                <w:szCs w:val="16"/>
              </w:rPr>
              <w:t>Partisipatif (Case-Based Learning)</w:t>
            </w:r>
          </w:p>
        </w:tc>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Kemampuan analisis kritis dalam bedah studi kasus kejahatan siber riil, ketepatan pertimbangan etika, hak privasi, dan argumentasi profesional.</w:t>
            </w:r>
          </w:p>
        </w:tc>
        <w:tc>
          <w:tcPr>
            <w:tcW w:w="2153"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Diskusi Kelas, Analisis Post-Mortem Kasus Peretasan, Peer Review</w:t>
            </w:r>
          </w:p>
        </w:tc>
        <w:tc>
          <w:tcPr>
            <w:tcW w:w="747"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20 %</w:t>
            </w:r>
          </w:p>
        </w:tc>
        <w:tc>
          <w:tcPr>
            <w:tcW w:w="1125"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CPMK061 (3%)</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CPMK065 (3%)</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CPMK066 (3%)</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CPMK091 (6%)</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CPMK092 (3%)</w:t>
            </w:r>
          </w:p>
          <w:p>
            <w:pPr>
              <w:pStyle w:val="normal1"/>
              <w:shd w:val="clear" w:fill="auto"/>
              <w:spacing w:lineRule="auto" w:line="300" w:before="120" w:after="120"/>
              <w:jc w:val="center"/>
              <w:rPr>
                <w:rFonts w:ascii="Arial" w:hAnsi="Arial" w:eastAsia="Arial" w:cs="Arial"/>
                <w:sz w:val="14"/>
                <w:szCs w:val="14"/>
              </w:rPr>
            </w:pPr>
            <w:r>
              <w:rPr>
                <w:rFonts w:eastAsia="Arial" w:cs="Arial"/>
                <w:sz w:val="14"/>
                <w:szCs w:val="14"/>
              </w:rPr>
              <w:t>CPMK093 (2%)</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4</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Project-Based Learning (PjBL)</w:t>
            </w:r>
          </w:p>
        </w:tc>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Penyelesaian proyek investigasi end-to-end kasus kompleks, integrasi DFIR, manajemen tim multidisiplin, dan kualitas Forensic Report.</w:t>
            </w:r>
          </w:p>
        </w:tc>
        <w:tc>
          <w:tcPr>
            <w:tcW w:w="2153"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Laporan Proyek Investigasi Terpadu &amp; Simulasi Gelar Perkara</w:t>
            </w:r>
          </w:p>
        </w:tc>
        <w:tc>
          <w:tcPr>
            <w:tcW w:w="747"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28 %</w:t>
            </w:r>
          </w:p>
        </w:tc>
        <w:tc>
          <w:tcPr>
            <w:tcW w:w="1125"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CPMK065 (6%)</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CPMK066 (7%)</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CPMK091 (3%)</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CPMK092 (7%)</w:t>
            </w:r>
          </w:p>
          <w:p>
            <w:pPr>
              <w:pStyle w:val="normal1"/>
              <w:shd w:val="clear" w:fill="auto"/>
              <w:spacing w:lineRule="auto" w:line="300" w:before="120" w:after="120"/>
              <w:jc w:val="center"/>
              <w:rPr>
                <w:rFonts w:ascii="Arial" w:hAnsi="Arial" w:eastAsia="Arial" w:cs="Arial"/>
                <w:sz w:val="14"/>
                <w:szCs w:val="14"/>
                <w:shd w:fill="auto" w:val="clear"/>
              </w:rPr>
            </w:pPr>
            <w:r>
              <w:rPr>
                <w:rFonts w:eastAsia="Arial" w:cs="Arial"/>
                <w:sz w:val="14"/>
                <w:szCs w:val="14"/>
                <w:shd w:fill="auto" w:val="clear"/>
              </w:rPr>
              <w:t>CPMK093 (5%)</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5</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b/>
                <w:bCs/>
                <w:sz w:val="16"/>
                <w:szCs w:val="16"/>
              </w:rPr>
            </w:pPr>
            <w:r>
              <w:rPr>
                <w:rFonts w:eastAsia="Arial" w:cs="Arial"/>
                <w:b/>
                <w:bCs/>
                <w:sz w:val="16"/>
                <w:szCs w:val="16"/>
              </w:rPr>
              <w:t>Metode Pembelajaran Lainnya</w:t>
            </w:r>
          </w:p>
        </w:tc>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Refleksi kemandirian belajar, etika profesional, dan keaktifan eksplorasi materi mandiri.</w:t>
            </w:r>
          </w:p>
        </w:tc>
        <w:tc>
          <w:tcPr>
            <w:tcW w:w="2153"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Jurnal Refleksi Mandiri &amp; Partisipasi Diskusi</w:t>
            </w:r>
          </w:p>
        </w:tc>
        <w:tc>
          <w:tcPr>
            <w:tcW w:w="747"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1 %</w:t>
            </w:r>
          </w:p>
        </w:tc>
        <w:tc>
          <w:tcPr>
            <w:tcW w:w="1125"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sz w:val="14"/>
                <w:szCs w:val="14"/>
              </w:rPr>
            </w:pPr>
            <w:r>
              <w:rPr>
                <w:rFonts w:eastAsia="Arial" w:cs="Arial"/>
                <w:sz w:val="14"/>
                <w:szCs w:val="14"/>
              </w:rPr>
              <w:t>CPMK091 (1%)</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6</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b/>
                <w:bCs/>
                <w:sz w:val="16"/>
                <w:szCs w:val="16"/>
                <w:shd w:fill="auto" w:val="clear"/>
              </w:rPr>
            </w:pPr>
            <w:r>
              <w:rPr>
                <w:rFonts w:eastAsia="Arial" w:cs="Arial"/>
                <w:b/>
                <w:bCs/>
                <w:sz w:val="16"/>
                <w:szCs w:val="16"/>
                <w:shd w:fill="auto" w:val="clear"/>
              </w:rPr>
              <w:t>Evaluasi Tengah Semester (UTS)</w:t>
            </w:r>
          </w:p>
        </w:tc>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Kemampuan analisis terintegrasi prosedur akuisisi, validasi hash, ekstraksi artefak, dan rekonstruksi kasus tahap awal.</w:t>
            </w:r>
          </w:p>
        </w:tc>
        <w:tc>
          <w:tcPr>
            <w:tcW w:w="2153"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rPr>
                <w:rFonts w:ascii="Arial" w:hAnsi="Arial" w:eastAsia="Arial" w:cs="Arial"/>
                <w:sz w:val="16"/>
                <w:szCs w:val="16"/>
                <w:shd w:fill="auto" w:val="clear"/>
              </w:rPr>
            </w:pPr>
            <w:r>
              <w:rPr>
                <w:rFonts w:eastAsia="Arial" w:cs="Arial"/>
                <w:sz w:val="16"/>
                <w:szCs w:val="16"/>
                <w:shd w:fill="auto" w:val="clear"/>
              </w:rPr>
              <w:t>Ujian Praktik Analisis Bukti Digital &amp; Ujian Teori Studi Kasus</w:t>
            </w:r>
          </w:p>
        </w:tc>
        <w:tc>
          <w:tcPr>
            <w:tcW w:w="747"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9 %</w:t>
            </w:r>
          </w:p>
        </w:tc>
        <w:tc>
          <w:tcPr>
            <w:tcW w:w="1125" w:type="dxa"/>
            <w:tcBorders>
              <w:top w:val="single" w:sz="6" w:space="0" w:color="CBD5E0"/>
              <w:start w:val="single" w:sz="6" w:space="0" w:color="CBD5E0"/>
              <w:bottom w:val="single" w:sz="6" w:space="0" w:color="CBD5E0"/>
              <w:end w:val="single" w:sz="6" w:space="0" w:color="CBD5E0"/>
            </w:tcBorders>
            <w:shd w:fill="F7FAFC" w:val="clear"/>
          </w:tcPr>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CPMK061 (3%)</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CPMK065 (1%)</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CPMK066 (2%)</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CPMK091 (1%)</w:t>
            </w:r>
          </w:p>
          <w:p>
            <w:pPr>
              <w:pStyle w:val="normal1"/>
              <w:shd w:val="clear" w:fill="auto"/>
              <w:spacing w:lineRule="auto" w:line="300"/>
              <w:jc w:val="center"/>
              <w:rPr>
                <w:rFonts w:ascii="Arial" w:hAnsi="Arial" w:eastAsia="Arial" w:cs="Arial"/>
                <w:sz w:val="14"/>
                <w:szCs w:val="14"/>
                <w:shd w:fill="auto" w:val="clear"/>
              </w:rPr>
            </w:pPr>
            <w:r>
              <w:rPr>
                <w:rFonts w:eastAsia="Arial" w:cs="Arial"/>
                <w:sz w:val="14"/>
                <w:szCs w:val="14"/>
                <w:shd w:fill="auto" w:val="clear"/>
              </w:rPr>
              <w:t>CPMK092 (1%)</w:t>
            </w:r>
          </w:p>
          <w:p>
            <w:pPr>
              <w:pStyle w:val="normal1"/>
              <w:shd w:val="clear" w:fill="auto"/>
              <w:spacing w:lineRule="auto" w:line="300" w:before="120" w:after="120"/>
              <w:jc w:val="center"/>
              <w:rPr>
                <w:rFonts w:ascii="Arial" w:hAnsi="Arial" w:eastAsia="Arial" w:cs="Arial"/>
                <w:sz w:val="14"/>
                <w:szCs w:val="14"/>
                <w:shd w:fill="auto" w:val="clear"/>
              </w:rPr>
            </w:pPr>
            <w:r>
              <w:rPr>
                <w:rFonts w:eastAsia="Arial" w:cs="Arial"/>
                <w:sz w:val="14"/>
                <w:szCs w:val="14"/>
                <w:shd w:fill="auto" w:val="clear"/>
              </w:rPr>
              <w:t>CPMK093 (1%)</w:t>
            </w:r>
          </w:p>
        </w:tc>
      </w:tr>
      <w:tr>
        <w:trPr/>
        <w:tc>
          <w:tcPr>
            <w:tcW w:w="46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7</w:t>
            </w:r>
          </w:p>
        </w:tc>
        <w:tc>
          <w:tcPr>
            <w:tcW w:w="2059"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b/>
                <w:bCs/>
                <w:sz w:val="16"/>
                <w:szCs w:val="16"/>
              </w:rPr>
            </w:pPr>
            <w:r>
              <w:rPr>
                <w:rFonts w:eastAsia="Arial" w:cs="Arial"/>
                <w:b/>
                <w:bCs/>
                <w:sz w:val="16"/>
                <w:szCs w:val="16"/>
              </w:rPr>
              <w:t>Evaluasi Akhir Semester (UAS)</w:t>
            </w:r>
          </w:p>
        </w:tc>
        <w:tc>
          <w:tcPr>
            <w:tcW w:w="2808"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Penguasaan menyeluruh analisis linimasa, anti-forensics, respons insiden, penyajian kesaksian ahli, dan pertanggungjawaban teknis.</w:t>
            </w:r>
          </w:p>
        </w:tc>
        <w:tc>
          <w:tcPr>
            <w:tcW w:w="2153"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rPr>
                <w:rFonts w:ascii="Arial" w:hAnsi="Arial" w:eastAsia="Arial" w:cs="Arial"/>
                <w:sz w:val="16"/>
                <w:szCs w:val="16"/>
              </w:rPr>
            </w:pPr>
            <w:r>
              <w:rPr>
                <w:rFonts w:eastAsia="Arial" w:cs="Arial"/>
                <w:sz w:val="16"/>
                <w:szCs w:val="16"/>
              </w:rPr>
              <w:t>Presentasi Gelar Perkara, Ujian Komprehensif Kasus, Portofolio Akhir</w:t>
            </w:r>
          </w:p>
        </w:tc>
        <w:tc>
          <w:tcPr>
            <w:tcW w:w="747"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before="120" w:after="120"/>
              <w:jc w:val="center"/>
              <w:rPr>
                <w:rFonts w:ascii="Arial" w:hAnsi="Arial" w:eastAsia="Arial" w:cs="Arial"/>
                <w:b/>
                <w:bCs/>
                <w:sz w:val="16"/>
                <w:szCs w:val="16"/>
              </w:rPr>
            </w:pPr>
            <w:r>
              <w:rPr>
                <w:rFonts w:eastAsia="Arial" w:cs="Arial"/>
                <w:b/>
                <w:bCs/>
                <w:sz w:val="16"/>
                <w:szCs w:val="16"/>
              </w:rPr>
              <w:t>16 %</w:t>
            </w:r>
          </w:p>
        </w:tc>
        <w:tc>
          <w:tcPr>
            <w:tcW w:w="1125" w:type="dxa"/>
            <w:tcBorders>
              <w:top w:val="single" w:sz="6" w:space="0" w:color="CBD5E0"/>
              <w:start w:val="single" w:sz="6" w:space="0" w:color="CBD5E0"/>
              <w:bottom w:val="single" w:sz="6" w:space="0" w:color="CBD5E0"/>
              <w:end w:val="single" w:sz="6" w:space="0" w:color="CBD5E0"/>
            </w:tcBorders>
            <w:shd w:fill="auto" w:val="clear"/>
          </w:tcPr>
          <w:p>
            <w:pPr>
              <w:pStyle w:val="normal1"/>
              <w:shd w:val="clear" w:fill="auto"/>
              <w:spacing w:lineRule="auto" w:line="300"/>
              <w:jc w:val="center"/>
              <w:rPr>
                <w:rFonts w:ascii="Arial" w:hAnsi="Arial" w:eastAsia="Arial" w:cs="Arial"/>
                <w:sz w:val="14"/>
                <w:szCs w:val="14"/>
              </w:rPr>
            </w:pPr>
            <w:r>
              <w:rPr>
                <w:rFonts w:eastAsia="Arial" w:cs="Arial"/>
                <w:sz w:val="14"/>
                <w:szCs w:val="14"/>
              </w:rPr>
              <w:t>CPMK061 (3%)</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CPMK065 (3%)</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CPMK066 (3%)</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CPMK091 (2%)</w:t>
            </w:r>
          </w:p>
          <w:p>
            <w:pPr>
              <w:pStyle w:val="normal1"/>
              <w:shd w:val="clear" w:fill="auto"/>
              <w:spacing w:lineRule="auto" w:line="300"/>
              <w:jc w:val="center"/>
              <w:rPr>
                <w:rFonts w:ascii="Arial" w:hAnsi="Arial" w:eastAsia="Arial" w:cs="Arial"/>
                <w:sz w:val="14"/>
                <w:szCs w:val="14"/>
              </w:rPr>
            </w:pPr>
            <w:r>
              <w:rPr>
                <w:rFonts w:eastAsia="Arial" w:cs="Arial"/>
                <w:sz w:val="14"/>
                <w:szCs w:val="14"/>
              </w:rPr>
              <w:t>CPMK092 (3%)</w:t>
            </w:r>
          </w:p>
          <w:p>
            <w:pPr>
              <w:pStyle w:val="normal1"/>
              <w:shd w:val="clear" w:fill="auto"/>
              <w:spacing w:lineRule="auto" w:line="300" w:before="120" w:after="120"/>
              <w:jc w:val="center"/>
              <w:rPr>
                <w:rFonts w:ascii="Arial" w:hAnsi="Arial" w:eastAsia="Arial" w:cs="Arial"/>
                <w:sz w:val="14"/>
                <w:szCs w:val="14"/>
              </w:rPr>
            </w:pPr>
            <w:r>
              <w:rPr>
                <w:rFonts w:eastAsia="Arial" w:cs="Arial"/>
                <w:sz w:val="14"/>
                <w:szCs w:val="14"/>
              </w:rPr>
              <w:t>CPMK093 (2%)</w:t>
            </w:r>
          </w:p>
        </w:tc>
      </w:tr>
      <w:tr>
        <w:trPr/>
        <w:tc>
          <w:tcPr>
            <w:tcW w:w="7488" w:type="dxa"/>
            <w:gridSpan w:val="4"/>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TOTAL BOBOT KESELURUHAN</w:t>
            </w:r>
          </w:p>
        </w:tc>
        <w:tc>
          <w:tcPr>
            <w:tcW w:w="747"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100 %</w:t>
            </w:r>
          </w:p>
        </w:tc>
        <w:tc>
          <w:tcPr>
            <w:tcW w:w="1125"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b/>
                <w:bCs/>
                <w:sz w:val="16"/>
                <w:szCs w:val="16"/>
                <w:shd w:fill="auto" w:val="clear"/>
              </w:rPr>
            </w:pPr>
            <w:r>
              <w:rPr>
                <w:rFonts w:eastAsia="Arial" w:cs="Arial"/>
                <w:b/>
                <w:bCs/>
                <w:sz w:val="16"/>
                <w:szCs w:val="16"/>
                <w:shd w:fill="auto" w:val="clear"/>
              </w:rPr>
              <w:t>6 CPMK Terpenuhi</w:t>
            </w:r>
          </w:p>
        </w:tc>
      </w:tr>
    </w:tbl>
    <w:p>
      <w:pPr>
        <w:pStyle w:val="Heading3"/>
        <w:shd w:val="clear" w:fill="auto"/>
        <w:spacing w:lineRule="auto" w:line="240" w:before="375" w:after="120"/>
        <w:rPr>
          <w:rFonts w:ascii="Arial" w:hAnsi="Arial" w:eastAsia="Arial" w:cs="Arial"/>
          <w:color w:val="1A365D"/>
          <w:sz w:val="18"/>
          <w:szCs w:val="18"/>
        </w:rPr>
      </w:pPr>
      <w:r>
        <w:rPr>
          <w:rFonts w:eastAsia="Arial" w:cs="Arial"/>
          <w:color w:val="1A365D"/>
          <w:sz w:val="18"/>
          <w:szCs w:val="18"/>
        </w:rPr>
        <w:t>VII. PERINGKAT NILAI (GRADING SCALE)</w:t>
      </w:r>
    </w:p>
    <w:tbl>
      <w:tblPr>
        <w:tblStyle w:val="Table7"/>
        <w:tblW w:w="6552" w:type="dxa"/>
        <w:jc w:val="start"/>
        <w:tblInd w:w="0" w:type="dxa"/>
        <w:tblLayout w:type="fixed"/>
        <w:tblCellMar>
          <w:top w:w="120" w:type="dxa"/>
          <w:start w:w="120" w:type="dxa"/>
          <w:bottom w:w="120" w:type="dxa"/>
          <w:end w:w="120" w:type="dxa"/>
        </w:tblCellMar>
        <w:tblLook w:val="0600"/>
      </w:tblPr>
      <w:tblGrid>
        <w:gridCol w:w="1966"/>
        <w:gridCol w:w="1310"/>
        <w:gridCol w:w="1309"/>
        <w:gridCol w:w="1967"/>
      </w:tblGrid>
      <w:tr>
        <w:trPr>
          <w:tblHeader w:val="true"/>
        </w:trPr>
        <w:tc>
          <w:tcPr>
            <w:tcW w:w="1966"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Rentang Skor Akhir</w:t>
            </w:r>
          </w:p>
        </w:tc>
        <w:tc>
          <w:tcPr>
            <w:tcW w:w="1310"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Nilai Huruf</w:t>
            </w:r>
          </w:p>
        </w:tc>
        <w:tc>
          <w:tcPr>
            <w:tcW w:w="1309"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Bobot Mutu</w:t>
            </w:r>
          </w:p>
        </w:tc>
        <w:tc>
          <w:tcPr>
            <w:tcW w:w="1967" w:type="dxa"/>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Status Kelulusan</w:t>
            </w:r>
          </w:p>
          <w:p>
            <w:pPr>
              <w:pStyle w:val="normal1"/>
              <w:keepNext w:val="false"/>
              <w:keepLines w:val="false"/>
              <w:widowControl w:val="false"/>
              <w:shd w:val="clear" w:fill="auto"/>
              <w:spacing w:lineRule="auto" w:line="240" w:before="0" w:after="0"/>
              <w:ind w:hanging="0" w:start="0" w:end="0"/>
              <w:jc w:val="start"/>
              <w:rPr>
                <w:rFonts w:ascii="Arial" w:hAnsi="Arial" w:eastAsia="Arial" w:cs="Arial"/>
                <w:sz w:val="16"/>
                <w:szCs w:val="16"/>
              </w:rPr>
            </w:pPr>
            <w:r>
              <w:rPr>
                <w:rFonts w:eastAsia="Arial" w:cs="Arial"/>
                <w:sz w:val="16"/>
                <w:szCs w:val="16"/>
              </w:rPr>
              <w:t xml:space="preserve"> </w:t>
            </w:r>
          </w:p>
        </w:tc>
      </w:tr>
      <w:tr>
        <w:trPr/>
        <w:tc>
          <w:tcPr>
            <w:tcW w:w="1966"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85.00 – 100.00</w:t>
            </w:r>
          </w:p>
        </w:tc>
        <w:tc>
          <w:tcPr>
            <w:tcW w:w="131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sz w:val="16"/>
                <w:szCs w:val="16"/>
              </w:rPr>
            </w:pPr>
            <w:r>
              <w:rPr>
                <w:rFonts w:eastAsia="Arial" w:cs="Arial"/>
                <w:b/>
                <w:bCs/>
                <w:sz w:val="16"/>
                <w:szCs w:val="16"/>
              </w:rPr>
              <w:t>A</w:t>
            </w:r>
          </w:p>
        </w:tc>
        <w:tc>
          <w:tcPr>
            <w:tcW w:w="1309"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4.00</w:t>
            </w:r>
          </w:p>
        </w:tc>
        <w:tc>
          <w:tcPr>
            <w:tcW w:w="1967"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22543D"/>
                <w:sz w:val="16"/>
                <w:szCs w:val="16"/>
              </w:rPr>
            </w:pPr>
            <w:r>
              <w:rPr>
                <w:rFonts w:eastAsia="Arial" w:cs="Arial"/>
                <w:b/>
                <w:bCs/>
                <w:color w:val="22543D"/>
                <w:sz w:val="16"/>
                <w:szCs w:val="16"/>
              </w:rPr>
              <w:t>Lulus (Istimewa)</w:t>
            </w:r>
          </w:p>
        </w:tc>
      </w:tr>
      <w:tr>
        <w:trPr/>
        <w:tc>
          <w:tcPr>
            <w:tcW w:w="1966"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80.00 – 84.99</w:t>
            </w:r>
          </w:p>
        </w:tc>
        <w:tc>
          <w:tcPr>
            <w:tcW w:w="131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sz w:val="16"/>
                <w:szCs w:val="16"/>
                <w:shd w:fill="auto" w:val="clear"/>
              </w:rPr>
            </w:pPr>
            <w:r>
              <w:rPr>
                <w:rFonts w:eastAsia="Arial" w:cs="Arial"/>
                <w:b/>
                <w:bCs/>
                <w:sz w:val="16"/>
                <w:szCs w:val="16"/>
                <w:shd w:fill="auto" w:val="clear"/>
              </w:rPr>
              <w:t>A-</w:t>
            </w:r>
          </w:p>
        </w:tc>
        <w:tc>
          <w:tcPr>
            <w:tcW w:w="1309"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3.75</w:t>
            </w:r>
          </w:p>
        </w:tc>
        <w:tc>
          <w:tcPr>
            <w:tcW w:w="1967"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22543D"/>
                <w:sz w:val="16"/>
                <w:szCs w:val="16"/>
                <w:shd w:fill="auto" w:val="clear"/>
              </w:rPr>
            </w:pPr>
            <w:r>
              <w:rPr>
                <w:rFonts w:eastAsia="Arial" w:cs="Arial"/>
                <w:b/>
                <w:bCs/>
                <w:color w:val="22543D"/>
                <w:sz w:val="16"/>
                <w:szCs w:val="16"/>
                <w:shd w:fill="auto" w:val="clear"/>
              </w:rPr>
              <w:t>Lulus (Sangat Baik)</w:t>
            </w:r>
          </w:p>
        </w:tc>
      </w:tr>
      <w:tr>
        <w:trPr/>
        <w:tc>
          <w:tcPr>
            <w:tcW w:w="1966"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75.00 – 79.99</w:t>
            </w:r>
          </w:p>
        </w:tc>
        <w:tc>
          <w:tcPr>
            <w:tcW w:w="131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sz w:val="16"/>
                <w:szCs w:val="16"/>
              </w:rPr>
            </w:pPr>
            <w:r>
              <w:rPr>
                <w:rFonts w:eastAsia="Arial" w:cs="Arial"/>
                <w:b/>
                <w:bCs/>
                <w:sz w:val="16"/>
                <w:szCs w:val="16"/>
              </w:rPr>
              <w:t>B+</w:t>
            </w:r>
          </w:p>
        </w:tc>
        <w:tc>
          <w:tcPr>
            <w:tcW w:w="1309"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3.25</w:t>
            </w:r>
          </w:p>
        </w:tc>
        <w:tc>
          <w:tcPr>
            <w:tcW w:w="1967"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2B6CB0"/>
                <w:sz w:val="16"/>
                <w:szCs w:val="16"/>
              </w:rPr>
            </w:pPr>
            <w:r>
              <w:rPr>
                <w:rFonts w:eastAsia="Arial" w:cs="Arial"/>
                <w:b/>
                <w:bCs/>
                <w:color w:val="2B6CB0"/>
                <w:sz w:val="16"/>
                <w:szCs w:val="16"/>
              </w:rPr>
              <w:t>Lulus (Baik Sekali)</w:t>
            </w:r>
          </w:p>
        </w:tc>
      </w:tr>
      <w:tr>
        <w:trPr/>
        <w:tc>
          <w:tcPr>
            <w:tcW w:w="1966"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70.00 – 74.99</w:t>
            </w:r>
          </w:p>
        </w:tc>
        <w:tc>
          <w:tcPr>
            <w:tcW w:w="131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sz w:val="16"/>
                <w:szCs w:val="16"/>
                <w:shd w:fill="auto" w:val="clear"/>
              </w:rPr>
            </w:pPr>
            <w:r>
              <w:rPr>
                <w:rFonts w:eastAsia="Arial" w:cs="Arial"/>
                <w:b/>
                <w:bCs/>
                <w:sz w:val="16"/>
                <w:szCs w:val="16"/>
                <w:shd w:fill="auto" w:val="clear"/>
              </w:rPr>
              <w:t>B</w:t>
            </w:r>
          </w:p>
        </w:tc>
        <w:tc>
          <w:tcPr>
            <w:tcW w:w="1309"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3.00</w:t>
            </w:r>
          </w:p>
        </w:tc>
        <w:tc>
          <w:tcPr>
            <w:tcW w:w="1967"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2B6CB0"/>
                <w:sz w:val="16"/>
                <w:szCs w:val="16"/>
                <w:shd w:fill="auto" w:val="clear"/>
              </w:rPr>
            </w:pPr>
            <w:r>
              <w:rPr>
                <w:rFonts w:eastAsia="Arial" w:cs="Arial"/>
                <w:b/>
                <w:bCs/>
                <w:color w:val="2B6CB0"/>
                <w:sz w:val="16"/>
                <w:szCs w:val="16"/>
                <w:shd w:fill="auto" w:val="clear"/>
              </w:rPr>
              <w:t>Lulus (Baik)</w:t>
            </w:r>
          </w:p>
        </w:tc>
      </w:tr>
      <w:tr>
        <w:trPr/>
        <w:tc>
          <w:tcPr>
            <w:tcW w:w="1966"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65.00 – 69.99</w:t>
            </w:r>
          </w:p>
        </w:tc>
        <w:tc>
          <w:tcPr>
            <w:tcW w:w="131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sz w:val="16"/>
                <w:szCs w:val="16"/>
              </w:rPr>
            </w:pPr>
            <w:r>
              <w:rPr>
                <w:rFonts w:eastAsia="Arial" w:cs="Arial"/>
                <w:b/>
                <w:bCs/>
                <w:sz w:val="16"/>
                <w:szCs w:val="16"/>
              </w:rPr>
              <w:t>B-</w:t>
            </w:r>
          </w:p>
        </w:tc>
        <w:tc>
          <w:tcPr>
            <w:tcW w:w="1309"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2.75</w:t>
            </w:r>
          </w:p>
        </w:tc>
        <w:tc>
          <w:tcPr>
            <w:tcW w:w="1967"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color w:val="744210"/>
                <w:sz w:val="16"/>
                <w:szCs w:val="16"/>
              </w:rPr>
            </w:pPr>
            <w:r>
              <w:rPr>
                <w:rFonts w:eastAsia="Arial" w:cs="Arial"/>
                <w:color w:val="744210"/>
                <w:sz w:val="16"/>
                <w:szCs w:val="16"/>
              </w:rPr>
              <w:t>Lulus (Cukup Baik)</w:t>
            </w:r>
          </w:p>
        </w:tc>
      </w:tr>
      <w:tr>
        <w:trPr/>
        <w:tc>
          <w:tcPr>
            <w:tcW w:w="1966"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60.00 – 64.99</w:t>
            </w:r>
          </w:p>
        </w:tc>
        <w:tc>
          <w:tcPr>
            <w:tcW w:w="131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sz w:val="16"/>
                <w:szCs w:val="16"/>
                <w:shd w:fill="auto" w:val="clear"/>
              </w:rPr>
            </w:pPr>
            <w:r>
              <w:rPr>
                <w:rFonts w:eastAsia="Arial" w:cs="Arial"/>
                <w:b/>
                <w:bCs/>
                <w:sz w:val="16"/>
                <w:szCs w:val="16"/>
                <w:shd w:fill="auto" w:val="clear"/>
              </w:rPr>
              <w:t>C+</w:t>
            </w:r>
          </w:p>
        </w:tc>
        <w:tc>
          <w:tcPr>
            <w:tcW w:w="1309"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2.25</w:t>
            </w:r>
          </w:p>
        </w:tc>
        <w:tc>
          <w:tcPr>
            <w:tcW w:w="1967"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color w:val="744210"/>
                <w:sz w:val="16"/>
                <w:szCs w:val="16"/>
                <w:shd w:fill="auto" w:val="clear"/>
              </w:rPr>
            </w:pPr>
            <w:r>
              <w:rPr>
                <w:rFonts w:eastAsia="Arial" w:cs="Arial"/>
                <w:color w:val="744210"/>
                <w:sz w:val="16"/>
                <w:szCs w:val="16"/>
                <w:shd w:fill="auto" w:val="clear"/>
              </w:rPr>
              <w:t>Lulus (Cukup)</w:t>
            </w:r>
          </w:p>
        </w:tc>
      </w:tr>
      <w:tr>
        <w:trPr/>
        <w:tc>
          <w:tcPr>
            <w:tcW w:w="1966"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55.00 – 59.99</w:t>
            </w:r>
          </w:p>
        </w:tc>
        <w:tc>
          <w:tcPr>
            <w:tcW w:w="131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sz w:val="16"/>
                <w:szCs w:val="16"/>
              </w:rPr>
            </w:pPr>
            <w:r>
              <w:rPr>
                <w:rFonts w:eastAsia="Arial" w:cs="Arial"/>
                <w:b/>
                <w:bCs/>
                <w:sz w:val="16"/>
                <w:szCs w:val="16"/>
              </w:rPr>
              <w:t>C</w:t>
            </w:r>
          </w:p>
        </w:tc>
        <w:tc>
          <w:tcPr>
            <w:tcW w:w="1309"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2.00</w:t>
            </w:r>
          </w:p>
        </w:tc>
        <w:tc>
          <w:tcPr>
            <w:tcW w:w="1967"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color w:val="744210"/>
                <w:sz w:val="16"/>
                <w:szCs w:val="16"/>
              </w:rPr>
            </w:pPr>
            <w:r>
              <w:rPr>
                <w:rFonts w:eastAsia="Arial" w:cs="Arial"/>
                <w:color w:val="744210"/>
                <w:sz w:val="16"/>
                <w:szCs w:val="16"/>
              </w:rPr>
              <w:t>Lulus (Kurang Cukup)</w:t>
            </w:r>
          </w:p>
        </w:tc>
      </w:tr>
      <w:tr>
        <w:trPr/>
        <w:tc>
          <w:tcPr>
            <w:tcW w:w="1966"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45.00 – 54.99</w:t>
            </w:r>
          </w:p>
        </w:tc>
        <w:tc>
          <w:tcPr>
            <w:tcW w:w="1310"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C53030"/>
                <w:sz w:val="16"/>
                <w:szCs w:val="16"/>
                <w:shd w:fill="auto" w:val="clear"/>
              </w:rPr>
            </w:pPr>
            <w:r>
              <w:rPr>
                <w:rFonts w:eastAsia="Arial" w:cs="Arial"/>
                <w:b/>
                <w:bCs/>
                <w:color w:val="C53030"/>
                <w:sz w:val="16"/>
                <w:szCs w:val="16"/>
                <w:shd w:fill="auto" w:val="clear"/>
              </w:rPr>
              <w:t>D</w:t>
            </w:r>
          </w:p>
        </w:tc>
        <w:tc>
          <w:tcPr>
            <w:tcW w:w="1309"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color w:val="C53030"/>
                <w:sz w:val="16"/>
                <w:szCs w:val="16"/>
                <w:shd w:fill="auto" w:val="clear"/>
              </w:rPr>
            </w:pPr>
            <w:r>
              <w:rPr>
                <w:rFonts w:eastAsia="Arial" w:cs="Arial"/>
                <w:color w:val="C53030"/>
                <w:sz w:val="16"/>
                <w:szCs w:val="16"/>
                <w:shd w:fill="auto" w:val="clear"/>
              </w:rPr>
              <w:t>1.00</w:t>
            </w:r>
          </w:p>
        </w:tc>
        <w:tc>
          <w:tcPr>
            <w:tcW w:w="1967"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C53030"/>
                <w:sz w:val="16"/>
                <w:szCs w:val="16"/>
                <w:shd w:fill="auto" w:val="clear"/>
              </w:rPr>
            </w:pPr>
            <w:r>
              <w:rPr>
                <w:rFonts w:eastAsia="Arial" w:cs="Arial"/>
                <w:b/>
                <w:bCs/>
                <w:color w:val="C53030"/>
                <w:sz w:val="16"/>
                <w:szCs w:val="16"/>
                <w:shd w:fill="auto" w:val="clear"/>
              </w:rPr>
              <w:t>Tidak Lulus (Kurang)</w:t>
            </w:r>
          </w:p>
        </w:tc>
      </w:tr>
      <w:tr>
        <w:trPr/>
        <w:tc>
          <w:tcPr>
            <w:tcW w:w="1966"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0.00 – 44.99</w:t>
            </w:r>
          </w:p>
        </w:tc>
        <w:tc>
          <w:tcPr>
            <w:tcW w:w="1310"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C53030"/>
                <w:sz w:val="16"/>
                <w:szCs w:val="16"/>
                <w:shd w:fill="auto" w:val="clear"/>
              </w:rPr>
            </w:pPr>
            <w:r>
              <w:rPr>
                <w:rFonts w:eastAsia="Arial" w:cs="Arial"/>
                <w:b/>
                <w:bCs/>
                <w:color w:val="C53030"/>
                <w:sz w:val="16"/>
                <w:szCs w:val="16"/>
                <w:shd w:fill="auto" w:val="clear"/>
              </w:rPr>
              <w:t>E</w:t>
            </w:r>
          </w:p>
        </w:tc>
        <w:tc>
          <w:tcPr>
            <w:tcW w:w="1309"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color w:val="C53030"/>
                <w:sz w:val="16"/>
                <w:szCs w:val="16"/>
                <w:shd w:fill="auto" w:val="clear"/>
              </w:rPr>
            </w:pPr>
            <w:r>
              <w:rPr>
                <w:rFonts w:eastAsia="Arial" w:cs="Arial"/>
                <w:color w:val="C53030"/>
                <w:sz w:val="16"/>
                <w:szCs w:val="16"/>
                <w:shd w:fill="auto" w:val="clear"/>
              </w:rPr>
              <w:t>0.00</w:t>
            </w:r>
          </w:p>
        </w:tc>
        <w:tc>
          <w:tcPr>
            <w:tcW w:w="1967"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C53030"/>
                <w:sz w:val="16"/>
                <w:szCs w:val="16"/>
                <w:shd w:fill="auto" w:val="clear"/>
              </w:rPr>
            </w:pPr>
            <w:r>
              <w:rPr>
                <w:rFonts w:eastAsia="Arial" w:cs="Arial"/>
                <w:b/>
                <w:bCs/>
                <w:color w:val="C53030"/>
                <w:sz w:val="16"/>
                <w:szCs w:val="16"/>
                <w:shd w:fill="auto" w:val="clear"/>
              </w:rPr>
              <w:t>Tidak Lulus (Gagal)</w:t>
            </w:r>
          </w:p>
        </w:tc>
      </w:tr>
    </w:tbl>
    <w:p>
      <w:pPr>
        <w:pStyle w:val="Heading3"/>
        <w:shd w:val="clear" w:fill="auto"/>
        <w:spacing w:lineRule="auto" w:line="240" w:before="375" w:after="120"/>
        <w:rPr>
          <w:rFonts w:ascii="Arial" w:hAnsi="Arial" w:eastAsia="Arial" w:cs="Arial"/>
          <w:color w:val="1A365D"/>
          <w:sz w:val="18"/>
          <w:szCs w:val="18"/>
        </w:rPr>
      </w:pPr>
      <w:r>
        <w:rPr>
          <w:rFonts w:eastAsia="Arial" w:cs="Arial"/>
          <w:color w:val="1A365D"/>
          <w:sz w:val="18"/>
          <w:szCs w:val="18"/>
        </w:rPr>
        <w:t>VIII. REFERENSI &amp; SUMBER BELAJAR</w:t>
      </w:r>
    </w:p>
    <w:p>
      <w:pPr>
        <w:pStyle w:val="normal1"/>
        <w:shd w:val="clear" w:fill="auto"/>
        <w:spacing w:lineRule="auto" w:line="240" w:before="0" w:after="75"/>
        <w:rPr>
          <w:rFonts w:ascii="Arial" w:hAnsi="Arial" w:eastAsia="Arial" w:cs="Arial"/>
          <w:b/>
          <w:bCs/>
          <w:color w:val="1A365D"/>
          <w:sz w:val="16"/>
          <w:szCs w:val="16"/>
        </w:rPr>
      </w:pPr>
      <w:r>
        <w:rPr>
          <w:rFonts w:eastAsia="Arial" w:cs="Arial"/>
          <w:b/>
          <w:bCs/>
          <w:color w:val="1A365D"/>
          <w:sz w:val="16"/>
          <w:szCs w:val="16"/>
        </w:rPr>
        <w:t>Buku Wajib / Utama:</w:t>
      </w:r>
    </w:p>
    <w:p>
      <w:pPr>
        <w:pStyle w:val="normal1"/>
        <w:numPr>
          <w:ilvl w:val="0"/>
          <w:numId w:val="2"/>
        </w:numPr>
        <w:shd w:val="clear" w:fill="auto"/>
        <w:spacing w:lineRule="auto" w:line="324"/>
        <w:ind w:hanging="360" w:start="600"/>
        <w:rPr/>
      </w:pPr>
      <w:r>
        <w:rPr>
          <w:rFonts w:eastAsia="Arial" w:cs="Arial"/>
          <w:b/>
          <w:bCs/>
          <w:sz w:val="16"/>
          <w:szCs w:val="16"/>
        </w:rPr>
        <w:t>[1] Carrier, B. (2005).</w:t>
      </w:r>
      <w:r>
        <w:rPr>
          <w:rFonts w:eastAsia="Arial" w:cs="Arial"/>
          <w:sz w:val="16"/>
          <w:szCs w:val="16"/>
        </w:rPr>
        <w:t xml:space="preserve"> </w:t>
      </w:r>
      <w:r>
        <w:rPr>
          <w:rFonts w:eastAsia="Arial" w:cs="Arial"/>
          <w:i/>
          <w:iCs/>
          <w:sz w:val="16"/>
          <w:szCs w:val="16"/>
        </w:rPr>
        <w:t>File System Forensic Analysis</w:t>
      </w:r>
      <w:r>
        <w:rPr>
          <w:rFonts w:eastAsia="Arial" w:cs="Arial"/>
          <w:sz w:val="16"/>
          <w:szCs w:val="16"/>
        </w:rPr>
        <w:t>. Boston: Addison-Wesley Professional.</w:t>
      </w:r>
    </w:p>
    <w:p>
      <w:pPr>
        <w:pStyle w:val="normal1"/>
        <w:numPr>
          <w:ilvl w:val="0"/>
          <w:numId w:val="2"/>
        </w:numPr>
        <w:shd w:val="clear" w:fill="auto"/>
        <w:spacing w:lineRule="auto" w:line="324"/>
        <w:ind w:hanging="360" w:start="600"/>
        <w:rPr/>
      </w:pPr>
      <w:r>
        <w:rPr>
          <w:rFonts w:eastAsia="Arial" w:cs="Arial"/>
          <w:b/>
          <w:bCs/>
          <w:sz w:val="16"/>
          <w:szCs w:val="16"/>
        </w:rPr>
        <w:t>[2] Nelson, B., Phillips, A., &amp; Steuart, C. (2018).</w:t>
      </w:r>
      <w:r>
        <w:rPr>
          <w:rFonts w:eastAsia="Arial" w:cs="Arial"/>
          <w:sz w:val="16"/>
          <w:szCs w:val="16"/>
        </w:rPr>
        <w:t xml:space="preserve"> </w:t>
      </w:r>
      <w:r>
        <w:rPr>
          <w:rFonts w:eastAsia="Arial" w:cs="Arial"/>
          <w:i/>
          <w:iCs/>
          <w:sz w:val="16"/>
          <w:szCs w:val="16"/>
        </w:rPr>
        <w:t>Guide to Computer Forensics and Investigations: Processing Digital Evidence</w:t>
      </w:r>
      <w:r>
        <w:rPr>
          <w:rFonts w:eastAsia="Arial" w:cs="Arial"/>
          <w:sz w:val="16"/>
          <w:szCs w:val="16"/>
        </w:rPr>
        <w:t xml:space="preserve"> (6th Edition). Boston: Cengage Learning.</w:t>
      </w:r>
    </w:p>
    <w:p>
      <w:pPr>
        <w:pStyle w:val="normal1"/>
        <w:numPr>
          <w:ilvl w:val="0"/>
          <w:numId w:val="2"/>
        </w:numPr>
        <w:shd w:val="clear" w:fill="auto"/>
        <w:spacing w:lineRule="auto" w:line="324"/>
        <w:ind w:hanging="360" w:start="600"/>
        <w:rPr/>
      </w:pPr>
      <w:r>
        <w:rPr>
          <w:rFonts w:eastAsia="Arial" w:cs="Arial"/>
          <w:b/>
          <w:bCs/>
          <w:sz w:val="16"/>
          <w:szCs w:val="16"/>
        </w:rPr>
        <w:t>[3] Luttgens, J. T., Pepe, M., &amp; Mandia, K. (2014).</w:t>
      </w:r>
      <w:r>
        <w:rPr>
          <w:rFonts w:eastAsia="Arial" w:cs="Arial"/>
          <w:sz w:val="16"/>
          <w:szCs w:val="16"/>
        </w:rPr>
        <w:t xml:space="preserve"> </w:t>
      </w:r>
      <w:r>
        <w:rPr>
          <w:rFonts w:eastAsia="Arial" w:cs="Arial"/>
          <w:i/>
          <w:iCs/>
          <w:sz w:val="16"/>
          <w:szCs w:val="16"/>
        </w:rPr>
        <w:t>Incident Response &amp; Computer Forensics</w:t>
      </w:r>
      <w:r>
        <w:rPr>
          <w:rFonts w:eastAsia="Arial" w:cs="Arial"/>
          <w:sz w:val="16"/>
          <w:szCs w:val="16"/>
        </w:rPr>
        <w:t xml:space="preserve"> (3rd Edition). New York: McGraw-Hill Education.</w:t>
      </w:r>
    </w:p>
    <w:p>
      <w:pPr>
        <w:pStyle w:val="normal1"/>
        <w:numPr>
          <w:ilvl w:val="0"/>
          <w:numId w:val="2"/>
        </w:numPr>
        <w:shd w:val="clear" w:fill="auto"/>
        <w:spacing w:lineRule="auto" w:line="324"/>
        <w:ind w:hanging="360" w:start="600"/>
        <w:rPr/>
      </w:pPr>
      <w:r>
        <w:rPr>
          <w:rFonts w:eastAsia="Arial" w:cs="Arial"/>
          <w:b/>
          <w:bCs/>
          <w:sz w:val="16"/>
          <w:szCs w:val="16"/>
        </w:rPr>
        <w:t>[4] Casey, E. (2011).</w:t>
      </w:r>
      <w:r>
        <w:rPr>
          <w:rFonts w:eastAsia="Arial" w:cs="Arial"/>
          <w:sz w:val="16"/>
          <w:szCs w:val="16"/>
        </w:rPr>
        <w:t xml:space="preserve"> </w:t>
      </w:r>
      <w:r>
        <w:rPr>
          <w:rFonts w:eastAsia="Arial" w:cs="Arial"/>
          <w:i/>
          <w:iCs/>
          <w:sz w:val="16"/>
          <w:szCs w:val="16"/>
        </w:rPr>
        <w:t>Digital Evidence and Computer Crime: Forensic Science, Computers, and the Internet</w:t>
      </w:r>
      <w:r>
        <w:rPr>
          <w:rFonts w:eastAsia="Arial" w:cs="Arial"/>
          <w:sz w:val="16"/>
          <w:szCs w:val="16"/>
        </w:rPr>
        <w:t xml:space="preserve"> (3rd Edition). London: Academic Press.</w:t>
      </w:r>
    </w:p>
    <w:p>
      <w:pPr>
        <w:pStyle w:val="normal1"/>
        <w:shd w:val="clear" w:fill="auto"/>
        <w:spacing w:lineRule="auto" w:line="240" w:before="225" w:after="75"/>
        <w:rPr>
          <w:rFonts w:ascii="Arial" w:hAnsi="Arial" w:eastAsia="Arial" w:cs="Arial"/>
          <w:b/>
          <w:bCs/>
          <w:color w:val="1A365D"/>
          <w:sz w:val="16"/>
          <w:szCs w:val="16"/>
        </w:rPr>
      </w:pPr>
      <w:r>
        <w:rPr>
          <w:rFonts w:eastAsia="Arial" w:cs="Arial"/>
          <w:b/>
          <w:bCs/>
          <w:color w:val="1A365D"/>
          <w:sz w:val="16"/>
          <w:szCs w:val="16"/>
        </w:rPr>
        <w:t>Buku yang Direkomendasikan / Pustaka Pendukung:</w:t>
      </w:r>
    </w:p>
    <w:p>
      <w:pPr>
        <w:pStyle w:val="normal1"/>
        <w:numPr>
          <w:ilvl w:val="0"/>
          <w:numId w:val="3"/>
        </w:numPr>
        <w:shd w:val="clear" w:fill="auto"/>
        <w:spacing w:lineRule="auto" w:line="324"/>
        <w:ind w:hanging="360" w:start="600"/>
        <w:rPr/>
      </w:pPr>
      <w:r>
        <w:rPr>
          <w:rFonts w:eastAsia="Arial" w:cs="Arial"/>
          <w:b/>
          <w:bCs/>
          <w:sz w:val="16"/>
          <w:szCs w:val="16"/>
        </w:rPr>
        <w:t>[5] National Institute of Standards and Technology (NIST). (2006).</w:t>
      </w:r>
      <w:r>
        <w:rPr>
          <w:rFonts w:eastAsia="Arial" w:cs="Arial"/>
          <w:sz w:val="16"/>
          <w:szCs w:val="16"/>
        </w:rPr>
        <w:t xml:space="preserve"> </w:t>
      </w:r>
      <w:r>
        <w:rPr>
          <w:rFonts w:eastAsia="Arial" w:cs="Arial"/>
          <w:i/>
          <w:iCs/>
          <w:sz w:val="16"/>
          <w:szCs w:val="16"/>
        </w:rPr>
        <w:t>NIST SP 800-86: Guide to Integrating Forensic Techniques into Incident Response</w:t>
      </w:r>
      <w:r>
        <w:rPr>
          <w:rFonts w:eastAsia="Arial" w:cs="Arial"/>
          <w:sz w:val="16"/>
          <w:szCs w:val="16"/>
        </w:rPr>
        <w:t>. Gaithersburg, MD: NIST.</w:t>
      </w:r>
    </w:p>
    <w:p>
      <w:pPr>
        <w:pStyle w:val="normal1"/>
        <w:numPr>
          <w:ilvl w:val="0"/>
          <w:numId w:val="3"/>
        </w:numPr>
        <w:shd w:val="clear" w:fill="auto"/>
        <w:spacing w:lineRule="auto" w:line="324"/>
        <w:ind w:hanging="360" w:start="600"/>
        <w:rPr/>
      </w:pPr>
      <w:r>
        <w:rPr>
          <w:rFonts w:eastAsia="Arial" w:cs="Arial"/>
          <w:b/>
          <w:bCs/>
          <w:sz w:val="16"/>
          <w:szCs w:val="16"/>
        </w:rPr>
        <w:t>[6] Altheide, C., &amp; Carvey, H. (2011).</w:t>
      </w:r>
      <w:r>
        <w:rPr>
          <w:rFonts w:eastAsia="Arial" w:cs="Arial"/>
          <w:sz w:val="16"/>
          <w:szCs w:val="16"/>
        </w:rPr>
        <w:t xml:space="preserve"> </w:t>
      </w:r>
      <w:r>
        <w:rPr>
          <w:rFonts w:eastAsia="Arial" w:cs="Arial"/>
          <w:i/>
          <w:iCs/>
          <w:sz w:val="16"/>
          <w:szCs w:val="16"/>
        </w:rPr>
        <w:t>Digital Forensics with Open Source Tools</w:t>
      </w:r>
      <w:r>
        <w:rPr>
          <w:rFonts w:eastAsia="Arial" w:cs="Arial"/>
          <w:sz w:val="16"/>
          <w:szCs w:val="16"/>
        </w:rPr>
        <w:t>. Burlington, MA: Syngress / Elsevier.</w:t>
      </w:r>
    </w:p>
    <w:p>
      <w:pPr>
        <w:pStyle w:val="normal1"/>
        <w:numPr>
          <w:ilvl w:val="0"/>
          <w:numId w:val="3"/>
        </w:numPr>
        <w:shd w:val="clear" w:fill="auto"/>
        <w:spacing w:lineRule="auto" w:line="324"/>
        <w:ind w:hanging="360" w:start="600"/>
        <w:rPr/>
      </w:pPr>
      <w:r>
        <w:rPr>
          <w:rFonts w:eastAsia="Arial" w:cs="Arial"/>
          <w:b/>
          <w:bCs/>
          <w:sz w:val="16"/>
          <w:szCs w:val="16"/>
        </w:rPr>
        <w:t>[7] Asosiasi Pendidikan Tinggi Informatika dan Komputer (APTIKOM). (2023).</w:t>
      </w:r>
      <w:r>
        <w:rPr>
          <w:rFonts w:eastAsia="Arial" w:cs="Arial"/>
          <w:sz w:val="16"/>
          <w:szCs w:val="16"/>
        </w:rPr>
        <w:t xml:space="preserve"> </w:t>
      </w:r>
      <w:r>
        <w:rPr>
          <w:rFonts w:eastAsia="Arial" w:cs="Arial"/>
          <w:i/>
          <w:iCs/>
          <w:sz w:val="16"/>
          <w:szCs w:val="16"/>
        </w:rPr>
        <w:t>Panduan Kurikulum Berbasis Outcome-Based Education (OBE) Program Studi Informatika/Ilmu Komputer</w:t>
      </w:r>
      <w:r>
        <w:rPr>
          <w:rFonts w:eastAsia="Arial" w:cs="Arial"/>
          <w:sz w:val="16"/>
          <w:szCs w:val="16"/>
        </w:rPr>
        <w:t>. Jakarta: APTIKOM Press.</w:t>
      </w:r>
    </w:p>
    <w:p>
      <w:pPr>
        <w:pStyle w:val="normal1"/>
        <w:numPr>
          <w:ilvl w:val="0"/>
          <w:numId w:val="3"/>
        </w:numPr>
        <w:shd w:val="clear" w:fill="auto"/>
        <w:spacing w:lineRule="auto" w:line="324"/>
        <w:ind w:hanging="360" w:start="600"/>
        <w:rPr/>
      </w:pPr>
      <w:r>
        <w:rPr>
          <w:rFonts w:eastAsia="Arial" w:cs="Arial"/>
          <w:b/>
          <w:bCs/>
          <w:sz w:val="16"/>
          <w:szCs w:val="16"/>
        </w:rPr>
        <w:t>[8] Pemerintah Republik Indonesia.</w:t>
      </w:r>
      <w:r>
        <w:rPr>
          <w:rFonts w:eastAsia="Arial" w:cs="Arial"/>
          <w:sz w:val="16"/>
          <w:szCs w:val="16"/>
        </w:rPr>
        <w:t xml:space="preserve"> </w:t>
      </w:r>
      <w:r>
        <w:rPr>
          <w:rFonts w:eastAsia="Arial" w:cs="Arial"/>
          <w:i/>
          <w:iCs/>
          <w:sz w:val="16"/>
          <w:szCs w:val="16"/>
        </w:rPr>
        <w:t>Undang-Undang Republik Indonesia Nomor 1 Tahun 2024 tentang Perubahan Kedua atas UU No. 11 Tahun 2008 tentang Informasi dan Transaksi Elektronik (UU ITE) &amp; UU No. 27 Tahun 2022 tentang Pelindungan Data Pribadi (UU PDP)</w:t>
      </w:r>
      <w:r>
        <w:rPr>
          <w:rFonts w:eastAsia="Arial" w:cs="Arial"/>
          <w:sz w:val="16"/>
          <w:szCs w:val="16"/>
        </w:rPr>
        <w:t>. Jakarta: Lembaran Negara RI.</w:t>
      </w:r>
    </w:p>
    <w:p>
      <w:pPr>
        <w:pStyle w:val="Heading3"/>
        <w:shd w:val="clear" w:fill="auto"/>
        <w:spacing w:lineRule="auto" w:line="240" w:before="375" w:after="120"/>
        <w:rPr>
          <w:rFonts w:ascii="Arial" w:hAnsi="Arial" w:eastAsia="Arial" w:cs="Arial"/>
          <w:color w:val="1A365D"/>
          <w:sz w:val="18"/>
          <w:szCs w:val="18"/>
        </w:rPr>
      </w:pPr>
      <w:r>
        <w:rPr>
          <w:rFonts w:eastAsia="Arial" w:cs="Arial"/>
          <w:color w:val="1A365D"/>
          <w:sz w:val="18"/>
          <w:szCs w:val="18"/>
        </w:rPr>
        <w:t>IX. PEMETAAN MATAKULIAH KE CAPAIAN PEMBELAJARAN LULUSAN (CPL) PROGRAM STUDI</w:t>
      </w:r>
    </w:p>
    <w:tbl>
      <w:tblPr>
        <w:tblStyle w:val="Table8"/>
        <w:tblW w:w="9360" w:type="dxa"/>
        <w:jc w:val="start"/>
        <w:tblInd w:w="0" w:type="dxa"/>
        <w:tblLayout w:type="fixed"/>
        <w:tblCellMar>
          <w:top w:w="120" w:type="dxa"/>
          <w:start w:w="120" w:type="dxa"/>
          <w:bottom w:w="120" w:type="dxa"/>
          <w:end w:w="120" w:type="dxa"/>
        </w:tblCellMar>
        <w:tblLook w:val="0600"/>
      </w:tblPr>
      <w:tblGrid>
        <w:gridCol w:w="3742"/>
        <w:gridCol w:w="560"/>
        <w:gridCol w:w="564"/>
        <w:gridCol w:w="560"/>
        <w:gridCol w:w="563"/>
        <w:gridCol w:w="562"/>
        <w:gridCol w:w="560"/>
        <w:gridCol w:w="563"/>
        <w:gridCol w:w="561"/>
        <w:gridCol w:w="563"/>
        <w:gridCol w:w="562"/>
      </w:tblGrid>
      <w:tr>
        <w:trPr>
          <w:tblHeader w:val="true"/>
        </w:trPr>
        <w:tc>
          <w:tcPr>
            <w:tcW w:w="3742" w:type="dxa"/>
            <w:vMerge w:val="restart"/>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Capaian Pembelajaran Mata Kuliah (CPMK)</w:t>
            </w:r>
          </w:p>
        </w:tc>
        <w:tc>
          <w:tcPr>
            <w:tcW w:w="5618" w:type="dxa"/>
            <w:gridSpan w:val="10"/>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jc w:val="center"/>
              <w:rPr>
                <w:rFonts w:ascii="Arial" w:hAnsi="Arial" w:eastAsia="Arial" w:cs="Arial"/>
                <w:color w:val="1A365D"/>
                <w:sz w:val="16"/>
                <w:szCs w:val="16"/>
                <w:shd w:fill="auto" w:val="clear"/>
              </w:rPr>
            </w:pPr>
            <w:r>
              <w:rPr>
                <w:rFonts w:eastAsia="Arial" w:cs="Arial"/>
                <w:color w:val="1A365D"/>
                <w:sz w:val="16"/>
                <w:szCs w:val="16"/>
                <w:shd w:fill="auto" w:val="clear"/>
              </w:rPr>
              <w:t>Capaian Pembelajaran Lulusan Program Studi (CPL PRODI)</w:t>
            </w:r>
          </w:p>
        </w:tc>
      </w:tr>
      <w:tr>
        <w:trPr>
          <w:tblHeader w:val="true"/>
        </w:trPr>
        <w:tc>
          <w:tcPr>
            <w:tcW w:w="3742" w:type="dxa"/>
            <w:vMerge w:val="continue"/>
            <w:tcBorders>
              <w:top w:val="single" w:sz="6" w:space="0" w:color="CBD5E0"/>
              <w:start w:val="single" w:sz="6" w:space="0" w:color="CBD5E0"/>
              <w:bottom w:val="single" w:sz="6" w:space="0" w:color="CBD5E0"/>
              <w:end w:val="single" w:sz="6" w:space="0" w:color="CBD5E0"/>
            </w:tcBorders>
            <w:shd w:fill="EDF2F7" w:val="clear"/>
          </w:tcPr>
          <w:p>
            <w:pPr>
              <w:pStyle w:val="normal1"/>
              <w:shd w:val="clear" w:fill="auto"/>
              <w:spacing w:lineRule="auto" w:line="300" w:before="120" w:after="120"/>
              <w:rPr>
                <w:rFonts w:ascii="Arial" w:hAnsi="Arial" w:eastAsia="Arial" w:cs="Arial"/>
                <w:color w:val="1A365D"/>
                <w:sz w:val="16"/>
                <w:szCs w:val="16"/>
                <w:shd w:fill="auto" w:val="clear"/>
              </w:rPr>
            </w:pPr>
            <w:r>
              <w:rPr>
                <w:rFonts w:eastAsia="Arial" w:cs="Arial"/>
                <w:color w:val="1A365D"/>
                <w:sz w:val="16"/>
                <w:szCs w:val="16"/>
                <w:shd w:fill="auto" w:val="clear"/>
              </w:rPr>
              <w:t>Capaian Pembelajaran Mata Kuliah (CPMK)</w:t>
            </w:r>
          </w:p>
        </w:tc>
        <w:tc>
          <w:tcPr>
            <w:tcW w:w="560"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1"/>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CPL01</w:t>
            </w:r>
          </w:p>
        </w:tc>
        <w:tc>
          <w:tcPr>
            <w:tcW w:w="564"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1"/>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CPL02</w:t>
            </w:r>
          </w:p>
        </w:tc>
        <w:tc>
          <w:tcPr>
            <w:tcW w:w="560"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1"/>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CPL03</w:t>
            </w:r>
          </w:p>
        </w:tc>
        <w:tc>
          <w:tcPr>
            <w:tcW w:w="563"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1"/>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CPL04</w:t>
            </w:r>
          </w:p>
        </w:tc>
        <w:tc>
          <w:tcPr>
            <w:tcW w:w="562"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1"/>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CPL05</w:t>
            </w:r>
          </w:p>
        </w:tc>
        <w:tc>
          <w:tcPr>
            <w:tcW w:w="560" w:type="dxa"/>
            <w:tcBorders>
              <w:top w:val="single" w:sz="6" w:space="0" w:color="CBD5E0"/>
              <w:start w:val="single" w:sz="6" w:space="0" w:color="CBD5E0"/>
              <w:bottom w:val="single" w:sz="6" w:space="0" w:color="CBD5E0"/>
              <w:end w:val="single" w:sz="6" w:space="0" w:color="CBD5E0"/>
            </w:tcBorders>
            <w:shd w:fill="BEE3F8" w:val="clear"/>
            <w:tcMar>
              <w:top w:w="60" w:type="dxa"/>
              <w:start w:w="60" w:type="dxa"/>
              <w:bottom w:w="60" w:type="dxa"/>
              <w:end w:w="60" w:type="dxa"/>
            </w:tcMar>
          </w:tcPr>
          <w:p>
            <w:pPr>
              <w:pStyle w:val="normal1"/>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CPL06</w:t>
            </w:r>
          </w:p>
        </w:tc>
        <w:tc>
          <w:tcPr>
            <w:tcW w:w="563"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1"/>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CPL07</w:t>
            </w:r>
          </w:p>
        </w:tc>
        <w:tc>
          <w:tcPr>
            <w:tcW w:w="561"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1"/>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CPL08</w:t>
            </w:r>
          </w:p>
        </w:tc>
        <w:tc>
          <w:tcPr>
            <w:tcW w:w="563" w:type="dxa"/>
            <w:tcBorders>
              <w:top w:val="single" w:sz="6" w:space="0" w:color="CBD5E0"/>
              <w:start w:val="single" w:sz="6" w:space="0" w:color="CBD5E0"/>
              <w:bottom w:val="single" w:sz="6" w:space="0" w:color="CBD5E0"/>
              <w:end w:val="single" w:sz="6" w:space="0" w:color="CBD5E0"/>
            </w:tcBorders>
            <w:shd w:fill="BEE3F8" w:val="clear"/>
            <w:tcMar>
              <w:top w:w="60" w:type="dxa"/>
              <w:start w:w="60" w:type="dxa"/>
              <w:bottom w:w="60" w:type="dxa"/>
              <w:end w:w="60" w:type="dxa"/>
            </w:tcMar>
          </w:tcPr>
          <w:p>
            <w:pPr>
              <w:pStyle w:val="normal1"/>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CPL09</w:t>
            </w:r>
          </w:p>
        </w:tc>
        <w:tc>
          <w:tcPr>
            <w:tcW w:w="562"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normal1"/>
              <w:shd w:val="clear" w:fill="auto"/>
              <w:spacing w:lineRule="auto" w:line="300" w:before="60" w:after="60"/>
              <w:jc w:val="center"/>
              <w:rPr>
                <w:rFonts w:ascii="Arial" w:hAnsi="Arial" w:eastAsia="Arial" w:cs="Arial"/>
                <w:color w:val="2D3748"/>
                <w:sz w:val="14"/>
                <w:szCs w:val="14"/>
                <w:shd w:fill="auto" w:val="clear"/>
              </w:rPr>
            </w:pPr>
            <w:r>
              <w:rPr>
                <w:rFonts w:eastAsia="Arial" w:cs="Arial"/>
                <w:color w:val="2D3748"/>
                <w:sz w:val="14"/>
                <w:szCs w:val="14"/>
                <w:shd w:fill="auto" w:val="clear"/>
              </w:rPr>
              <w:t>CPL10</w:t>
            </w:r>
          </w:p>
          <w:p>
            <w:pPr>
              <w:pStyle w:val="normal1"/>
              <w:keepNext w:val="false"/>
              <w:keepLines w:val="false"/>
              <w:widowControl w:val="false"/>
              <w:shd w:val="clear" w:fill="auto"/>
              <w:spacing w:lineRule="auto" w:line="240" w:before="0" w:after="0"/>
              <w:ind w:hanging="0" w:start="0" w:end="0"/>
              <w:jc w:val="start"/>
              <w:rPr>
                <w:rFonts w:ascii="Arial" w:hAnsi="Arial" w:eastAsia="Arial" w:cs="Arial"/>
                <w:sz w:val="16"/>
                <w:szCs w:val="16"/>
              </w:rPr>
            </w:pPr>
            <w:r>
              <w:rPr>
                <w:rFonts w:eastAsia="Arial" w:cs="Arial"/>
                <w:sz w:val="16"/>
                <w:szCs w:val="16"/>
              </w:rPr>
              <w:t xml:space="preserve"> </w:t>
            </w:r>
          </w:p>
        </w:tc>
      </w:tr>
      <w:tr>
        <w:trPr/>
        <w:tc>
          <w:tcPr>
            <w:tcW w:w="374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rPr>
                <w:rFonts w:ascii="Arial" w:hAnsi="Arial" w:eastAsia="Arial" w:cs="Arial"/>
                <w:sz w:val="16"/>
                <w:szCs w:val="16"/>
              </w:rPr>
            </w:pPr>
            <w:r>
              <w:rPr>
                <w:rFonts w:eastAsia="Arial" w:cs="Arial"/>
                <w:b/>
                <w:bCs/>
                <w:sz w:val="16"/>
                <w:szCs w:val="16"/>
              </w:rPr>
              <w:t>CPMK061:</w:t>
            </w:r>
            <w:r>
              <w:rPr>
                <w:rFonts w:eastAsia="Arial" w:cs="Arial"/>
                <w:sz w:val="16"/>
                <w:szCs w:val="16"/>
              </w:rPr>
              <w:t xml:space="preserve"> Mampu mengevaluasi kebutuhan, batasan, risiko investigasi forensik</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4"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1"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r>
      <w:tr>
        <w:trPr/>
        <w:tc>
          <w:tcPr>
            <w:tcW w:w="374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rPr>
                <w:rFonts w:ascii="Arial" w:hAnsi="Arial" w:eastAsia="Arial" w:cs="Arial"/>
                <w:sz w:val="16"/>
                <w:szCs w:val="16"/>
                <w:shd w:fill="auto" w:val="clear"/>
              </w:rPr>
            </w:pPr>
            <w:r>
              <w:rPr>
                <w:rFonts w:eastAsia="Arial" w:cs="Arial"/>
                <w:b/>
                <w:bCs/>
                <w:sz w:val="16"/>
                <w:szCs w:val="16"/>
                <w:shd w:fill="auto" w:val="clear"/>
              </w:rPr>
              <w:t>CPMK065:</w:t>
            </w:r>
            <w:r>
              <w:rPr>
                <w:rFonts w:eastAsia="Arial" w:cs="Arial"/>
                <w:sz w:val="16"/>
                <w:szCs w:val="16"/>
                <w:shd w:fill="auto" w:val="clear"/>
              </w:rPr>
              <w:t xml:space="preserve"> Mampu mengevaluasi kualitas, keamanan &amp; bukti artefak digital</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4"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r>
      <w:tr>
        <w:trPr/>
        <w:tc>
          <w:tcPr>
            <w:tcW w:w="374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rPr>
                <w:rFonts w:ascii="Arial" w:hAnsi="Arial" w:eastAsia="Arial" w:cs="Arial"/>
                <w:sz w:val="16"/>
                <w:szCs w:val="16"/>
              </w:rPr>
            </w:pPr>
            <w:r>
              <w:rPr>
                <w:rFonts w:eastAsia="Arial" w:cs="Arial"/>
                <w:b/>
                <w:bCs/>
                <w:sz w:val="16"/>
                <w:szCs w:val="16"/>
              </w:rPr>
              <w:t>CPMK066:</w:t>
            </w:r>
            <w:r>
              <w:rPr>
                <w:rFonts w:eastAsia="Arial" w:cs="Arial"/>
                <w:sz w:val="16"/>
                <w:szCs w:val="16"/>
              </w:rPr>
              <w:t xml:space="preserve"> Mampu merancang perbaikan &amp; rekomendasi mitigasi keamanan</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4"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1"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r>
      <w:tr>
        <w:trPr/>
        <w:tc>
          <w:tcPr>
            <w:tcW w:w="374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rPr>
                <w:rFonts w:ascii="Arial" w:hAnsi="Arial" w:eastAsia="Arial" w:cs="Arial"/>
                <w:sz w:val="16"/>
                <w:szCs w:val="16"/>
                <w:shd w:fill="auto" w:val="clear"/>
              </w:rPr>
            </w:pPr>
            <w:r>
              <w:rPr>
                <w:rFonts w:eastAsia="Arial" w:cs="Arial"/>
                <w:b/>
                <w:bCs/>
                <w:sz w:val="16"/>
                <w:szCs w:val="16"/>
                <w:shd w:fill="auto" w:val="clear"/>
              </w:rPr>
              <w:t>CPMK091:</w:t>
            </w:r>
            <w:r>
              <w:rPr>
                <w:rFonts w:eastAsia="Arial" w:cs="Arial"/>
                <w:sz w:val="16"/>
                <w:szCs w:val="16"/>
                <w:shd w:fill="auto" w:val="clear"/>
              </w:rPr>
              <w:t xml:space="preserve"> Mampu membudayakan etika profesi, integritas &amp; chain of custody</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4"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r>
      <w:tr>
        <w:trPr/>
        <w:tc>
          <w:tcPr>
            <w:tcW w:w="374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rPr>
                <w:rFonts w:ascii="Arial" w:hAnsi="Arial" w:eastAsia="Arial" w:cs="Arial"/>
                <w:sz w:val="16"/>
                <w:szCs w:val="16"/>
              </w:rPr>
            </w:pPr>
            <w:r>
              <w:rPr>
                <w:rFonts w:eastAsia="Arial" w:cs="Arial"/>
                <w:b/>
                <w:bCs/>
                <w:sz w:val="16"/>
                <w:szCs w:val="16"/>
              </w:rPr>
              <w:t>CPMK092:</w:t>
            </w:r>
            <w:r>
              <w:rPr>
                <w:rFonts w:eastAsia="Arial" w:cs="Arial"/>
                <w:sz w:val="16"/>
                <w:szCs w:val="16"/>
              </w:rPr>
              <w:t xml:space="preserve"> Mampu menciptakan respons profesional terhadap isu sosial &amp; insiden</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4"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0"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1"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c>
          <w:tcPr>
            <w:tcW w:w="563"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auto"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rPr>
            </w:pPr>
            <w:r>
              <w:rPr>
                <w:rFonts w:eastAsia="Arial" w:cs="Arial"/>
                <w:sz w:val="16"/>
                <w:szCs w:val="16"/>
              </w:rPr>
              <w:t>-</w:t>
            </w:r>
          </w:p>
        </w:tc>
      </w:tr>
      <w:tr>
        <w:trPr/>
        <w:tc>
          <w:tcPr>
            <w:tcW w:w="374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rPr>
                <w:rFonts w:ascii="Arial" w:hAnsi="Arial" w:eastAsia="Arial" w:cs="Arial"/>
                <w:sz w:val="16"/>
                <w:szCs w:val="16"/>
                <w:shd w:fill="auto" w:val="clear"/>
              </w:rPr>
            </w:pPr>
            <w:r>
              <w:rPr>
                <w:rFonts w:eastAsia="Arial" w:cs="Arial"/>
                <w:b/>
                <w:bCs/>
                <w:sz w:val="16"/>
                <w:szCs w:val="16"/>
                <w:shd w:fill="auto" w:val="clear"/>
              </w:rPr>
              <w:t>CPMK093:</w:t>
            </w:r>
            <w:r>
              <w:rPr>
                <w:rFonts w:eastAsia="Arial" w:cs="Arial"/>
                <w:sz w:val="16"/>
                <w:szCs w:val="16"/>
                <w:shd w:fill="auto" w:val="clear"/>
              </w:rPr>
              <w:t xml:space="preserve"> Mampu membudayakan kolaborasi inklusif tim dalam investigasi DFIR</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4"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c>
          <w:tcPr>
            <w:tcW w:w="563"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b/>
                <w:bCs/>
                <w:color w:val="2B6CB0"/>
                <w:sz w:val="16"/>
                <w:szCs w:val="16"/>
                <w:shd w:fill="auto" w:val="clear"/>
              </w:rPr>
            </w:pPr>
            <w:r>
              <w:rPr>
                <w:rFonts w:eastAsia="Arial Unicode MS" w:cs="Arial Unicode MS" w:ascii="Arial Unicode MS" w:hAnsi="Arial Unicode MS"/>
                <w:b/>
                <w:bCs/>
                <w:color w:val="2B6CB0"/>
                <w:sz w:val="16"/>
                <w:szCs w:val="16"/>
                <w:shd w:fill="auto" w:val="clea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normal1"/>
              <w:shd w:val="clear" w:fill="auto"/>
              <w:spacing w:lineRule="auto" w:line="300" w:before="90" w:after="90"/>
              <w:jc w:val="center"/>
              <w:rPr>
                <w:rFonts w:ascii="Arial" w:hAnsi="Arial" w:eastAsia="Arial" w:cs="Arial"/>
                <w:sz w:val="16"/>
                <w:szCs w:val="16"/>
                <w:shd w:fill="auto" w:val="clear"/>
              </w:rPr>
            </w:pPr>
            <w:r>
              <w:rPr>
                <w:rFonts w:eastAsia="Arial" w:cs="Arial"/>
                <w:sz w:val="16"/>
                <w:szCs w:val="16"/>
                <w:shd w:fill="auto" w:val="clear"/>
              </w:rPr>
              <w:t>-</w:t>
            </w:r>
          </w:p>
        </w:tc>
      </w:tr>
    </w:tbl>
    <w:p>
      <w:pPr>
        <w:pStyle w:val="normal1"/>
        <w:keepNext w:val="false"/>
        <w:keepLines w:val="false"/>
        <w:pageBreakBefore w:val="false"/>
        <w:widowControl w:val="false"/>
        <w:shd w:val="clear" w:fill="auto"/>
        <w:spacing w:lineRule="auto" w:line="276" w:before="0" w:after="0"/>
        <w:ind w:hanging="0" w:start="0" w:end="0"/>
        <w:jc w:val="start"/>
        <w:rPr>
          <w:rFonts w:ascii="Arial" w:hAnsi="Arial" w:eastAsia="Arial" w:cs="Arial"/>
          <w:sz w:val="16"/>
          <w:szCs w:val="16"/>
          <w:shd w:fill="auto" w:val="clear"/>
        </w:rPr>
      </w:pPr>
      <w:r>
        <w:rPr>
          <w:rFonts w:eastAsia="Arial" w:cs="Arial"/>
          <w:sz w:val="16"/>
          <w:szCs w:val="16"/>
          <w:shd w:fill="auto" w:val="clea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swiss"/>
    <w:pitch w:val="variable"/>
  </w:font>
  <w:font w:name="Times New Roman">
    <w:charset w:val="01"/>
    <w:family w:val="roman"/>
    <w:pitch w:val="default"/>
  </w:font>
  <w:font w:name="Arial">
    <w:charset w:val="01"/>
    <w:family w:val="swiss"/>
    <w:pitch w:val="default"/>
  </w:font>
  <w:font w:name="Georgia">
    <w:charset w:val="01"/>
    <w:family w:val="swiss"/>
    <w:pitch w:val="default"/>
    <w:embedRegular r:id="rId1" w:fontKey="{01014A78-CABC-4EF0-12AC-5CD89AEFDE01}"/>
    <w:embedBold r:id="rId2" w:fontKey="{02014A78-CABC-4EF0-12AC-5CD89AEFDE02}"/>
    <w:embedItalic r:id="rId3" w:fontKey="{03014A78-CABC-4EF0-12AC-5CD89AEFDE03}"/>
    <w:embedBoldItalic r:id="rId4" w:fontKey="{04014A78-CABC-4EF0-12AC-5CD89AEFDE04}"/>
  </w:font>
  <w:font w:name="Arial Unicode MS">
    <w:charset w:val="01"/>
    <w:family w:val="swiss"/>
    <w:pitch w:val="default"/>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5"/>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8"/>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eastAsia="Arial" w:cs="Arial" w:ascii="Times New Roman" w:hAnsi="Times New Roman"/>
      <w:color w:val="auto"/>
      <w:kern w:val="0"/>
      <w:sz w:val="22"/>
      <w:szCs w:val="22"/>
      <w:lang w:val="en-US" w:eastAsia="zh-CN" w:bidi="hi-IN"/>
    </w:rPr>
  </w:style>
  <w:style w:type="paragraph" w:styleId="Heading1">
    <w:name w:val="heading 1"/>
    <w:basedOn w:val="normal1"/>
    <w:next w:val="normal1"/>
    <w:qFormat/>
    <w:pPr>
      <w:shd w:val="clear" w:fill="auto"/>
      <w:spacing w:lineRule="auto" w:line="240" w:before="240" w:after="240"/>
    </w:pPr>
    <w:rPr>
      <w:b/>
      <w:bCs/>
      <w:i w:val="false"/>
      <w:iCs w:val="false"/>
      <w:sz w:val="48"/>
      <w:szCs w:val="48"/>
    </w:rPr>
  </w:style>
  <w:style w:type="paragraph" w:styleId="Heading2">
    <w:name w:val="heading 2"/>
    <w:basedOn w:val="normal1"/>
    <w:next w:val="normal1"/>
    <w:qFormat/>
    <w:pPr>
      <w:shd w:val="clear" w:fill="auto"/>
      <w:spacing w:lineRule="auto" w:line="240" w:before="225" w:after="225"/>
    </w:pPr>
    <w:rPr>
      <w:b/>
      <w:bCs/>
      <w:i w:val="false"/>
      <w:iCs w:val="false"/>
      <w:sz w:val="36"/>
      <w:szCs w:val="36"/>
    </w:rPr>
  </w:style>
  <w:style w:type="paragraph" w:styleId="Heading3">
    <w:name w:val="heading 3"/>
    <w:basedOn w:val="normal1"/>
    <w:next w:val="normal1"/>
    <w:qFormat/>
    <w:pPr>
      <w:shd w:val="clear" w:fill="auto"/>
      <w:spacing w:lineRule="auto" w:line="240" w:before="240" w:after="240"/>
    </w:pPr>
    <w:rPr>
      <w:b/>
      <w:bCs/>
      <w:i w:val="false"/>
      <w:iCs w:val="false"/>
      <w:sz w:val="28"/>
      <w:szCs w:val="28"/>
    </w:rPr>
  </w:style>
  <w:style w:type="paragraph" w:styleId="Heading4">
    <w:name w:val="heading 4"/>
    <w:basedOn w:val="normal1"/>
    <w:next w:val="normal1"/>
    <w:qFormat/>
    <w:pPr>
      <w:shd w:val="clear" w:fill="auto"/>
      <w:spacing w:lineRule="auto" w:line="240" w:before="255" w:after="255"/>
    </w:pPr>
    <w:rPr>
      <w:b/>
      <w:bCs/>
      <w:i w:val="false"/>
      <w:iCs w:val="false"/>
      <w:sz w:val="24"/>
      <w:szCs w:val="24"/>
    </w:rPr>
  </w:style>
  <w:style w:type="paragraph" w:styleId="Heading5">
    <w:name w:val="heading 5"/>
    <w:basedOn w:val="normal1"/>
    <w:next w:val="normal1"/>
    <w:qFormat/>
    <w:pPr>
      <w:shd w:val="clear" w:fill="auto"/>
      <w:spacing w:lineRule="auto" w:line="240" w:before="255" w:after="255"/>
    </w:pPr>
    <w:rPr>
      <w:b/>
      <w:bCs/>
      <w:i w:val="false"/>
      <w:iCs w:val="false"/>
      <w:sz w:val="18"/>
      <w:szCs w:val="18"/>
    </w:rPr>
  </w:style>
  <w:style w:type="paragraph" w:styleId="Heading6">
    <w:name w:val="heading 6"/>
    <w:basedOn w:val="normal1"/>
    <w:next w:val="normal1"/>
    <w:qFormat/>
    <w:pPr>
      <w:shd w:val="clear" w:fill="auto"/>
      <w:spacing w:lineRule="auto" w:line="240" w:before="360" w:after="360"/>
    </w:pPr>
    <w:rPr>
      <w:b/>
      <w:bCs/>
      <w:i w:val="false"/>
      <w:iCs w:val="false"/>
      <w:sz w:val="16"/>
      <w:szCs w:val="16"/>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name w:val="Index"/>
    <w:basedOn w:val="Normal"/>
    <w:qFormat/>
    <w:pPr>
      <w:suppressLineNumbers/>
    </w:pPr>
    <w:rPr>
      <w:rFonts w:ascii="Times New Roman" w:hAnsi="Times New Roman" w:cs="Noto Sans Devanagari"/>
    </w:rPr>
  </w:style>
  <w:style w:type="paragraph" w:styleId="normal1" w:default="1">
    <w:name w:val="normal1"/>
    <w:qFormat/>
    <w:pPr>
      <w:widowControl w:val="false"/>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LibreOffice/26.2.5.2$Linux_X86_64 LibreOffice_project/620$Build-2</Application>
  <AppVersion>15.0000</AppVersion>
  <Pages>9</Pages>
  <Words>2423</Words>
  <Characters>15698</Characters>
  <CharactersWithSpaces>17690</CharactersWithSpaces>
  <Paragraphs>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2026-08-30T16:25:50Z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