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7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8"/>
        <w:gridCol w:w="567"/>
        <w:gridCol w:w="2409"/>
        <w:gridCol w:w="1325"/>
        <w:gridCol w:w="1965"/>
        <w:gridCol w:w="126"/>
        <w:gridCol w:w="44"/>
        <w:gridCol w:w="1219"/>
        <w:gridCol w:w="2288"/>
        <w:tblGridChange w:id="0">
          <w:tblGrid>
            <w:gridCol w:w="2828"/>
            <w:gridCol w:w="567"/>
            <w:gridCol w:w="2409"/>
            <w:gridCol w:w="1325"/>
            <w:gridCol w:w="1965"/>
            <w:gridCol w:w="126"/>
            <w:gridCol w:w="44"/>
            <w:gridCol w:w="1219"/>
            <w:gridCol w:w="2288"/>
          </w:tblGrid>
        </w:tblGridChange>
      </w:tblGrid>
      <w:tr>
        <w:trPr>
          <w:cantSplit w:val="0"/>
          <w:trHeight w:val="154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FORM: FTI/IF-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IFKK5152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Sistem Multimedia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IFKK5152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S.T, M.Kom.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2585085</wp:posOffset>
                  </wp:positionH>
                  <wp:positionV relativeFrom="paragraph">
                    <wp:posOffset>-55879</wp:posOffset>
                  </wp:positionV>
                  <wp:extent cx="1295400" cy="1138986"/>
                  <wp:effectExtent b="0" l="0" r="0" t="0"/>
                  <wp:wrapNone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-2482214</wp:posOffset>
                  </wp:positionH>
                  <wp:positionV relativeFrom="paragraph">
                    <wp:posOffset>-113029</wp:posOffset>
                  </wp:positionV>
                  <wp:extent cx="845820" cy="1120140"/>
                  <wp:effectExtent b="0" l="0" r="0" t="0"/>
                  <wp:wrapNone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23308" l="10782" r="22594" t="2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1120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89536</wp:posOffset>
                  </wp:positionH>
                  <wp:positionV relativeFrom="paragraph">
                    <wp:posOffset>-208278</wp:posOffset>
                  </wp:positionV>
                  <wp:extent cx="1272540" cy="116649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3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Berkontribusi dalam meningkatkan mutu kehidupan bermasyarakat, berbangsa, bernegara, dan kemajuan peradaban berdasarkan Pancasila.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Menguasai konsep dasar pembangunan multimedia dan game, mulai pra-produksi, sampai pendistribusian sesuai peruntukan dan tujuan yang ingin dicapai serta dapat mengkaji, memanfaatkan IPTEKS dalam membangun multimedia.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membangun aplikasi menggunakan prinsip-prinsip grafika computer meliputi pemodelan, rendering, animasi dan visualisasi, serta menerapkan prinsip-prinsip interaksi manusia dan komputer serta melakukan evaluasi ketepatgunaan untuk membangun aplikasi dengan antarmuka yang sesuai.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3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Menguasai konsep dan prinsip-prinsip grafika komputer meliputi pemodelan, rendering, animasi dan visualisasi, serta menguasai konsep dan prinsip-prinsip interaksi manusia dan komputer.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3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dan menjelaskan konsep dasar sistem multimedia dan aplikasinya dalam berbagai bidang.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mengidentifikasi dan mendemonstrasikan komponen utama dalam sistem multimedia.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mengaplikasikan teknik kompresi data untuk media digital.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mendesain dan mengembangkan aplikasi multimedia sederhana.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Mahasiswa mampu menganalisis dan mengevaluasi kinerja sistem multimedia.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Mahasiswa mampu mengembangkan solusi kreatif untuk tantangan yang muncul dalam pengelolaan dan distribusi data multimedia.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prinsip-prinsip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ke dalam pengembangan multimedia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Mata kuliah ini membahas dasar-dasar sistem multimedia, termasuk konsep multimedia, representasi data, kompresi, format file, teknologi penyimpanan, dan distribusi. Mahasiswa akan mempelajari prinsip-prinsip dalam pengembangan aplikasi multimedia, serta aspek teknis seperti audio, video, gambar, dan animasi.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Konsep dasar sistem multimedia.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komponen utama dalam sistem multimedia.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teknik kompresi data untuk media digital.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mengembangkan aplikasi multimedia sederhana.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64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kinerja sistem multimedia.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36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Simarmata, Janner</w:t>
            </w:r>
            <w:r w:rsidDel="00000000" w:rsidR="00000000" w:rsidRPr="00000000">
              <w:rPr>
                <w:rtl w:val="0"/>
              </w:rPr>
              <w:t xml:space="preserve">. Sistem Multimedia: Teori dan Aplikasi. Informatika, 2017.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Gunawan, Haris</w:t>
            </w:r>
            <w:r w:rsidDel="00000000" w:rsidR="00000000" w:rsidRPr="00000000">
              <w:rPr>
                <w:rtl w:val="0"/>
              </w:rPr>
              <w:t xml:space="preserve">. Komputer Grafis dan Multimedia: Teori dan Praktik. Elex Media Komputindo, 2016.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Saragih, Margono</w:t>
            </w:r>
            <w:r w:rsidDel="00000000" w:rsidR="00000000" w:rsidRPr="00000000">
              <w:rPr>
                <w:rtl w:val="0"/>
              </w:rPr>
              <w:t xml:space="preserve">. Pengantar Teknologi Multimedia. Andi Publisher, 2019.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Nugroho, Ariyanto</w:t>
            </w:r>
            <w:r w:rsidDel="00000000" w:rsidR="00000000" w:rsidRPr="00000000">
              <w:rPr>
                <w:rtl w:val="0"/>
              </w:rPr>
              <w:t xml:space="preserve">. Pengantar Teknologi Kompresi Data Multimedia. Elex Media Komputindo, 2020.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Sikora, Thomas, and Sören Becker.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Digital Multimedia Broadcasting Standards: Technology and Applications.</w:t>
            </w:r>
            <w:r w:rsidDel="00000000" w:rsidR="00000000" w:rsidRPr="00000000">
              <w:rPr>
                <w:rtl w:val="0"/>
              </w:rPr>
              <w:t xml:space="preserve"> Springer, 2019.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C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283"/>
              <w:rPr/>
            </w:pPr>
            <w:r w:rsidDel="00000000" w:rsidR="00000000" w:rsidRPr="00000000">
              <w:rPr>
                <w:rtl w:val="0"/>
              </w:rPr>
              <w:t xml:space="preserve">Luthra, Ajay, Gary J. Sullivan, and Thomas Wiegand. High Efficiency Video Coding (HEVC): Algorithms and Architectures. Springer, 2017.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283"/>
              <w:rPr/>
            </w:pPr>
            <w:r w:rsidDel="00000000" w:rsidR="00000000" w:rsidRPr="00000000">
              <w:rPr>
                <w:rtl w:val="0"/>
              </w:rPr>
              <w:t xml:space="preserve">Aditya, Yudhy S. Multimedia: Dasar Teori dan Pengembangannya. Graha Ilmu, 2015.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283"/>
              <w:rPr/>
            </w:pPr>
            <w:r w:rsidDel="00000000" w:rsidR="00000000" w:rsidRPr="00000000">
              <w:rPr>
                <w:rtl w:val="0"/>
              </w:rPr>
              <w:t xml:space="preserve">Susanto, Heri. Pemrograman Multimedia dengan Flash. Andi Offset, 2018.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283"/>
              <w:rPr/>
            </w:pPr>
            <w:r w:rsidDel="00000000" w:rsidR="00000000" w:rsidRPr="00000000">
              <w:rPr>
                <w:rtl w:val="0"/>
              </w:rPr>
              <w:t xml:space="preserve">Utama, Budi. Pemrograman Multimedia Berbasis Web. Informatika, 2016.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283"/>
              <w:rPr/>
            </w:pPr>
            <w:r w:rsidDel="00000000" w:rsidR="00000000" w:rsidRPr="00000000">
              <w:rPr>
                <w:rtl w:val="0"/>
              </w:rPr>
              <w:t xml:space="preserve">Ginting, Jonker. Teknologi Audio dan Video Digital. Graha Ilmu, 2018.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283"/>
              <w:rPr/>
            </w:pPr>
            <w:r w:rsidDel="00000000" w:rsidR="00000000" w:rsidRPr="00000000">
              <w:rPr>
                <w:rtl w:val="0"/>
              </w:rPr>
              <w:t xml:space="preserve">Rahman, Dedi. Multimedia Interaktif: Desain dan Implementasi. Gava Media, 2015.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4" w:hanging="283"/>
              <w:rPr/>
            </w:pPr>
            <w:r w:rsidDel="00000000" w:rsidR="00000000" w:rsidRPr="00000000">
              <w:rPr>
                <w:rtl w:val="0"/>
              </w:rPr>
              <w:t xml:space="preserve">Setyawan, Rully Charis. Pemrograman Multimedia dan Game. Andi Publisher, 2018.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Smith, John R., and Bryan C. Runyon. Multimedia Data Mining and Analytics: Disruptive Innovation. Springer, 2018.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Chen, Tsuhan, Ramesh Jain, and Demetri Terzopoulos. Visual Communications and Image Processing (VCIP): Theory and Applications. Springer, 2019.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Ohm, Jens-Rainer, and Thomas Wiegand. Video Coding: An Introduction to HEVC and Beyond. Springer, 2020.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Zhang, Yu-Jin. Multimedia Retrieval: Concepts, Algorithms, and Applications. Springer, 2021.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Yousefi, Shervin, and Faramarz Fekri. Multimedia Security 2.0: Encryption, Authentication, and Privacy in Multimedia Applications. Springer, 2020.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Sun, Meng, and Qi Wang. Deep Learning in Object Detection and Recognition in Optical Remote Sensing. Springer, 2020.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Doulamis, Anastasios, Nikolaos Doulamis, and Christos-Savvas Bouganis. Deep Learning for Multimodal Content Analytics. Springer, 2020.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Elgammal, Ahmed, and Mohamed Amer. Guide to Multimedia Data Mining and Analytics. Springer, 2016.Liu, Y., Shen, F., Shen, H. T., Liu, L., &amp; Song, J. (2019). "A Survey on Content-Based Image Retrieval with High-Level Semantics." Pattern Recognition, 81, 134-150.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Cheng, M. M., Mitra, N. J., Huang, X., &amp; Hu, S. M. (2015). "Global Contrast Based Salient Region Detection." IEEE Transactions on Pattern Analysis and Machine Intelligence, 37(3), 569-582.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Han, J., Liu, N., Fan, X., &amp; Yang, G. (2017). "Unsupervised Deep Learning for Visual Attention in Image Understanding." IEEE Transactions on Neural Networks and Learning Systems, 29(9), 4416-4427.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Liu, W., Anguelov, D., Erhan, D., Szegedy, C., Reed, S., Fu, C. Y., &amp; Berg, A. C. (2016). "SSD: Single Shot MultiBox Detector." European Conference on Computer Vision (ECCV), 21-37.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Zhang, Y., Liu, Y., Song, J., Gao, L., &amp; Shen, H. T. (2018). "Video Summarization with Attention-Based Encoder-Decoder Networks." IEEE Transactions on Circuits and Systems for Video Technology, 29(11), 3241-3252.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Xu, X., Zhang, X., &amp; Zhang, S. (2019). "Deep Reinforcement Learning for End-to-End Video Streaming Over Wireless Networks." IEEE Journal on Selected Areas in Communications, 37(10), 2393-2406.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Wang, X., Girshick, R., Gupta, A., &amp; He, K. (2018). "Non-local Neural Networks." Proceedings of the IEEE Conference on Computer Vision and Pattern Recognition (CVPR), 7794-7803.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Jiang, H., &amp; Learned-Miller, E. (2017). "Face Detection with the Faster R-CNN." IEEE Transactions on Pattern Analysis and Machine Intelligence, 39(8), 1586-1597.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Li, Z., Huang, W., &amp; Zhou, F. (2020). "Multi-modal Sentiment Analysis with Transformer-based Cross-modal Attention Network." IEEE Transactions on Multimedia, 22(11), 2990-3000.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" w:right="0" w:hanging="2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Huang, G., Liu, Z., van der Maaten, L., &amp; Weinberger, K. Q. (2017). "Densely Connected Convolutional Networks." IEEE Conference on Computer Vision and Pattern Recognition (CVPR), 4700-4708.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Adobe Creative Suite, Blender, Audacity, Unity atau Unreal Engine, GIMP (GNU Image Manipulation Program), OBS, HTML5, CSS3, dan JavaScript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Laptop, LCD Projector, Whiteboard, Spidol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Matrik dan Ruang Vektor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2770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2835"/>
        <w:gridCol w:w="2268"/>
        <w:gridCol w:w="1845"/>
        <w:gridCol w:w="1594"/>
        <w:gridCol w:w="1985"/>
        <w:gridCol w:w="1233"/>
        <w:gridCol w:w="26"/>
        <w:tblGridChange w:id="0">
          <w:tblGrid>
            <w:gridCol w:w="985"/>
            <w:gridCol w:w="2835"/>
            <w:gridCol w:w="2268"/>
            <w:gridCol w:w="1845"/>
            <w:gridCol w:w="1594"/>
            <w:gridCol w:w="1985"/>
            <w:gridCol w:w="1233"/>
            <w:gridCol w:w="2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numPr>
                <w:ilvl w:val="0"/>
                <w:numId w:val="7"/>
              </w:numPr>
              <w:ind w:left="323" w:hanging="284"/>
              <w:rPr/>
            </w:pPr>
            <w:r w:rsidDel="00000000" w:rsidR="00000000" w:rsidRPr="00000000">
              <w:rPr>
                <w:rtl w:val="0"/>
              </w:rPr>
              <w:t xml:space="preserve">Memahami dan menerapkan kontrak kuliah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7"/>
              </w:numPr>
              <w:ind w:left="323" w:hanging="284"/>
              <w:rPr/>
            </w:pPr>
            <w:r w:rsidDel="00000000" w:rsidR="00000000" w:rsidRPr="00000000">
              <w:rPr>
                <w:rtl w:val="0"/>
              </w:rPr>
              <w:t xml:space="preserve">Memahami definisi dan ruang lingkup sistem multimedia.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tujuan, aturan, dan metode perkuliahan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komponen-komponen multimedia dan fungsinya.</w:t>
            </w:r>
          </w:p>
        </w:tc>
        <w:tc>
          <w:tcPr/>
          <w:p w:rsidR="00000000" w:rsidDel="00000000" w:rsidP="00000000" w:rsidRDefault="00000000" w:rsidRPr="00000000" w14:paraId="00000127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Tes lisan dan latihan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Praktikum, Diskusi,</w:t>
            </w:r>
          </w:p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(Te: 2 SKS,</w:t>
            </w:r>
          </w:p>
          <w:p w:rsidR="00000000" w:rsidDel="00000000" w:rsidP="00000000" w:rsidRDefault="00000000" w:rsidRPr="00000000" w14:paraId="0000012C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PU: 1 SKS)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Pengantar Multimedia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ind w:left="180" w:hanging="180"/>
              <w:rPr/>
            </w:pPr>
            <w:r w:rsidDel="00000000" w:rsidR="00000000" w:rsidRPr="00000000">
              <w:rPr>
                <w:rtl w:val="0"/>
              </w:rPr>
              <w:t xml:space="preserve">Definisi, sejarah, dan aplikasi multimedia.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ind w:left="180" w:hanging="180"/>
              <w:rPr/>
            </w:pPr>
            <w:r w:rsidDel="00000000" w:rsidR="00000000" w:rsidRPr="00000000">
              <w:rPr>
                <w:rtl w:val="0"/>
              </w:rPr>
              <w:t xml:space="preserve">Komponen multimedia: teks, gambar, audio, video, dan animasi.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menerapkan teknik kompresi data multimedia.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menerapkan teknik kompresi data multimedia.</w:t>
            </w:r>
          </w:p>
        </w:tc>
        <w:tc>
          <w:tcPr/>
          <w:p w:rsidR="00000000" w:rsidDel="00000000" w:rsidP="00000000" w:rsidRDefault="00000000" w:rsidRPr="00000000" w14:paraId="00000134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Tes lisan dan latihan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Ceramah, Praktikum, Diskusi,</w:t>
            </w:r>
          </w:p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(Te: 2 SKS,</w:t>
            </w:r>
          </w:p>
          <w:p w:rsidR="00000000" w:rsidDel="00000000" w:rsidP="00000000" w:rsidRDefault="00000000" w:rsidRPr="00000000" w14:paraId="00000139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PU: 1 SKS)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Teknik Kompresi Data Multimedia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3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Kompresi teks, gambar (JPEG, PNG), audio (MP3, AAC), dan video (MPEG, H.264, HEVC).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3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Algoritma kompresi lossless dan lossy.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  <w:tc>
          <w:tcPr/>
          <w:p w:rsidR="00000000" w:rsidDel="00000000" w:rsidP="00000000" w:rsidRDefault="00000000" w:rsidRPr="00000000" w14:paraId="0000013F">
            <w:pPr>
              <w:numPr>
                <w:ilvl w:val="0"/>
                <w:numId w:val="7"/>
              </w:numPr>
              <w:ind w:left="323" w:hanging="284"/>
              <w:rPr/>
            </w:pPr>
            <w:r w:rsidDel="00000000" w:rsidR="00000000" w:rsidRPr="00000000">
              <w:rPr>
                <w:rtl w:val="0"/>
              </w:rPr>
              <w:t xml:space="preserve">Mahasiswa dapat menghasilkan proyek aplikasi multimedia yang memenuhi spesifikasi yang diberikan.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7"/>
              </w:numPr>
              <w:ind w:left="323" w:hanging="284"/>
              <w:rPr/>
            </w:pPr>
            <w:r w:rsidDel="00000000" w:rsidR="00000000" w:rsidRPr="00000000">
              <w:rPr>
                <w:rtl w:val="0"/>
              </w:rPr>
              <w:t xml:space="preserve">Mahasiswa mampu mengembangkan aplikasi multimedia interaktif.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menghasilkan proyek aplikasi multimedia yang memenuhi spesifikasi yang diberikan.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menghasilkan aplikasi multimedia dengan desain yang fungsional dan menarik.</w:t>
            </w:r>
          </w:p>
        </w:tc>
        <w:tc>
          <w:tcPr/>
          <w:p w:rsidR="00000000" w:rsidDel="00000000" w:rsidP="00000000" w:rsidRDefault="00000000" w:rsidRPr="00000000" w14:paraId="00000143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Proyek akhir, 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presentasi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proyek mandiri</w:t>
            </w:r>
          </w:p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47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Pengembangan Aplikasi Multimedia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7" w:right="0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Pengenalan perangkat lunak pengembangan (Adobe Creative Suite, Blender).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7" w:right="0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desain antarmuka pengguna (UI/UX).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7" w:right="0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Teknik lanjutan dalam pengembangan aplikasi multimedia.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27" w:right="0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Implementasi desain UI/UX dalam aplikasi multimedia.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6,7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menganalisis dan mengembangkan sistem multimedia yang terintegrasi dengan teknologi jaringan.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Mahasiswa dapat mengembangkan dan menguji sistem multimedia berbasis jaringan.</w:t>
            </w:r>
          </w:p>
        </w:tc>
        <w:tc>
          <w:tcPr/>
          <w:p w:rsidR="00000000" w:rsidDel="00000000" w:rsidP="00000000" w:rsidRDefault="00000000" w:rsidRPr="00000000" w14:paraId="00000151">
            <w:pPr>
              <w:numPr>
                <w:ilvl w:val="0"/>
                <w:numId w:val="12"/>
              </w:numPr>
              <w:spacing w:line="259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Ujian praktik, 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2"/>
              </w:numPr>
              <w:spacing w:line="259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evaluasi proyek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studi kasus</w:t>
            </w:r>
          </w:p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55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Multimedia Berbasis Jaringan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7" w:right="0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Teknologi streaming video dan audio.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7" w:right="0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 dan standar untuk distribusi multimedia (RTSP, HTTP Live Streaming).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27" w:right="0" w:hanging="227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Implementasi dan pengujian sistem multimedia berbasis jaringan.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9,10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dan menerapkan aspek keamanan dalam sistem multimedia.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menganalisis risiko keamanan dan menerapkan langkah-langkah mitigasi.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menerapkan teknik enkripsi dan otentikasi dalam proyek multimedia.</w:t>
            </w:r>
          </w:p>
        </w:tc>
        <w:tc>
          <w:tcPr/>
          <w:p w:rsidR="00000000" w:rsidDel="00000000" w:rsidP="00000000" w:rsidRDefault="00000000" w:rsidRPr="00000000" w14:paraId="00000166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Studi kasus, 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laporan praktikum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Praktikum, studi kasus</w:t>
            </w:r>
          </w:p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6A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Keamanan dalam Sistem Multimedia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Ancaman keamanan dalam distribusi multimedia.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Teknik enkripsi dan otentikasi.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Implementasi dan pengujian teknik keamanan dalam aplikasi multimedia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10-12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tren terbaru dan aplikasinya dalam multimedia.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menganalisis dan mempresentasikan tren terbaru dalam multimedia.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mengembangkan aplikasi multimedia yang relevan untuk berbagai industri.</w:t>
            </w:r>
          </w:p>
        </w:tc>
        <w:tc>
          <w:tcPr/>
          <w:p w:rsidR="00000000" w:rsidDel="00000000" w:rsidP="00000000" w:rsidRDefault="00000000" w:rsidRPr="00000000" w14:paraId="00000174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Proyek akhir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presentasi.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Proyek mandiri, diskusi industri</w:t>
            </w:r>
          </w:p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78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Studi Kasus dan Tren Terkini dalam Multimedia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Analisis tren terbaru seperti AR, VR, dan AI dalam multimedia.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Penerapan multimedia dalam berbagai industri seperti pendidikan, hiburan, dan pemasaran.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13-15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menyelesaikan dan mempresentasikan proyek multimedia yang komprehensif.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menyelesaikan proyek akhir sesuai spesifikasi dan mempresentasikan hasilnya dengan baik.</w:t>
            </w:r>
          </w:p>
        </w:tc>
        <w:tc>
          <w:tcPr/>
          <w:p w:rsidR="00000000" w:rsidDel="00000000" w:rsidP="00000000" w:rsidRDefault="00000000" w:rsidRPr="00000000" w14:paraId="00000180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Proyek akhir,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2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presentasi akhir.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Proyek mandiri, presentasi, evaluasi.</w:t>
            </w:r>
          </w:p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 : 2 SKS,</w:t>
            </w:r>
          </w:p>
          <w:p w:rsidR="00000000" w:rsidDel="00000000" w:rsidP="00000000" w:rsidRDefault="00000000" w:rsidRPr="00000000" w14:paraId="00000184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 : 1 SKS)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Penyelesaian proyek akhir, persiapan dan presentasi.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bidang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 lisan dan latihan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numPr>
                <w:ilvl w:val="0"/>
                <w:numId w:val="11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1"/>
              </w:numPr>
              <w:ind w:left="180" w:hanging="180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Praktikum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C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5" w:right="0" w:hanging="42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Rubrik / Portofolio Penilaian</w:t>
      </w:r>
    </w:p>
    <w:tbl>
      <w:tblPr>
        <w:tblStyle w:val="Table5"/>
        <w:tblW w:w="8363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3544"/>
        <w:gridCol w:w="2835"/>
        <w:tblGridChange w:id="0">
          <w:tblGrid>
            <w:gridCol w:w="1984"/>
            <w:gridCol w:w="3544"/>
            <w:gridCol w:w="283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Aspek Penilaian 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Kriteria Penilaian 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Penyajian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Persiapan Mahasiswa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Isi Presentasi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Kesesuaian Pokok Bahasan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Kejelasan Isi Presentasi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Kemampuan Menjawab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Penguasaan Materi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Penyampaian Materi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E3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8"/>
      <w:numFmt w:val="bullet"/>
      <w:lvlText w:val="-"/>
      <w:lvlJc w:val="left"/>
      <w:pPr>
        <w:ind w:left="502" w:hanging="360"/>
      </w:pPr>
      <w:rPr>
        <w:rFonts w:ascii="Calibri" w:cs="Calibri" w:eastAsia="Calibri" w:hAnsi="Calibri"/>
      </w:rPr>
    </w:lvl>
    <w:lvl w:ilvl="1">
      <w:start w:val="0"/>
      <w:numFmt w:val="bullet"/>
      <w:lvlText w:val=""/>
      <w:lvlJc w:val="left"/>
      <w:pPr>
        <w:ind w:left="1222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8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