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A25342">
      <w:pPr>
        <w:spacing w:before="0" w:after="60"/>
      </w:pPr>
      <w:r>
        <w:rPr>
          <w:rFonts w:ascii="Arial" w:hAnsi="Arial" w:eastAsia="Arial" w:cs="Arial"/>
          <w:b/>
          <w:bCs/>
          <w:color w:val="1F3864"/>
          <w:sz w:val="40"/>
          <w:szCs w:val="40"/>
        </w:rPr>
        <w:t>MONDAY MEETING PREP</w:t>
      </w:r>
    </w:p>
    <w:p w14:paraId="4088ADEC">
      <w:pPr>
        <w:spacing w:before="0" w:after="40"/>
      </w:pPr>
      <w:r>
        <w:rPr>
          <w:rFonts w:ascii="Arial" w:hAnsi="Arial" w:eastAsia="Arial" w:cs="Arial"/>
          <w:color w:val="666666"/>
          <w:sz w:val="22"/>
          <w:szCs w:val="22"/>
        </w:rPr>
        <w:t>Dr. Michael Steele  |  Achyut Babu Acharya  |  MSc Animal Biosciences, U of Guelph</w:t>
      </w:r>
    </w:p>
    <w:p w14:paraId="66DB9F86">
      <w:pPr>
        <w:pBdr>
          <w:bottom w:val="single" w:color="2E75B6" w:sz="8" w:space="0"/>
        </w:pBdr>
        <w:spacing w:before="0" w:after="240"/>
      </w:pPr>
    </w:p>
    <w:p w14:paraId="4A145A8C">
      <w:pPr>
        <w:pStyle w:val="2"/>
      </w:pPr>
      <w:r>
        <w:t>1.  How to Open the Meeting (First 2 Minutes)</w:t>
      </w:r>
    </w:p>
    <w:p w14:paraId="41DE88D3">
      <w:pPr>
        <w:spacing w:before="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01. 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Show you did the homework  </w:t>
      </w:r>
      <w:r>
        <w:rPr>
          <w:rFonts w:ascii="Arial" w:hAnsi="Arial" w:eastAsia="Arial" w:cs="Arial"/>
          <w:i/>
          <w:iCs/>
          <w:color w:val="666666"/>
          <w:sz w:val="22"/>
          <w:szCs w:val="22"/>
        </w:rPr>
        <w:t>Demonstrate you read and understood the grant.</w:t>
      </w:r>
    </w:p>
    <w:p w14:paraId="1DE3FEF6">
      <w:pPr>
        <w:spacing w:before="60" w:after="100"/>
        <w:ind w:left="360"/>
      </w:pPr>
      <w:r>
        <w:rPr>
          <w:rFonts w:ascii="Arial" w:hAnsi="Arial" w:eastAsia="Arial" w:cs="Arial"/>
          <w:i/>
          <w:iCs/>
          <w:color w:val="2E75B6"/>
          <w:sz w:val="22"/>
          <w:szCs w:val="22"/>
        </w:rPr>
        <w:t>"I read through both your course proposal and the NSERC Discovery Grant. Your program uses a 3-objective staircase to separate prenatal from lactocrine programming, using a twin ewe model to isolate the two effects cleanly."</w:t>
      </w:r>
    </w:p>
    <w:p w14:paraId="2D0111DF">
      <w:pPr>
        <w:spacing w:before="80" w:after="80"/>
      </w:pPr>
    </w:p>
    <w:p w14:paraId="5443F3E0">
      <w:pPr>
        <w:spacing w:before="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02. 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Be honest about your position  </w:t>
      </w:r>
      <w:r>
        <w:rPr>
          <w:rFonts w:ascii="Arial" w:hAnsi="Arial" w:eastAsia="Arial" w:cs="Arial"/>
          <w:i/>
          <w:iCs/>
          <w:color w:val="666666"/>
          <w:sz w:val="22"/>
          <w:szCs w:val="22"/>
        </w:rPr>
        <w:t>Profs respect self-awareness more than pretending.</w:t>
      </w:r>
    </w:p>
    <w:p w14:paraId="33699777">
      <w:pPr>
        <w:spacing w:before="60" w:after="100"/>
        <w:ind w:left="360"/>
      </w:pPr>
      <w:r>
        <w:rPr>
          <w:rFonts w:ascii="Arial" w:hAnsi="Arial" w:eastAsia="Arial" w:cs="Arial"/>
          <w:i/>
          <w:iCs/>
          <w:color w:val="2E75B6"/>
          <w:sz w:val="22"/>
          <w:szCs w:val="22"/>
        </w:rPr>
        <w:t>"I'm converting from the internship track to a major research project — my timeline is about 4-6 months, I'm still building my R skills, and I won't be running animal trials."</w:t>
      </w:r>
    </w:p>
    <w:p w14:paraId="4D59B57A">
      <w:pPr>
        <w:spacing w:before="80" w:after="80"/>
      </w:pPr>
    </w:p>
    <w:p w14:paraId="0F4B1CBE">
      <w:pPr>
        <w:spacing w:before="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03. 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Float your background as an asset  </w:t>
      </w:r>
      <w:r>
        <w:rPr>
          <w:rFonts w:ascii="Arial" w:hAnsi="Arial" w:eastAsia="Arial" w:cs="Arial"/>
          <w:i/>
          <w:iCs/>
          <w:color w:val="666666"/>
          <w:sz w:val="22"/>
          <w:szCs w:val="22"/>
        </w:rPr>
        <w:t>Let your vet training do the talking.</w:t>
      </w:r>
    </w:p>
    <w:p w14:paraId="4388D41C">
      <w:pPr>
        <w:spacing w:before="60" w:after="100"/>
        <w:ind w:left="360"/>
      </w:pPr>
      <w:r>
        <w:rPr>
          <w:rFonts w:ascii="Arial" w:hAnsi="Arial" w:eastAsia="Arial" w:cs="Arial"/>
          <w:i/>
          <w:iCs/>
          <w:color w:val="2E75B6"/>
          <w:sz w:val="22"/>
          <w:szCs w:val="22"/>
        </w:rPr>
        <w:t>"My clinical vet background and histomorphology thesis experience could be useful for interpreting health or tissue-level data — that's where I feel I can add real value."</w:t>
      </w:r>
    </w:p>
    <w:p w14:paraId="50DE27BA">
      <w:pPr>
        <w:spacing w:before="80" w:after="80"/>
      </w:pPr>
    </w:p>
    <w:p w14:paraId="536F6597">
      <w:pPr>
        <w:spacing w:before="80" w:after="8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04. 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Ask the key question  </w:t>
      </w:r>
      <w:r>
        <w:rPr>
          <w:rFonts w:ascii="Arial" w:hAnsi="Arial" w:eastAsia="Arial" w:cs="Arial"/>
          <w:i/>
          <w:iCs/>
          <w:color w:val="666666"/>
          <w:sz w:val="22"/>
          <w:szCs w:val="22"/>
        </w:rPr>
        <w:t>This flips the dynamic — you're thinking like a researcher.</w:t>
      </w:r>
    </w:p>
    <w:p w14:paraId="7A45E8ED">
      <w:pPr>
        <w:spacing w:before="60" w:after="100"/>
        <w:ind w:left="360"/>
      </w:pPr>
      <w:r>
        <w:rPr>
          <w:rFonts w:ascii="Arial" w:hAnsi="Arial" w:eastAsia="Arial" w:cs="Arial"/>
          <w:i/>
          <w:iCs/>
          <w:color w:val="2E75B6"/>
          <w:sz w:val="22"/>
          <w:szCs w:val="22"/>
        </w:rPr>
        <w:t>"Based on where you are in the Discovery Grant timeline, is there existing data from earlier objectives that could be a good fit for my project?"</w:t>
      </w:r>
    </w:p>
    <w:p w14:paraId="2D148795">
      <w:pPr>
        <w:pBdr>
          <w:bottom w:val="single" w:color="DDDDDD" w:sz="4" w:space="0"/>
        </w:pBdr>
        <w:spacing w:before="160" w:after="160"/>
      </w:pPr>
    </w:p>
    <w:p w14:paraId="47831CB8">
      <w:pPr>
        <w:pStyle w:val="2"/>
      </w:pPr>
      <w:r>
        <w:t>2.  Key Concepts to Say Confidently</w:t>
      </w:r>
    </w:p>
    <w:p w14:paraId="50962DE3">
      <w:pPr>
        <w:spacing w:before="200" w:after="60"/>
      </w:pPr>
      <w:r>
        <w:rPr>
          <w:rFonts w:ascii="Arial" w:hAnsi="Arial" w:eastAsia="Arial" w:cs="Arial"/>
          <w:b/>
          <w:bCs/>
          <w:color w:val="888888"/>
          <w:sz w:val="18"/>
          <w:szCs w:val="18"/>
        </w:rPr>
        <w:t>DROP THESE NATURALLY — DON'T FORCE THEM</w:t>
      </w:r>
    </w:p>
    <w:p w14:paraId="77F9667F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"/>
        <w:gridCol w:w="9180"/>
      </w:tblGrid>
      <w:tr w14:paraId="49053B2D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" w:type="dxa"/>
            <w:tcBorders>
              <w:top w:val="nil"/>
              <w:left w:val="single" w:color="2E75B6" w:sz="12" w:space="0"/>
              <w:bottom w:val="nil"/>
              <w:right w:val="nil"/>
            </w:tcBorders>
            <w:shd w:val="clear" w:color="auto" w:fill="FFFFFF"/>
          </w:tcPr>
          <w:p w14:paraId="0D35E662"/>
        </w:tc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3E7F772">
            <w:pPr>
              <w:spacing w:before="40" w:after="20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Prenatal vs. Lactocrine Programming</w:t>
            </w:r>
          </w:p>
          <w:p w14:paraId="61DE236C">
            <w:pPr>
              <w:spacing w:before="20" w:after="40"/>
            </w:pP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Prenatal = offspring shaped in the womb by mom's nutrition. Lactocrine = offspring shaped by bioactives in colostrum after birth. OBJ3 uses twin lambs to cleanly separate the two effects.</w:t>
            </w:r>
          </w:p>
        </w:tc>
      </w:tr>
    </w:tbl>
    <w:p w14:paraId="6A569030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"/>
        <w:gridCol w:w="9180"/>
      </w:tblGrid>
      <w:tr w14:paraId="686ABF13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" w:type="dxa"/>
            <w:tcBorders>
              <w:top w:val="nil"/>
              <w:left w:val="single" w:color="1D9E75" w:sz="12" w:space="0"/>
              <w:bottom w:val="nil"/>
              <w:right w:val="nil"/>
            </w:tcBorders>
            <w:shd w:val="clear" w:color="auto" w:fill="FFFFFF"/>
          </w:tcPr>
          <w:p w14:paraId="210498A3">
            <w:bookmarkStart w:id="0" w:name="_GoBack" w:colFirst="1" w:colLast="1"/>
          </w:p>
        </w:tc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06EE13C">
            <w:pPr>
              <w:spacing w:before="40" w:after="20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The 3-Objective Staircase Logic</w:t>
            </w:r>
          </w:p>
          <w:p w14:paraId="792A8166">
            <w:pPr>
              <w:spacing w:before="20" w:after="40"/>
            </w:pP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OBJ1 → Does colostrum OS matter for the baby's gut? → OBJ2 → Can we change OS through maternal diet? → OBJ3 → Is it the womb or the colostrum doing the programming? Each builds on the last.</w:t>
            </w:r>
          </w:p>
        </w:tc>
      </w:tr>
      <w:bookmarkEnd w:id="0"/>
    </w:tbl>
    <w:p w14:paraId="25DDDBB4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"/>
        <w:gridCol w:w="9180"/>
      </w:tblGrid>
      <w:tr w14:paraId="23D76ABC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" w:type="dxa"/>
            <w:tcBorders>
              <w:top w:val="nil"/>
              <w:left w:val="single" w:color="BA7517" w:sz="12" w:space="0"/>
              <w:bottom w:val="nil"/>
              <w:right w:val="nil"/>
            </w:tcBorders>
            <w:shd w:val="clear" w:color="auto" w:fill="FFFFFF"/>
          </w:tcPr>
          <w:p w14:paraId="2DCACFDD"/>
        </w:tc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06ABAC8">
            <w:pPr>
              <w:spacing w:before="40" w:after="20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Why Ewes, Not Cows?</w:t>
            </w:r>
          </w:p>
          <w:p w14:paraId="71072846">
            <w:pPr>
              <w:spacing w:before="20" w:after="40"/>
            </w:pP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Twin lambs share the same prenatal environment but can receive different colostrum treatments. That's the experimental power — you isolate prenatal from postnatal effects in a single litter.</w:t>
            </w:r>
          </w:p>
        </w:tc>
      </w:tr>
    </w:tbl>
    <w:p w14:paraId="54AF7141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"/>
        <w:gridCol w:w="9180"/>
      </w:tblGrid>
      <w:tr w14:paraId="66A9EC65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" w:type="dxa"/>
            <w:tcBorders>
              <w:top w:val="nil"/>
              <w:left w:val="single" w:color="7F77DD" w:sz="12" w:space="0"/>
              <w:bottom w:val="nil"/>
              <w:right w:val="nil"/>
            </w:tcBorders>
            <w:shd w:val="clear" w:color="auto" w:fill="FFFFFF"/>
          </w:tcPr>
          <w:p w14:paraId="3D0EE8F4"/>
        </w:tc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F8F9FA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5A3124D">
            <w:pPr>
              <w:spacing w:before="40" w:after="20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Colostrum is Not Just First Milk</w:t>
            </w:r>
          </w:p>
          <w:p w14:paraId="0E2DE1FB">
            <w:pPr>
              <w:spacing w:before="20" w:after="40"/>
            </w:pP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It's a biological delivery system — oligosaccharides, insulin, leptin, IgG — each with separate roles in GIT development, immune programming, and neonatal metabolism.</w:t>
            </w:r>
          </w:p>
        </w:tc>
      </w:tr>
    </w:tbl>
    <w:p w14:paraId="132A53FD">
      <w:pPr>
        <w:pBdr>
          <w:bottom w:val="single" w:color="DDDDDD" w:sz="4" w:space="0"/>
        </w:pBdr>
        <w:spacing w:before="160" w:after="160"/>
      </w:pPr>
    </w:p>
    <w:p w14:paraId="15855703">
      <w:pPr>
        <w:pStyle w:val="2"/>
      </w:pPr>
      <w:r>
        <w:t>3.  Project Topic Pitches — Bring 3 Options</w:t>
      </w:r>
    </w:p>
    <w:p w14:paraId="10066FC8">
      <w:pPr>
        <w:spacing w:before="200" w:after="60"/>
      </w:pPr>
      <w:r>
        <w:rPr>
          <w:rFonts w:ascii="Arial" w:hAnsi="Arial" w:eastAsia="Arial" w:cs="Arial"/>
          <w:b/>
          <w:bCs/>
          <w:color w:val="888888"/>
          <w:sz w:val="18"/>
          <w:szCs w:val="18"/>
        </w:rPr>
        <w:t>PRESENT AS CONVERSATION STARTERS, NOT FINAL DECISIONS</w:t>
      </w:r>
    </w:p>
    <w:p w14:paraId="79BF3A0E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843A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A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FF996B">
            <w:r>
              <w:rPr>
                <w:rFonts w:ascii="Arial" w:hAnsi="Arial" w:eastAsia="Arial" w:cs="Arial"/>
                <w:color w:val="CCCCCC"/>
                <w:sz w:val="32"/>
                <w:szCs w:val="32"/>
              </w:rPr>
              <w:t xml:space="preserve">01  </w:t>
            </w:r>
            <w:r>
              <w:rPr>
                <w:rFonts w:ascii="Arial" w:hAnsi="Arial" w:eastAsia="Arial" w:cs="Arial"/>
                <w:b/>
                <w:bCs/>
                <w:color w:val="27500A"/>
                <w:sz w:val="22"/>
                <w:szCs w:val="22"/>
              </w:rPr>
              <w:t>Secondary Data from OBJ1  [Best fit]</w:t>
            </w:r>
          </w:p>
          <w:p w14:paraId="61DA6DE0">
            <w:pPr>
              <w:spacing w:before="60"/>
            </w:pP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OBJ1 (Years 1-2) lamb trial is likely already complete. GIT histomorphology, IgG, blood metabolites, and microbiome data may still be waiting for analysis. Your broiler histomorphology thesis is directly relevant here.</w:t>
            </w:r>
          </w:p>
          <w:p w14:paraId="1C3174D5">
            <w:pPr>
              <w:spacing w:before="80"/>
            </w:pPr>
            <w:r>
              <w:rPr>
                <w:rFonts w:ascii="Arial" w:hAnsi="Arial" w:eastAsia="Arial" w:cs="Arial"/>
                <w:i/>
                <w:iCs/>
                <w:color w:val="2E75B6"/>
                <w:sz w:val="20"/>
                <w:szCs w:val="20"/>
              </w:rPr>
              <w:t>Say to Dr. Steele: "Do you have OBJ1 datasets that still need analysis or a paper written up? I think my histomorphology background is a good fit."</w:t>
            </w:r>
          </w:p>
        </w:tc>
      </w:tr>
    </w:tbl>
    <w:p w14:paraId="4DF2765C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C116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A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FCFEC4">
            <w:r>
              <w:rPr>
                <w:rFonts w:ascii="Arial" w:hAnsi="Arial" w:eastAsia="Arial" w:cs="Arial"/>
                <w:color w:val="CCCCCC"/>
                <w:sz w:val="32"/>
                <w:szCs w:val="32"/>
              </w:rPr>
              <w:t xml:space="preserve">02  </w:t>
            </w:r>
            <w:r>
              <w:rPr>
                <w:rFonts w:ascii="Arial" w:hAnsi="Arial" w:eastAsia="Arial" w:cs="Arial"/>
                <w:b/>
                <w:bCs/>
                <w:color w:val="185FA5"/>
                <w:sz w:val="22"/>
                <w:szCs w:val="22"/>
              </w:rPr>
              <w:t>Calf Health Outcomes Analysis</w:t>
            </w:r>
          </w:p>
          <w:p w14:paraId="7CE889BF">
            <w:pPr>
              <w:spacing w:before="60"/>
            </w:pP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Any completed probiotic or feeding trial data — growth, health scores, fecal scores, disease incidence. You can clinically interpret what others can't because you're a registered vet.</w:t>
            </w:r>
          </w:p>
          <w:p w14:paraId="4692058D">
            <w:pPr>
              <w:spacing w:before="80"/>
            </w:pPr>
            <w:r>
              <w:rPr>
                <w:rFonts w:ascii="Arial" w:hAnsi="Arial" w:eastAsia="Arial" w:cs="Arial"/>
                <w:i/>
                <w:iCs/>
                <w:color w:val="2E75B6"/>
                <w:sz w:val="20"/>
                <w:szCs w:val="20"/>
              </w:rPr>
              <w:t>Say to Dr. Steele: "My vet background lets me properly interpret health outcome data — is there a calf trial dataset that still needs that clinical lens?"</w:t>
            </w:r>
          </w:p>
        </w:tc>
      </w:tr>
    </w:tbl>
    <w:p w14:paraId="27AFDCB0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420D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A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927EAF">
            <w:r>
              <w:rPr>
                <w:rFonts w:ascii="Arial" w:hAnsi="Arial" w:eastAsia="Arial" w:cs="Arial"/>
                <w:color w:val="CCCCCC"/>
                <w:sz w:val="32"/>
                <w:szCs w:val="32"/>
              </w:rPr>
              <w:t xml:space="preserve">03  </w:t>
            </w:r>
            <w:r>
              <w:rPr>
                <w:rFonts w:ascii="Arial" w:hAnsi="Arial" w:eastAsia="Arial" w:cs="Arial"/>
                <w:b/>
                <w:bCs/>
                <w:color w:val="185FA5"/>
                <w:sz w:val="22"/>
                <w:szCs w:val="22"/>
              </w:rPr>
              <w:t>Systematic Review</w:t>
            </w:r>
          </w:p>
          <w:p w14:paraId="6185487B">
            <w:pPr>
              <w:spacing w:before="60"/>
            </w:pP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A focused literature synthesis on colostral oligosaccharides and neonatal GIT development across ruminant species. Maps directly onto OBJ1. No lab data needed, publishable, and very doable within your timeline.</w:t>
            </w:r>
          </w:p>
          <w:p w14:paraId="4B2628C9">
            <w:pPr>
              <w:spacing w:before="80"/>
            </w:pPr>
            <w:r>
              <w:rPr>
                <w:rFonts w:ascii="Arial" w:hAnsi="Arial" w:eastAsia="Arial" w:cs="Arial"/>
                <w:i/>
                <w:iCs/>
                <w:color w:val="2E75B6"/>
                <w:sz w:val="20"/>
                <w:szCs w:val="20"/>
              </w:rPr>
              <w:t>Say to Dr. Steele: "Would a systematic review on colostral OS and neonatal gut development be a useful contribution to the lab's direction?"</w:t>
            </w:r>
          </w:p>
        </w:tc>
      </w:tr>
    </w:tbl>
    <w:p w14:paraId="3990AE00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332A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A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ED5C53">
            <w:r>
              <w:rPr>
                <w:rFonts w:ascii="Arial" w:hAnsi="Arial" w:eastAsia="Arial" w:cs="Arial"/>
                <w:color w:val="CCCCCC"/>
                <w:sz w:val="32"/>
                <w:szCs w:val="32"/>
              </w:rPr>
              <w:t xml:space="preserve">04  </w:t>
            </w:r>
            <w:r>
              <w:rPr>
                <w:rFonts w:ascii="Arial" w:hAnsi="Arial" w:eastAsia="Arial" w:cs="Arial"/>
                <w:b/>
                <w:bCs/>
                <w:color w:val="185FA5"/>
                <w:sz w:val="22"/>
                <w:szCs w:val="22"/>
              </w:rPr>
              <w:t>Colostrum Composition Variation</w:t>
            </w:r>
          </w:p>
          <w:p w14:paraId="654F2FA6">
            <w:pPr>
              <w:spacing w:before="60"/>
            </w:pP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Characterizing how IgG, OS, insulin, leptin vary by parity, season, or breed using existing datasets. Straightforward stats, clear story, achievable for your current R skill level with guidance.</w:t>
            </w:r>
          </w:p>
          <w:p w14:paraId="7BCE4F2A">
            <w:pPr>
              <w:spacing w:before="80"/>
            </w:pPr>
            <w:r>
              <w:rPr>
                <w:rFonts w:ascii="Arial" w:hAnsi="Arial" w:eastAsia="Arial" w:cs="Arial"/>
                <w:i/>
                <w:iCs/>
                <w:color w:val="2E75B6"/>
                <w:sz w:val="20"/>
                <w:szCs w:val="20"/>
              </w:rPr>
              <w:t>Say to Dr. Steele: "Do you have colostrum composition data where parity or seasonal variation hasn't been fully explored yet?"</w:t>
            </w:r>
          </w:p>
        </w:tc>
      </w:tr>
    </w:tbl>
    <w:p w14:paraId="205E65BD">
      <w:pPr>
        <w:pBdr>
          <w:bottom w:val="single" w:color="DDDDDD" w:sz="4" w:space="0"/>
        </w:pBdr>
        <w:spacing w:before="160" w:after="160"/>
      </w:pPr>
    </w:p>
    <w:p w14:paraId="17995A6A">
      <w:pPr>
        <w:pStyle w:val="2"/>
      </w:pPr>
      <w:r>
        <w:t>4.  Smart Questions to Ask Him</w:t>
      </w:r>
    </w:p>
    <w:p w14:paraId="1014656A">
      <w:pPr>
        <w:spacing w:before="200" w:after="60"/>
      </w:pPr>
      <w:r>
        <w:rPr>
          <w:rFonts w:ascii="Arial" w:hAnsi="Arial" w:eastAsia="Arial" w:cs="Arial"/>
          <w:b/>
          <w:bCs/>
          <w:color w:val="888888"/>
          <w:sz w:val="18"/>
          <w:szCs w:val="18"/>
        </w:rPr>
        <w:t>END THE MEETING WITH THESE — SHOWS YOU'RE THINKING AHEAD</w:t>
      </w:r>
    </w:p>
    <w:p w14:paraId="76690DB6">
      <w:pPr>
        <w:spacing w:before="80" w:after="80"/>
      </w:pPr>
    </w:p>
    <w:p w14:paraId="0EC46A5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What phase of the Discovery Grant are you currently running, and is there data from earlier objectives ready for analysis?</w:t>
      </w:r>
    </w:p>
    <w:p w14:paraId="0ACB7F7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What would a successful major research project look like from your perspective — a paper submission, a conference presentation?</w:t>
      </w:r>
    </w:p>
    <w:p w14:paraId="3EFA46D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Are there other grad students I'd be working alongside whose projects I should be aware of to avoid overlap?</w:t>
      </w:r>
    </w:p>
    <w:p w14:paraId="13F48F7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What timeline do you have in mind for my project to officially start?</w:t>
      </w:r>
    </w:p>
    <w:p w14:paraId="02BA30B5">
      <w:pPr>
        <w:pBdr>
          <w:bottom w:val="single" w:color="DDDDDD" w:sz="4" w:space="0"/>
        </w:pBdr>
        <w:spacing w:before="160" w:after="160"/>
      </w:pPr>
    </w:p>
    <w:p w14:paraId="7B0CB0DA">
      <w:pPr>
        <w:pStyle w:val="2"/>
      </w:pPr>
      <w:r>
        <w:t>5.  Key Terms to Know Cold</w:t>
      </w:r>
    </w:p>
    <w:p w14:paraId="4C6FF6B9">
      <w:pPr>
        <w:spacing w:before="200" w:after="60"/>
      </w:pPr>
      <w:r>
        <w:rPr>
          <w:rFonts w:ascii="Arial" w:hAnsi="Arial" w:eastAsia="Arial" w:cs="Arial"/>
          <w:b/>
          <w:bCs/>
          <w:color w:val="888888"/>
          <w:sz w:val="18"/>
          <w:szCs w:val="18"/>
        </w:rPr>
        <w:t>USE THESE NATURALLY IN CONVERSATION</w:t>
      </w:r>
    </w:p>
    <w:p w14:paraId="0B466A4B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7020"/>
      </w:tblGrid>
      <w:tr w14:paraId="53915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39941">
            <w:r>
              <w:rPr>
                <w:rFonts w:ascii="Arial" w:hAnsi="Arial" w:eastAsia="Arial" w:cs="Arial"/>
                <w:b/>
                <w:bCs/>
                <w:color w:val="0C447C"/>
                <w:sz w:val="20"/>
                <w:szCs w:val="20"/>
              </w:rPr>
              <w:t>Colostrogenesis</w:t>
            </w:r>
          </w:p>
        </w:tc>
        <w:tc>
          <w:tcPr>
            <w:tcW w:w="7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10E9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The process of colostrum formation in the mammary gland before parturition.</w:t>
            </w:r>
          </w:p>
        </w:tc>
      </w:tr>
      <w:tr w14:paraId="1A0B1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176FB">
            <w:r>
              <w:rPr>
                <w:rFonts w:ascii="Arial" w:hAnsi="Arial" w:eastAsia="Arial" w:cs="Arial"/>
                <w:b/>
                <w:bCs/>
                <w:color w:val="0C447C"/>
                <w:sz w:val="20"/>
                <w:szCs w:val="20"/>
              </w:rPr>
              <w:t>Oligosaccharides (OS)</w:t>
            </w:r>
          </w:p>
        </w:tc>
        <w:tc>
          <w:tcPr>
            <w:tcW w:w="7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6777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Bioactive carbohydrates in colostrum that shape gut microbiota and function beyond just caloric value.</w:t>
            </w:r>
          </w:p>
        </w:tc>
      </w:tr>
      <w:tr w14:paraId="62D1C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32604">
            <w:r>
              <w:rPr>
                <w:rFonts w:ascii="Arial" w:hAnsi="Arial" w:eastAsia="Arial" w:cs="Arial"/>
                <w:b/>
                <w:bCs/>
                <w:color w:val="0C447C"/>
                <w:sz w:val="20"/>
                <w:szCs w:val="20"/>
              </w:rPr>
              <w:t>IgG / Passive Transfer</w:t>
            </w:r>
          </w:p>
        </w:tc>
        <w:tc>
          <w:tcPr>
            <w:tcW w:w="7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BA31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Immunoglobulin G — key antibody in colostrum that gives the newborn its first immune protection.</w:t>
            </w:r>
          </w:p>
        </w:tc>
      </w:tr>
      <w:tr w14:paraId="5F335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E4EC0">
            <w:r>
              <w:rPr>
                <w:rFonts w:ascii="Arial" w:hAnsi="Arial" w:eastAsia="Arial" w:cs="Arial"/>
                <w:b/>
                <w:bCs/>
                <w:color w:val="0C447C"/>
                <w:sz w:val="20"/>
                <w:szCs w:val="20"/>
              </w:rPr>
              <w:t>GIT Permeability</w:t>
            </w:r>
          </w:p>
        </w:tc>
        <w:tc>
          <w:tcPr>
            <w:tcW w:w="7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7D0B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How 'leaky' the gut wall is — high permeability = more risk of pathogens entering the bloodstream.</w:t>
            </w:r>
          </w:p>
        </w:tc>
      </w:tr>
      <w:tr w14:paraId="266AD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94401">
            <w:r>
              <w:rPr>
                <w:rFonts w:ascii="Arial" w:hAnsi="Arial" w:eastAsia="Arial" w:cs="Arial"/>
                <w:b/>
                <w:bCs/>
                <w:color w:val="0C447C"/>
                <w:sz w:val="20"/>
                <w:szCs w:val="20"/>
              </w:rPr>
              <w:t>Histomorphometry</w:t>
            </w:r>
          </w:p>
        </w:tc>
        <w:tc>
          <w:tcPr>
            <w:tcW w:w="7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8C9C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Measuring gut tissue structure — villus height, crypt depth — to assess development and health.</w:t>
            </w:r>
          </w:p>
        </w:tc>
      </w:tr>
      <w:tr w14:paraId="7B99B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1A70">
            <w:r>
              <w:rPr>
                <w:rFonts w:ascii="Arial" w:hAnsi="Arial" w:eastAsia="Arial" w:cs="Arial"/>
                <w:b/>
                <w:bCs/>
                <w:color w:val="0C447C"/>
                <w:sz w:val="20"/>
                <w:szCs w:val="20"/>
              </w:rPr>
              <w:t>16S rDNA Microbiome</w:t>
            </w:r>
          </w:p>
        </w:tc>
        <w:tc>
          <w:tcPr>
            <w:tcW w:w="7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72D5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Technique for profiling microbial communities in the gut using bacterial gene sequencing.</w:t>
            </w:r>
          </w:p>
        </w:tc>
      </w:tr>
      <w:tr w14:paraId="01C1D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DE48B">
            <w:r>
              <w:rPr>
                <w:rFonts w:ascii="Arial" w:hAnsi="Arial" w:eastAsia="Arial" w:cs="Arial"/>
                <w:b/>
                <w:bCs/>
                <w:color w:val="0C447C"/>
                <w:sz w:val="20"/>
                <w:szCs w:val="20"/>
              </w:rPr>
              <w:t>Prenatal Programming</w:t>
            </w:r>
          </w:p>
        </w:tc>
        <w:tc>
          <w:tcPr>
            <w:tcW w:w="7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09A1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Fetal development shaped by the mother's nutrition or metabolic state during gestation.</w:t>
            </w:r>
          </w:p>
        </w:tc>
      </w:tr>
      <w:tr w14:paraId="3D9D6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E2563">
            <w:r>
              <w:rPr>
                <w:rFonts w:ascii="Arial" w:hAnsi="Arial" w:eastAsia="Arial" w:cs="Arial"/>
                <w:b/>
                <w:bCs/>
                <w:color w:val="0C447C"/>
                <w:sz w:val="20"/>
                <w:szCs w:val="20"/>
              </w:rPr>
              <w:t>Lactocrine Programming</w:t>
            </w:r>
          </w:p>
        </w:tc>
        <w:tc>
          <w:tcPr>
            <w:tcW w:w="7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703A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Offspring development shaped by bioactive compounds delivered through colostrum and milk.</w:t>
            </w:r>
          </w:p>
        </w:tc>
      </w:tr>
      <w:tr w14:paraId="363A9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B85F6">
            <w:r>
              <w:rPr>
                <w:rFonts w:ascii="Arial" w:hAnsi="Arial" w:eastAsia="Arial" w:cs="Arial"/>
                <w:b/>
                <w:bCs/>
                <w:color w:val="0C447C"/>
                <w:sz w:val="20"/>
                <w:szCs w:val="20"/>
              </w:rPr>
              <w:t>Negative Energy Balance</w:t>
            </w:r>
          </w:p>
        </w:tc>
        <w:tc>
          <w:tcPr>
            <w:tcW w:w="7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793F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When a cow's energy demands exceed intake — common after calving, increases disease risk.</w:t>
            </w:r>
          </w:p>
        </w:tc>
      </w:tr>
      <w:tr w14:paraId="0F8D3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E79F9">
            <w:r>
              <w:rPr>
                <w:rFonts w:ascii="Arial" w:hAnsi="Arial" w:eastAsia="Arial" w:cs="Arial"/>
                <w:b/>
                <w:bCs/>
                <w:color w:val="0C447C"/>
                <w:sz w:val="20"/>
                <w:szCs w:val="20"/>
              </w:rPr>
              <w:t>PROC GLIMMIX / Mixed Models</w:t>
            </w:r>
          </w:p>
        </w:tc>
        <w:tc>
          <w:tcPr>
            <w:tcW w:w="70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632F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Statistical procedures in SAS/R used to analyze repeated measures and complex experimental designs.</w:t>
            </w:r>
          </w:p>
        </w:tc>
      </w:tr>
    </w:tbl>
    <w:p w14:paraId="1B44A978">
      <w:pPr>
        <w:pBdr>
          <w:bottom w:val="single" w:color="DDDDDD" w:sz="4" w:space="0"/>
        </w:pBdr>
        <w:spacing w:before="160" w:after="160"/>
      </w:pPr>
    </w:p>
    <w:p w14:paraId="08A9F810">
      <w:pPr>
        <w:pStyle w:val="2"/>
      </w:pPr>
      <w:r>
        <w:t>6.  Quick Reminders for the Meeting</w:t>
      </w:r>
    </w:p>
    <w:p w14:paraId="6C34C0C1">
      <w:pPr>
        <w:spacing w:before="200" w:after="60"/>
      </w:pPr>
      <w:r>
        <w:rPr>
          <w:rFonts w:ascii="Arial" w:hAnsi="Arial" w:eastAsia="Arial" w:cs="Arial"/>
          <w:b/>
          <w:bCs/>
          <w:color w:val="888888"/>
          <w:sz w:val="18"/>
          <w:szCs w:val="18"/>
        </w:rPr>
        <w:t>KEEP THESE IN THE BACK OF YOUR MIND</w:t>
      </w:r>
    </w:p>
    <w:p w14:paraId="4EED9254">
      <w:pPr>
        <w:spacing w:before="80" w:after="80"/>
      </w:pPr>
    </w:p>
    <w:p w14:paraId="327C580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You have an 85 GPA and your highest grade (91) was in Growth &amp; Metabolism — the core of Dr. Steele's research.</w:t>
      </w:r>
    </w:p>
    <w:p w14:paraId="6F3366C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You did ANSC6490 (Advanced Dairy Management) — the exact course this proposal came from. Mention that connection.</w:t>
      </w:r>
    </w:p>
    <w:p w14:paraId="713D777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Don't pretend to know more than you do. Honesty + curiosity &gt; fake confidence.</w:t>
      </w:r>
    </w:p>
    <w:p w14:paraId="3BD9E51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Let him talk. Ask questions. Nod. Show you're listening and thinking.</w:t>
      </w:r>
    </w:p>
    <w:p w14:paraId="1A5CCEE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End by asking what the next steps are and when to follow up.</w:t>
      </w:r>
    </w:p>
    <w:p w14:paraId="0CDFF9E4">
      <w:pPr>
        <w:spacing w:before="80" w:after="80"/>
      </w:pPr>
    </w:p>
    <w:p w14:paraId="7E738292">
      <w:pPr>
        <w:spacing w:before="200"/>
      </w:pPr>
      <w:r>
        <w:rPr>
          <w:rFonts w:ascii="Arial" w:hAnsi="Arial" w:eastAsia="Arial" w:cs="Arial"/>
          <w:i/>
          <w:iCs/>
          <w:color w:val="888888"/>
          <w:sz w:val="20"/>
          <w:szCs w:val="20"/>
        </w:rPr>
        <w:t>You've done the work. Walk in calm, confident, and curious. Good luck! — Claude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1B422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280" w:after="120"/>
      <w:outlineLvl w:val="0"/>
    </w:pPr>
    <w:rPr>
      <w:rFonts w:ascii="Arial" w:hAnsi="Arial" w:eastAsia="Arial" w:cs="Arial"/>
      <w:b/>
      <w:bCs/>
      <w:color w:val="1F3864"/>
      <w:sz w:val="34"/>
      <w:szCs w:val="34"/>
    </w:rPr>
  </w:style>
  <w:style w:type="paragraph" w:styleId="3">
    <w:name w:val="heading 2"/>
    <w:next w:val="1"/>
    <w:qFormat/>
    <w:uiPriority w:val="0"/>
    <w:pPr>
      <w:spacing w:before="200" w:after="8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725</Words>
  <Characters>3817</Characters>
  <TotalTime>3105</TotalTime>
  <ScaleCrop>false</ScaleCrop>
  <LinksUpToDate>false</LinksUpToDate>
  <CharactersWithSpaces>4516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2026-04-27T15:05:00Z</dcterms:created>
  <dc:creator>Un-named</dc:creator>
  <cp:lastModifiedBy>achyut acharya</cp:lastModifiedBy>
  <dcterms:modified xsi:type="dcterms:W3CDTF">2026-04-29T18:51:39Z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eyJoZGlkIjoiNWQ0ODNlNjUxODA1N2QwMDYwYTk5OTc5Mzc5NzJkMzQiLCJ1c2VySWQiOiIxNTY4NTkzNjgyMDAyNSJ9</vt:lpwstr>
  </property>
  <property fmtid="{D5CDD505-2E9C-101B-9397-08002B2CF9AE}" pid="3" name="KSOProductBuildVer">
    <vt:lpwstr>1033-12.1.0.25242</vt:lpwstr>
  </property>
  <property fmtid="{D5CDD505-2E9C-101B-9397-08002B2CF9AE}" pid="4" name="ICV">
    <vt:lpwstr>D6CFDF0243674A93A715D1F33AFC6F24_12</vt:lpwstr>
  </property>
</Properties>
</file>