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Data Contracts Framework — Consumer Key Ring (Snowflake → Fabric)</w:t>
      </w:r>
    </w:p>
    <w:p>
      <w:pPr/>
      <w:r>
        <w:t xml:space="preserve">Oct 12, 2026</w:t>
      </w:r>
      <w:r>
        <w:t xml:space="preserve"> · </w:t>
      </w:r>
      <w:r>
        <w:t xml:space="preserve">@Sai</w:t>
      </w:r>
    </w:p>
    <w:p>
      <w:pPr>
        <w:pStyle w:val="Heading2"/>
      </w:pPr>
      <w:r>
        <w:t xml:space="preserve">Purpose and audience</w:t>
      </w:r>
    </w:p>
    <w:p>
      <w:pPr/>
      <w:r>
        <w:t xml:space="preserve">Every Silver table in the TruStage Foundational Data Products build will be governed by an ODCS v3.1.0 data contract, validated automatically after each load by a metadata-driven PySpark notebook (</w:t>
      </w:r>
      <w:r>
        <w:rPr>
          <w:rStyle w:val="CodeChar"/>
        </w:rPr>
        <w:t xml:space="preserve">nb_data_contract</w:t>
      </w:r>
      <w:r>
        <w:t xml:space="preserve">). This doc explains how that works, using the Consumer Key Ring contract (</w:t>
      </w:r>
      <w:r>
        <w:rPr>
          <w:rStyle w:val="CodeChar"/>
        </w:rPr>
        <w:t xml:space="preserve">dbo.key_ring_identifier</w:t>
      </w:r>
      <w:r>
        <w:t xml:space="preserve">) as the worked example.</w:t>
      </w:r>
    </w:p>
    <w:p>
      <w:pPr/>
      <w:r>
        <w:rPr>
          <w:b/>
        </w:rPr>
        <w:t xml:space="preserve">Who should read it:</w:t>
      </w:r>
      <w:r>
        <w:t xml:space="preserve"> data engineers building Silver pipelines, QA/data quality engineers writing checks, data stewards and product owners approving contracts, and downstream consumers (analytics, Power BI) who depend on the tables.</w:t>
      </w:r>
    </w:p>
    <w:p>
      <w:pPr/>
      <w:r>
        <w:rPr>
          <w:b/>
        </w:rPr>
        <w:t xml:space="preserve">TL;DR</w:t>
      </w:r>
    </w:p>
    <w:p>
      <w:pPr>
        <w:pStyle w:val="ListParagraph"/>
        <w:numPr>
          <w:ilvl w:val="0"/>
          <w:numId w:val="2"/>
        </w:numPr>
      </w:pPr>
      <w:r>
        <w:t xml:space="preserve">A contract is a YAML file in </w:t>
      </w:r>
      <w:r>
        <w:rPr>
          <w:rStyle w:val="CodeChar"/>
        </w:rPr>
        <w:t xml:space="preserve">lh_silver/Files/data_contract/</w:t>
      </w:r>
      <w:r>
        <w:t xml:space="preserve"> that states the schema, rules, owners, access and SLA for a table.</w:t>
      </w:r>
    </w:p>
    <w:p>
      <w:pPr>
        <w:pStyle w:val="ListParagraph"/>
        <w:numPr>
          <w:ilvl w:val="0"/>
          <w:numId w:val="2"/>
        </w:numPr>
      </w:pPr>
      <w:r>
        <w:t xml:space="preserve">After each pipeline load, </w:t>
      </w:r>
      <w:r>
        <w:rPr>
          <w:rStyle w:val="CodeChar"/>
        </w:rPr>
        <w:t xml:space="preserve">nb_data_contract</w:t>
      </w:r>
      <w:r>
        <w:t xml:space="preserve"> lints the YAML, then runs type, null and custom SQL checks against the Lakehouse table.</w:t>
      </w:r>
    </w:p>
    <w:p>
      <w:pPr>
        <w:pStyle w:val="ListParagraph"/>
        <w:numPr>
          <w:ilvl w:val="0"/>
          <w:numId w:val="2"/>
        </w:numPr>
      </w:pPr>
      <w:r>
        <w:t xml:space="preserve">Every check result lands in </w:t>
      </w:r>
      <w:r>
        <w:rPr>
          <w:rStyle w:val="CodeChar"/>
        </w:rPr>
        <w:t xml:space="preserve">lh_silver.audit.data_contract_validation</w:t>
      </w:r>
      <w:r>
        <w:t xml:space="preserve">, tagged with the pipeline run ID.</w:t>
      </w:r>
    </w:p>
    <w:p>
      <w:pPr>
        <w:pStyle w:val="ListParagraph"/>
        <w:numPr>
          <w:ilvl w:val="0"/>
          <w:numId w:val="2"/>
        </w:numPr>
      </w:pPr>
      <w:r>
        <w:t xml:space="preserve">The framework is metadata-driven: adding a table means adding YAML, not writing new PySpark.</w:t>
      </w:r>
    </w:p>
    <w:p>
      <w:pPr>
        <w:pStyle w:val="ListParagraph"/>
        <w:numPr>
          <w:ilvl w:val="0"/>
          <w:numId w:val="2"/>
        </w:numPr>
      </w:pPr>
      <w:r>
        <w:t xml:space="preserve">The key ring contract is still DRAFT v1.0.0; open items are listed in the last sections.</w:t>
      </w:r>
    </w:p>
    <w:p>
      <w:pPr>
        <w:pStyle w:val="Heading2"/>
      </w:pPr>
      <w:r>
        <w:t xml:space="preserve">What a data contract is</w:t>
      </w:r>
    </w:p>
    <w:p>
      <w:pPr/>
      <w:r>
        <w:t xml:space="preserve">A data contract is a machine-readable agreement between the team that produces a table and the teams that consume it. It turns tribal knowledge ("this column is never null", "refreshes daily") into a versioned YAML file that a pipeline can test.</w:t>
      </w:r>
    </w:p>
    <w:p>
      <w:pPr/>
      <w:r>
        <w:t xml:space="preserve">We use the </w:t>
      </w:r>
      <w:r>
        <w:rPr>
          <w:b/>
        </w:rPr>
        <w:t xml:space="preserve">Open Data Contract Standard (ODCS) v3.1.0</w:t>
      </w:r>
      <w:r>
        <w:t xml:space="preserve">, an open standard from Bitol (Linux Foundation). The </w:t>
      </w:r>
      <w:r>
        <w:rPr>
          <w:rStyle w:val="CodeChar"/>
        </w:rPr>
        <w:t xml:space="preserve">datacontract-cli</w:t>
      </w:r>
      <w:r>
        <w:t xml:space="preserve"> Python library reads and lints ODCS files. ODCS sections, as used in the key ring contract: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ODCS section</w:t>
            </w:r>
          </w:p>
        </w:tc>
        <w:tc>
          <w:tcPr>
            <w:tcW w:w="3120" w:type="dxa"/>
            <w:shd w:val="clear" w:color="auto" w:fill="F2F2F2"/>
          </w:tcPr>
          <w:p>
            <w:pPr/>
            <w:r>
              <w:t xml:space="preserve">What it holds</w:t>
            </w:r>
          </w:p>
        </w:tc>
        <w:tc>
          <w:tcPr>
            <w:tcW w:w="3120" w:type="dxa"/>
            <w:shd w:val="clear" w:color="auto" w:fill="F2F2F2"/>
          </w:tcPr>
          <w:p>
            <w:pPr/>
            <w:r>
              <w:t xml:space="preserve">Key ring example</w:t>
            </w:r>
          </w:p>
        </w:tc>
      </w:tr>
      <w:tr>
        <w:tc>
          <w:tcPr>
            <w:tcW w:w="3120" w:type="dxa"/>
          </w:tcPr>
          <w:p>
            <w:pPr/>
            <w:r>
              <w:t xml:space="preserve">Fundamentals</w:t>
            </w:r>
          </w:p>
        </w:tc>
        <w:tc>
          <w:tcPr>
            <w:tcW w:w="3120" w:type="dxa"/>
          </w:tcPr>
          <w:p>
            <w:pPr/>
            <w:r>
              <w:t xml:space="preserve">ID, name, version, status, tenant, domain, data product</w:t>
            </w:r>
          </w:p>
        </w:tc>
        <w:tc>
          <w:tcPr>
            <w:tcW w:w="3120" w:type="dxa"/>
          </w:tcPr>
          <w:p>
            <w:pPr/>
            <w:r>
              <w:rPr>
                <w:rStyle w:val="CodeChar"/>
              </w:rPr>
              <w:t xml:space="preserve">dc-consumer-party-key-ring-identifier-001</w:t>
            </w:r>
            <w:r>
              <w:t xml:space="preserve">, DRAFT 1.0.0</w:t>
            </w:r>
          </w:p>
        </w:tc>
      </w:tr>
      <w:tr>
        <w:tc>
          <w:tcPr>
            <w:tcW w:w="3120" w:type="dxa"/>
          </w:tcPr>
          <w:p>
            <w:pPr/>
            <w:r>
              <w:t xml:space="preserve">Schema</w:t>
            </w:r>
          </w:p>
        </w:tc>
        <w:tc>
          <w:tcPr>
            <w:tcW w:w="3120" w:type="dxa"/>
          </w:tcPr>
          <w:p>
            <w:pPr/>
            <w:r>
              <w:t xml:space="preserve">Tables, columns, types, classification, required flags</w:t>
            </w:r>
          </w:p>
        </w:tc>
        <w:tc>
          <w:tcPr>
            <w:tcW w:w="3120" w:type="dxa"/>
          </w:tcPr>
          <w:p>
            <w:pPr/>
            <w:r>
              <w:t xml:space="preserve">14 columns of </w:t>
            </w:r>
            <w:r>
              <w:rPr>
                <w:rStyle w:val="CodeChar"/>
              </w:rPr>
              <w:t xml:space="preserve">dbo.key_ring_identifier</w:t>
            </w:r>
          </w:p>
        </w:tc>
      </w:tr>
      <w:tr>
        <w:tc>
          <w:tcPr>
            <w:tcW w:w="3120" w:type="dxa"/>
          </w:tcPr>
          <w:p>
            <w:pPr/>
            <w:r>
              <w:t xml:space="preserve">References</w:t>
            </w:r>
          </w:p>
        </w:tc>
        <w:tc>
          <w:tcPr>
            <w:tcW w:w="3120" w:type="dxa"/>
          </w:tcPr>
          <w:p>
            <w:pPr/>
            <w:r>
              <w:t xml:space="preserve">Links to canonical contract and policies</w:t>
            </w:r>
          </w:p>
        </w:tc>
        <w:tc>
          <w:tcPr>
            <w:tcW w:w="3120" w:type="dxa"/>
          </w:tcPr>
          <w:p>
            <w:pPr/>
            <w:r>
              <w:t xml:space="preserve">Contract URL, privacy statement</w:t>
            </w:r>
          </w:p>
        </w:tc>
      </w:tr>
      <w:tr>
        <w:tc>
          <w:tcPr>
            <w:tcW w:w="3120" w:type="dxa"/>
          </w:tcPr>
          <w:p>
            <w:pPr/>
            <w:r>
              <w:t xml:space="preserve">Data quality</w:t>
            </w:r>
          </w:p>
        </w:tc>
        <w:tc>
          <w:tcPr>
            <w:tcW w:w="3120" w:type="dxa"/>
          </w:tcPr>
          <w:p>
            <w:pPr/>
            <w:r>
              <w:t xml:space="preserve">Rules that must pass, with severity</w:t>
            </w:r>
          </w:p>
        </w:tc>
        <w:tc>
          <w:tcPr>
            <w:tcW w:w="3120" w:type="dxa"/>
          </w:tcPr>
          <w:p>
            <w:pPr/>
            <w:r>
              <w:t xml:space="preserve">DQ-01 to DQ-10</w:t>
            </w:r>
          </w:p>
        </w:tc>
      </w:tr>
      <w:tr>
        <w:tc>
          <w:tcPr>
            <w:tcW w:w="3120" w:type="dxa"/>
          </w:tcPr>
          <w:p>
            <w:pPr/>
            <w:r>
              <w:t xml:space="preserve">Roles</w:t>
            </w:r>
          </w:p>
        </w:tc>
        <w:tc>
          <w:tcPr>
            <w:tcW w:w="3120" w:type="dxa"/>
          </w:tcPr>
          <w:p>
            <w:pPr/>
            <w:r>
              <w:t xml:space="preserve">Who can read, write, administer</w:t>
            </w:r>
          </w:p>
        </w:tc>
        <w:tc>
          <w:tcPr>
            <w:tcW w:w="3120" w:type="dxa"/>
          </w:tcPr>
          <w:p>
            <w:pPr/>
            <w:r>
              <w:rPr>
                <w:rStyle w:val="CodeChar"/>
              </w:rPr>
              <w:t xml:space="preserve">KEY_RING_READ</w:t>
            </w:r>
            <w:r>
              <w:t xml:space="preserve">, </w:t>
            </w:r>
            <w:r>
              <w:rPr>
                <w:rStyle w:val="CodeChar"/>
              </w:rPr>
              <w:t xml:space="preserve">KEY_RING_ETL_WRITE</w:t>
            </w:r>
            <w:r>
              <w:t xml:space="preserve">, </w:t>
            </w:r>
            <w:r>
              <w:rPr>
                <w:rStyle w:val="CodeChar"/>
              </w:rPr>
              <w:t xml:space="preserve">KEY_RING_ADMIN</w:t>
            </w:r>
          </w:p>
        </w:tc>
      </w:tr>
      <w:tr>
        <w:tc>
          <w:tcPr>
            <w:tcW w:w="3120" w:type="dxa"/>
          </w:tcPr>
          <w:p>
            <w:pPr/>
            <w:r>
              <w:t xml:space="preserve">SLA</w:t>
            </w:r>
          </w:p>
        </w:tc>
        <w:tc>
          <w:tcPr>
            <w:tcW w:w="3120" w:type="dxa"/>
          </w:tcPr>
          <w:p>
            <w:pPr/>
            <w:r>
              <w:t xml:space="preserve">Freshness and latency</w:t>
            </w:r>
          </w:p>
        </w:tc>
        <w:tc>
          <w:tcPr>
            <w:tcW w:w="3120" w:type="dxa"/>
          </w:tcPr>
          <w:p>
            <w:pPr/>
            <w:r>
              <w:t xml:space="preserve">Refresh 1 day, latency 1 day</w:t>
            </w:r>
          </w:p>
        </w:tc>
      </w:tr>
      <w:tr>
        <w:tc>
          <w:tcPr>
            <w:tcW w:w="3120" w:type="dxa"/>
          </w:tcPr>
          <w:p>
            <w:pPr/>
            <w:r>
              <w:t xml:space="preserve">Infrastructure &amp; servers</w:t>
            </w:r>
          </w:p>
        </w:tc>
        <w:tc>
          <w:tcPr>
            <w:tcW w:w="3120" w:type="dxa"/>
          </w:tcPr>
          <w:p>
            <w:pPr/>
            <w:r>
              <w:t xml:space="preserve">Source and target platforms</w:t>
            </w:r>
          </w:p>
        </w:tc>
        <w:tc>
          <w:tcPr>
            <w:tcW w:w="3120" w:type="dxa"/>
          </w:tcPr>
          <w:p>
            <w:pPr/>
            <w:r>
              <w:t xml:space="preserve">Snowflake CDWP → Fabric </w:t>
            </w:r>
            <w:r>
              <w:rPr>
                <w:rStyle w:val="CodeChar"/>
              </w:rPr>
              <w:t xml:space="preserve">Silver_lh</w:t>
            </w:r>
          </w:p>
        </w:tc>
      </w:tr>
      <w:tr>
        <w:tc>
          <w:tcPr>
            <w:tcW w:w="3120" w:type="dxa"/>
          </w:tcPr>
          <w:p>
            <w:pPr/>
            <w:r>
              <w:t xml:space="preserve">Custom properties</w:t>
            </w:r>
          </w:p>
        </w:tc>
        <w:tc>
          <w:tcPr>
            <w:tcW w:w="3120" w:type="dxa"/>
          </w:tcPr>
          <w:p>
            <w:pPr/>
            <w:r>
              <w:t xml:space="preserve">Tags, source registry, changelog</w:t>
            </w:r>
          </w:p>
        </w:tc>
        <w:tc>
          <w:tcPr>
            <w:tcW w:w="3120" w:type="dxa"/>
          </w:tcPr>
          <w:p>
            <w:pPr/>
            <w:r>
              <w:rPr>
                <w:rStyle w:val="CodeChar"/>
              </w:rPr>
              <w:t xml:space="preserve">identity</w:t>
            </w:r>
            <w:r>
              <w:t xml:space="preserve">, </w:t>
            </w:r>
            <w:r>
              <w:rPr>
                <w:rStyle w:val="CodeChar"/>
              </w:rPr>
              <w:t xml:space="preserve">pii</w:t>
            </w:r>
            <w:r>
              <w:t xml:space="preserve">, </w:t>
            </w:r>
            <w:r>
              <w:rPr>
                <w:rStyle w:val="CodeChar"/>
              </w:rPr>
              <w:t xml:space="preserve">insurance</w:t>
            </w:r>
          </w:p>
        </w:tc>
      </w:tr>
      <w:tr>
        <w:tc>
          <w:tcPr>
            <w:tcW w:w="3120" w:type="dxa"/>
          </w:tcPr>
          <w:p>
            <w:pPr/>
            <w:r>
              <w:t xml:space="preserve">Approval</w:t>
            </w:r>
          </w:p>
        </w:tc>
        <w:tc>
          <w:tcPr>
            <w:tcW w:w="3120" w:type="dxa"/>
          </w:tcPr>
          <w:p>
            <w:pPr/>
            <w:r>
              <w:t xml:space="preserve">Sign-off by owner, steward, lead engineer, privacy</w:t>
            </w:r>
          </w:p>
        </w:tc>
        <w:tc>
          <w:tcPr>
            <w:tcW w:w="3120" w:type="dxa"/>
          </w:tcPr>
          <w:p>
            <w:pPr/>
            <w:r>
              <w:t xml:space="preserve">Pending</w:t>
            </w:r>
          </w:p>
        </w:tc>
      </w:tr>
    </w:tbl>
    <w:p>
      <w:pPr/>
      <w:r>
        <w:rPr>
          <w:b/>
        </w:rPr>
        <w:t xml:space="preserve">Why it matters:</w:t>
      </w:r>
      <w:r>
        <w:t xml:space="preserve"> schema drift, missing values and broken business rules get caught at the Silver boundary with an audit trail, instead of surfacing later in a Power BI report.</w:t>
      </w:r>
    </w:p>
    <w:p>
      <w:pPr>
        <w:pStyle w:val="Heading2"/>
      </w:pPr>
      <w:r>
        <w:t xml:space="preserve">Platform context</w:t>
      </w:r>
    </w:p>
    <w:p>
      <w:pPr/>
      <w:r>
        <w:t xml:space="preserve">Data moves from the </w:t>
      </w:r>
      <w:r>
        <w:rPr>
          <w:b/>
        </w:rPr>
        <w:t xml:space="preserve">Bronze layer in Snowflake</w:t>
      </w:r>
      <w:r>
        <w:t xml:space="preserve"> (CDWP) to the </w:t>
      </w:r>
      <w:r>
        <w:rPr>
          <w:b/>
        </w:rPr>
        <w:t xml:space="preserve">Silver layer in a Microsoft Fabric Lakehouse</w:t>
      </w:r>
      <w:r>
        <w:t xml:space="preserve"> (</w:t>
      </w:r>
      <w:r>
        <w:rPr>
          <w:rStyle w:val="CodeChar"/>
        </w:rPr>
        <w:t xml:space="preserve">lh_silver</w:t>
      </w:r>
      <w:r>
        <w:t xml:space="preserve">, Delta format) through Azure Data Factory using an incremental-merge pattern. Data contracts govern the Silver tables, so they sit at the boundary where Snowflake data becomes a Fabric data product.</w:t>
      </w:r>
    </w:p>
    <w:p>
      <w:pPr/>
      <w:r>
        <w:rPr>
          <w:b/>
        </w:rPr>
        <w:t xml:space="preserve">How Snowflake and Fabric share data.</w:t>
      </w:r>
      <w:r>
        <w:t xml:space="preserve"> A separate evaluation compared seven integration patterns and shortlisted four (options 2, 3, 4 and 6):</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Approach</w:t>
            </w:r>
          </w:p>
        </w:tc>
        <w:tc>
          <w:tcPr>
            <w:tcW w:w="2340" w:type="dxa"/>
            <w:shd w:val="clear" w:color="auto" w:fill="F2F2F2"/>
          </w:tcPr>
          <w:p>
            <w:pPr/>
            <w:r>
              <w:t xml:space="preserve">Direction</w:t>
            </w:r>
          </w:p>
        </w:tc>
        <w:tc>
          <w:tcPr>
            <w:tcW w:w="2340" w:type="dxa"/>
            <w:shd w:val="clear" w:color="auto" w:fill="F2F2F2"/>
          </w:tcPr>
          <w:p>
            <w:pPr/>
            <w:r>
              <w:t xml:space="preserve">Copy model</w:t>
            </w:r>
          </w:p>
        </w:tc>
        <w:tc>
          <w:tcPr>
            <w:tcW w:w="2340" w:type="dxa"/>
            <w:shd w:val="clear" w:color="auto" w:fill="F2F2F2"/>
          </w:tcPr>
          <w:p>
            <w:pPr/>
            <w:r>
              <w:t xml:space="preserve">Status / main concern</w:t>
            </w:r>
          </w:p>
        </w:tc>
      </w:tr>
      <w:tr>
        <w:tc>
          <w:tcPr>
            <w:tcW w:w="2340" w:type="dxa"/>
          </w:tcPr>
          <w:p>
            <w:pPr/>
            <w:r>
              <w:t xml:space="preserve">1. Blob/ADLS external volume + OneLake shortcut</w:t>
            </w:r>
          </w:p>
        </w:tc>
        <w:tc>
          <w:tcPr>
            <w:tcW w:w="2340" w:type="dxa"/>
          </w:tcPr>
          <w:p>
            <w:pPr/>
            <w:r>
              <w:t xml:space="preserve">Snowflake → Fabric</w:t>
            </w:r>
          </w:p>
        </w:tc>
        <w:tc>
          <w:tcPr>
            <w:tcW w:w="2340" w:type="dxa"/>
          </w:tcPr>
          <w:p>
            <w:pPr/>
            <w:r>
              <w:t xml:space="preserve">Zero copy (Iceberg in ADLS)</w:t>
            </w:r>
          </w:p>
        </w:tc>
        <w:tc>
          <w:tcPr>
            <w:tcW w:w="2340" w:type="dxa"/>
          </w:tcPr>
          <w:p>
            <w:pPr/>
            <w:r>
              <w:t xml:space="preserve">Favoured; extra storage layer to operate</w:t>
            </w:r>
          </w:p>
        </w:tc>
      </w:tr>
      <w:tr>
        <w:tc>
          <w:tcPr>
            <w:tcW w:w="2340" w:type="dxa"/>
          </w:tcPr>
          <w:p>
            <w:pPr/>
            <w:r>
              <w:t xml:space="preserve">2. OneLake external volume + cloud connector</w:t>
            </w:r>
          </w:p>
        </w:tc>
        <w:tc>
          <w:tcPr>
            <w:tcW w:w="2340" w:type="dxa"/>
          </w:tcPr>
          <w:p>
            <w:pPr/>
            <w:r>
              <w:t xml:space="preserve">Snowflake → Fabric</w:t>
            </w:r>
          </w:p>
        </w:tc>
        <w:tc>
          <w:tcPr>
            <w:tcW w:w="2340" w:type="dxa"/>
          </w:tcPr>
          <w:p>
            <w:pPr/>
            <w:r>
              <w:t xml:space="preserve">Zero copy (Iceberg in OneLake)</w:t>
            </w:r>
          </w:p>
        </w:tc>
        <w:tc>
          <w:tcPr>
            <w:tcW w:w="2340" w:type="dxa"/>
          </w:tcPr>
          <w:p>
            <w:pPr/>
            <w:r>
              <w:t xml:space="preserve">No Private Endpoint support; credential rotation concerns</w:t>
            </w:r>
          </w:p>
        </w:tc>
      </w:tr>
      <w:tr>
        <w:tc>
          <w:tcPr>
            <w:tcW w:w="2340" w:type="dxa"/>
          </w:tcPr>
          <w:p>
            <w:pPr/>
            <w:r>
              <w:t xml:space="preserve">3. Fabric mirroring</w:t>
            </w:r>
          </w:p>
        </w:tc>
        <w:tc>
          <w:tcPr>
            <w:tcW w:w="2340" w:type="dxa"/>
          </w:tcPr>
          <w:p>
            <w:pPr/>
            <w:r>
              <w:t xml:space="preserve">Snowflake → Fabric</w:t>
            </w:r>
          </w:p>
        </w:tc>
        <w:tc>
          <w:tcPr>
            <w:tcW w:w="2340" w:type="dxa"/>
          </w:tcPr>
          <w:p>
            <w:pPr/>
            <w:r>
              <w:t xml:space="preserve">Physical copy (CDC to Delta)</w:t>
            </w:r>
          </w:p>
        </w:tc>
        <w:tc>
          <w:tcPr>
            <w:tcW w:w="2340" w:type="dxa"/>
          </w:tcPr>
          <w:p>
            <w:pPr/>
            <w:r>
              <w:t xml:space="preserve">Double storage; no views; inconsistent behaviour seen</w:t>
            </w:r>
          </w:p>
        </w:tc>
      </w:tr>
      <w:tr>
        <w:tc>
          <w:tcPr>
            <w:tcW w:w="2340" w:type="dxa"/>
          </w:tcPr>
          <w:p>
            <w:pPr/>
            <w:r>
              <w:t xml:space="preserve">4. Passive Iceberg read</w:t>
            </w:r>
          </w:p>
        </w:tc>
        <w:tc>
          <w:tcPr>
            <w:tcW w:w="2340" w:type="dxa"/>
          </w:tcPr>
          <w:p>
            <w:pPr/>
            <w:r>
              <w:t xml:space="preserve">Fabric → Snowflake</w:t>
            </w:r>
          </w:p>
        </w:tc>
        <w:tc>
          <w:tcPr>
            <w:tcW w:w="2340" w:type="dxa"/>
          </w:tcPr>
          <w:p>
            <w:pPr/>
            <w:r>
              <w:t xml:space="preserve">Zero copy</w:t>
            </w:r>
          </w:p>
        </w:tc>
        <w:tc>
          <w:tcPr>
            <w:tcW w:w="2340" w:type="dxa"/>
          </w:tcPr>
          <w:p>
            <w:pPr/>
            <w:r>
              <w:t xml:space="preserve">Only zero-copy option in this direction; folder-level access</w:t>
            </w:r>
          </w:p>
        </w:tc>
      </w:tr>
    </w:tbl>
    <w:p>
      <w:pPr/>
      <w:r>
        <w:rPr>
          <w:b/>
        </w:rPr>
        <w:t xml:space="preserve">Constraints that affect contracts:</w:t>
      </w:r>
    </w:p>
    <w:p>
      <w:pPr>
        <w:pStyle w:val="ListParagraph"/>
        <w:numPr>
          <w:ilvl w:val="0"/>
          <w:numId w:val="3"/>
        </w:numPr>
      </w:pPr>
      <w:r>
        <w:t xml:space="preserve">Snowflake </w:t>
      </w:r>
      <w:r>
        <w:rPr>
          <w:b/>
        </w:rPr>
        <w:t xml:space="preserve">views</w:t>
      </w:r>
      <w:r>
        <w:t xml:space="preserve"> can't be mirrored or shared zero-copy, so contracts should point at physical tables.</w:t>
      </w:r>
    </w:p>
    <w:p>
      <w:pPr>
        <w:pStyle w:val="ListParagraph"/>
        <w:numPr>
          <w:ilvl w:val="0"/>
          <w:numId w:val="3"/>
        </w:numPr>
      </w:pPr>
      <w:r>
        <w:t xml:space="preserve">Source PI columns carry Snowflake </w:t>
      </w:r>
      <w:r>
        <w:rPr>
          <w:b/>
        </w:rPr>
        <w:t xml:space="preserve">masking policies</w:t>
      </w:r>
      <w:r>
        <w:t xml:space="preserve">. Dynamic Iceberg tables over those policies fall back to FULL refresh.</w:t>
      </w:r>
    </w:p>
    <w:p>
      <w:pPr>
        <w:pStyle w:val="ListParagraph"/>
        <w:numPr>
          <w:ilvl w:val="0"/>
          <w:numId w:val="3"/>
        </w:numPr>
      </w:pPr>
      <w:r>
        <w:t xml:space="preserve">Azure SQL (Atlas) → Fabric mirroring is blocked on service principal permissions (</w:t>
      </w:r>
      <w:r>
        <w:rPr>
          <w:rStyle w:val="CodeChar"/>
        </w:rPr>
        <w:t xml:space="preserve">ALTER ANY EXTERNAL MIRROR</w:t>
      </w:r>
      <w:r>
        <w:t xml:space="preserve">).</w:t>
      </w:r>
    </w:p>
    <w:p>
      <w:pPr/>
      <w:r>
        <w:t xml:space="preserve">Whichever transport is chosen, the contract check runs on the Fabric Silver table, so the framework is the same.</w:t>
      </w:r>
    </w:p>
    <w:p>
      <w:pPr>
        <w:pStyle w:val="Heading2"/>
      </w:pPr>
      <w:r>
        <w:t xml:space="preserve">End-to-end workflow</w:t>
      </w:r>
    </w:p>
    <w:p>
      <w:pPr/>
      <w:r>
        <w:drawing>
          <wp:inline distT="0" distB="0" distL="0" distR="0">
            <wp:extent cx="5486400" cy="3314700"/>
            <wp:docPr id="1" name="image1" descr="Contract workflow · Bronze load, contract checks, audit, gate"/>
            <a:graphic xmlns:a="http://schemas.openxmlformats.org/drawingml/2006/main">
              <a:graphicData uri="http://schemas.openxmlformats.org/drawingml/2006/picture">
                <pic:pic xmlns:pic="http://schemas.openxmlformats.org/drawingml/2006/picture">
                  <pic:nvPicPr>
                    <pic:cNvPr id="1" name="image1" descr="Contract workflow · Bronze load, contract checks, audit, gate"/>
                    <pic:cNvPicPr/>
                  </pic:nvPicPr>
                  <pic:blipFill>
                    <a:blip r:embed="rId3"/>
                    <a:stretch>
                      <a:fillRect/>
                    </a:stretch>
                  </pic:blipFill>
                  <pic:spPr>
                    <a:xfrm>
                      <a:off x="0" y="0"/>
                      <a:ext cx="5486400" cy="3314700"/>
                    </a:xfrm>
                    <a:prstGeom prst="rect">
                      <a:avLst/>
                    </a:prstGeom>
                  </pic:spPr>
                </pic:pic>
              </a:graphicData>
            </a:graphic>
          </wp:inline>
        </w:drawing>
      </w:r>
    </w:p>
    <w:p>
      <w:pPr/>
      <w:r>
        <w:t xml:space="preserve">Contract workflow · Bronze load, contract checks, audit, gate</w:t>
      </w:r>
    </w:p>
    <w:p>
      <w:pPr/>
      <w:r>
        <w:t xml:space="preserve">ADF loads Bronze data into Silver. </w:t>
      </w:r>
      <w:r>
        <w:rPr>
          <w:rStyle w:val="CodeChar"/>
        </w:rPr>
        <w:t xml:space="preserve">nb_data_contract</w:t>
      </w:r>
      <w:r>
        <w:t xml:space="preserve"> then reads the signed-off YAML, checks the Silver table, and logs every result to the audit table. Consumers should rely on the table only when the Critical checks pass. The gate on the bottom row is the target design: today the notebook logs failures but does not stop the pipeline.</w:t>
      </w:r>
    </w:p>
    <w:p>
      <w:pPr>
        <w:pStyle w:val="Heading2"/>
      </w:pPr>
      <w:r>
        <w:t xml:space="preserve">The Consumer Key Ring contract</w:t>
      </w:r>
    </w:p>
    <w:p>
      <w:pPr/>
      <w:r>
        <w:rPr>
          <w:rStyle w:val="CodeChar"/>
        </w:rPr>
        <w:t xml:space="preserve">dbo.key_ring_identifier</w:t>
      </w:r>
      <w:r>
        <w:t xml:space="preserve"> binds each hashed customer identifier to one master entity, so any identifier (policy number, application number, MDM ID) can be resolved to the person and their other identifiers. Raw PI is never stored: every identifier value is a SHA-256 lowercase hex hash, or a pre-existing token.</w:t>
      </w:r>
    </w:p>
    <w:p>
      <w:pPr/>
      <w:r>
        <w:rPr>
          <w:b/>
        </w:rPr>
        <w:t xml:space="preserve">Schema</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Column</w:t>
            </w:r>
          </w:p>
        </w:tc>
        <w:tc>
          <w:tcPr>
            <w:tcW w:w="2340" w:type="dxa"/>
            <w:shd w:val="clear" w:color="auto" w:fill="F2F2F2"/>
          </w:tcPr>
          <w:p>
            <w:pPr/>
            <w:r>
              <w:t xml:space="preserve">Type</w:t>
            </w:r>
          </w:p>
        </w:tc>
        <w:tc>
          <w:tcPr>
            <w:tcW w:w="2340" w:type="dxa"/>
            <w:shd w:val="clear" w:color="auto" w:fill="F2F2F2"/>
          </w:tcPr>
          <w:p>
            <w:pPr/>
            <w:r>
              <w:t xml:space="preserve">Classification</w:t>
            </w:r>
          </w:p>
        </w:tc>
        <w:tc>
          <w:tcPr>
            <w:tcW w:w="2340" w:type="dxa"/>
            <w:shd w:val="clear" w:color="auto" w:fill="F2F2F2"/>
          </w:tcPr>
          <w:p>
            <w:pPr/>
            <w:r>
              <w:t xml:space="preserve">How it is populated</w:t>
            </w:r>
          </w:p>
        </w:tc>
      </w:tr>
      <w:tr>
        <w:tc>
          <w:tcPr>
            <w:tcW w:w="2340" w:type="dxa"/>
          </w:tcPr>
          <w:p>
            <w:pPr/>
            <w:r>
              <w:rPr>
                <w:rStyle w:val="CodeChar"/>
              </w:rPr>
              <w:t xml:space="preserve">key_ring_identifier_uuid</w:t>
            </w:r>
          </w:p>
        </w:tc>
        <w:tc>
          <w:tcPr>
            <w:tcW w:w="2340" w:type="dxa"/>
          </w:tcPr>
          <w:p>
            <w:pPr/>
            <w:r>
              <w:t xml:space="preserve">varchar(36)</w:t>
            </w:r>
          </w:p>
        </w:tc>
        <w:tc>
          <w:tcPr>
            <w:tcW w:w="2340" w:type="dxa"/>
          </w:tcPr>
          <w:p>
            <w:pPr/>
            <w:r>
              <w:t xml:space="preserve">Internal Confidential</w:t>
            </w:r>
          </w:p>
        </w:tc>
        <w:tc>
          <w:tcPr>
            <w:tcW w:w="2340" w:type="dxa"/>
          </w:tcPr>
          <w:p>
            <w:pPr/>
            <w:r>
              <w:t xml:space="preserve">PK, UUID v4 generated by ETL at insert</w:t>
            </w:r>
          </w:p>
        </w:tc>
      </w:tr>
      <w:tr>
        <w:tc>
          <w:tcPr>
            <w:tcW w:w="2340" w:type="dxa"/>
          </w:tcPr>
          <w:p>
            <w:pPr/>
            <w:r>
              <w:rPr>
                <w:rStyle w:val="CodeChar"/>
              </w:rPr>
              <w:t xml:space="preserve">key_ring_entity_uuid</w:t>
            </w:r>
          </w:p>
        </w:tc>
        <w:tc>
          <w:tcPr>
            <w:tcW w:w="2340" w:type="dxa"/>
          </w:tcPr>
          <w:p>
            <w:pPr/>
            <w:r>
              <w:t xml:space="preserve">varchar(36)</w:t>
            </w:r>
          </w:p>
        </w:tc>
        <w:tc>
          <w:tcPr>
            <w:tcW w:w="2340" w:type="dxa"/>
          </w:tcPr>
          <w:p>
            <w:pPr/>
            <w:r>
              <w:t xml:space="preserve">Internal Confidential</w:t>
            </w:r>
          </w:p>
        </w:tc>
        <w:tc>
          <w:tcPr>
            <w:tcW w:w="2340" w:type="dxa"/>
          </w:tcPr>
          <w:p>
            <w:pPr/>
            <w:r>
              <w:t xml:space="preserve">FK to </w:t>
            </w:r>
            <w:r>
              <w:rPr>
                <w:rStyle w:val="CodeChar"/>
              </w:rPr>
              <w:t xml:space="preserve">key_ring_entity</w:t>
            </w:r>
            <w:r>
              <w:t xml:space="preserve">, from entity resolution on </w:t>
            </w:r>
            <w:r>
              <w:rPr>
                <w:rStyle w:val="CodeChar"/>
              </w:rPr>
              <w:t xml:space="preserve">mdm_individual_id</w:t>
            </w:r>
          </w:p>
        </w:tc>
      </w:tr>
      <w:tr>
        <w:tc>
          <w:tcPr>
            <w:tcW w:w="2340" w:type="dxa"/>
          </w:tcPr>
          <w:p>
            <w:pPr/>
            <w:r>
              <w:rPr>
                <w:rStyle w:val="CodeChar"/>
              </w:rPr>
              <w:t xml:space="preserve">identifier_type_cd</w:t>
            </w:r>
          </w:p>
        </w:tc>
        <w:tc>
          <w:tcPr>
            <w:tcW w:w="2340" w:type="dxa"/>
          </w:tcPr>
          <w:p>
            <w:pPr/>
            <w:r>
              <w:t xml:space="preserve">varchar(30)</w:t>
            </w:r>
          </w:p>
        </w:tc>
        <w:tc>
          <w:tcPr>
            <w:tcW w:w="2340" w:type="dxa"/>
          </w:tcPr>
          <w:p>
            <w:pPr/>
            <w:r>
              <w:t xml:space="preserve">Internal Confidential</w:t>
            </w:r>
          </w:p>
        </w:tc>
        <w:tc>
          <w:tcPr>
            <w:tcW w:w="2340" w:type="dxa"/>
          </w:tcPr>
          <w:p>
            <w:pPr/>
            <w:r>
              <w:t xml:space="preserve">From controlled vocabulary, set by source column</w:t>
            </w:r>
          </w:p>
        </w:tc>
      </w:tr>
      <w:tr>
        <w:tc>
          <w:tcPr>
            <w:tcW w:w="2340" w:type="dxa"/>
          </w:tcPr>
          <w:p>
            <w:pPr/>
            <w:r>
              <w:rPr>
                <w:rStyle w:val="CodeChar"/>
              </w:rPr>
              <w:t xml:space="preserve">identifier_value</w:t>
            </w:r>
          </w:p>
        </w:tc>
        <w:tc>
          <w:tcPr>
            <w:tcW w:w="2340" w:type="dxa"/>
          </w:tcPr>
          <w:p>
            <w:pPr/>
            <w:r>
              <w:t xml:space="preserve">int (documented)</w:t>
            </w:r>
          </w:p>
        </w:tc>
        <w:tc>
          <w:tcPr>
            <w:tcW w:w="2340" w:type="dxa"/>
          </w:tcPr>
          <w:p>
            <w:pPr/>
            <w:r>
              <w:rPr>
                <w:b/>
              </w:rPr>
              <w:t xml:space="preserve">Restricted</w:t>
            </w:r>
          </w:p>
        </w:tc>
        <w:tc>
          <w:tcPr>
            <w:tcW w:w="2340" w:type="dxa"/>
          </w:tcPr>
          <w:p>
            <w:pPr/>
            <w:r>
              <w:t xml:space="preserve">SHA-256 hex of the identifier; NULL source rows excluded</w:t>
            </w:r>
          </w:p>
        </w:tc>
      </w:tr>
      <w:tr>
        <w:tc>
          <w:tcPr>
            <w:tcW w:w="2340" w:type="dxa"/>
          </w:tcPr>
          <w:p>
            <w:pPr/>
            <w:r>
              <w:rPr>
                <w:rStyle w:val="CodeChar"/>
              </w:rPr>
              <w:t xml:space="preserve">is_primary_ind</w:t>
            </w:r>
          </w:p>
        </w:tc>
        <w:tc>
          <w:tcPr>
            <w:tcW w:w="2340" w:type="dxa"/>
          </w:tcPr>
          <w:p>
            <w:pPr/>
            <w:r>
              <w:t xml:space="preserve">bit</w:t>
            </w:r>
          </w:p>
        </w:tc>
        <w:tc>
          <w:tcPr>
            <w:tcW w:w="2340" w:type="dxa"/>
          </w:tcPr>
          <w:p>
            <w:pPr/>
            <w:r>
              <w:t xml:space="preserve">Internal Confidential</w:t>
            </w:r>
          </w:p>
        </w:tc>
        <w:tc>
          <w:tcPr>
            <w:tcW w:w="2340" w:type="dxa"/>
          </w:tcPr>
          <w:p>
            <w:pPr/>
            <w:r>
              <w:t xml:space="preserve">1 = current/master identifier, 0 = historical or secondary</w:t>
            </w:r>
          </w:p>
        </w:tc>
      </w:tr>
      <w:tr>
        <w:tc>
          <w:tcPr>
            <w:tcW w:w="2340" w:type="dxa"/>
          </w:tcPr>
          <w:p>
            <w:pPr/>
            <w:r>
              <w:rPr>
                <w:rStyle w:val="CodeChar"/>
              </w:rPr>
              <w:t xml:space="preserve">effective_ts</w:t>
            </w:r>
          </w:p>
        </w:tc>
        <w:tc>
          <w:tcPr>
            <w:tcW w:w="2340" w:type="dxa"/>
          </w:tcPr>
          <w:p>
            <w:pPr/>
            <w:r>
              <w:t xml:space="preserve">datetime2(6)</w:t>
            </w:r>
          </w:p>
        </w:tc>
        <w:tc>
          <w:tcPr>
            <w:tcW w:w="2340" w:type="dxa"/>
          </w:tcPr>
          <w:p>
            <w:pPr/>
            <w:r>
              <w:t xml:space="preserve">Internal Confidential</w:t>
            </w:r>
          </w:p>
        </w:tc>
        <w:tc>
          <w:tcPr>
            <w:tcW w:w="2340" w:type="dxa"/>
          </w:tcPr>
          <w:p>
            <w:pPr/>
            <w:r>
              <w:t xml:space="preserve">Source begin date, cast to UTC; ETL runtime if NULL (logged)</w:t>
            </w:r>
          </w:p>
        </w:tc>
      </w:tr>
      <w:tr>
        <w:tc>
          <w:tcPr>
            <w:tcW w:w="2340" w:type="dxa"/>
          </w:tcPr>
          <w:p>
            <w:pPr/>
            <w:r>
              <w:rPr>
                <w:rStyle w:val="CodeChar"/>
              </w:rPr>
              <w:t xml:space="preserve">expiration_ts</w:t>
            </w:r>
          </w:p>
        </w:tc>
        <w:tc>
          <w:tcPr>
            <w:tcW w:w="2340" w:type="dxa"/>
          </w:tcPr>
          <w:p>
            <w:pPr/>
            <w:r>
              <w:t xml:space="preserve">datetime2(6)</w:t>
            </w:r>
          </w:p>
        </w:tc>
        <w:tc>
          <w:tcPr>
            <w:tcW w:w="2340" w:type="dxa"/>
          </w:tcPr>
          <w:p>
            <w:pPr/>
            <w:r>
              <w:t xml:space="preserve">Internal Confidential</w:t>
            </w:r>
          </w:p>
        </w:tc>
        <w:tc>
          <w:tcPr>
            <w:tcW w:w="2340" w:type="dxa"/>
          </w:tcPr>
          <w:p>
            <w:pPr/>
            <w:r>
              <w:t xml:space="preserve">Source end date; NULL = currently active</w:t>
            </w:r>
          </w:p>
        </w:tc>
      </w:tr>
      <w:tr>
        <w:tc>
          <w:tcPr>
            <w:tcW w:w="2340" w:type="dxa"/>
          </w:tcPr>
          <w:p>
            <w:pPr/>
            <w:r>
              <w:rPr>
                <w:rStyle w:val="CodeChar"/>
              </w:rPr>
              <w:t xml:space="preserve">source_system_cd</w:t>
            </w:r>
          </w:p>
        </w:tc>
        <w:tc>
          <w:tcPr>
            <w:tcW w:w="2340" w:type="dxa"/>
          </w:tcPr>
          <w:p>
            <w:pPr/>
            <w:r>
              <w:t xml:space="preserve">varchar(30)</w:t>
            </w:r>
          </w:p>
        </w:tc>
        <w:tc>
          <w:tcPr>
            <w:tcW w:w="2340" w:type="dxa"/>
          </w:tcPr>
          <w:p>
            <w:pPr/>
            <w:r>
              <w:t xml:space="preserve">Internal Confidential</w:t>
            </w:r>
          </w:p>
        </w:tc>
        <w:tc>
          <w:tcPr>
            <w:tcW w:w="2340" w:type="dxa"/>
          </w:tcPr>
          <w:p>
            <w:pPr/>
            <w:r>
              <w:t xml:space="preserve">System the Bronze record came from (CDWP)</w:t>
            </w:r>
          </w:p>
        </w:tc>
      </w:tr>
      <w:tr>
        <w:tc>
          <w:tcPr>
            <w:tcW w:w="2340" w:type="dxa"/>
          </w:tcPr>
          <w:p>
            <w:pPr/>
            <w:r>
              <w:rPr>
                <w:rStyle w:val="CodeChar"/>
              </w:rPr>
              <w:t xml:space="preserve">origin_system_cd</w:t>
            </w:r>
          </w:p>
        </w:tc>
        <w:tc>
          <w:tcPr>
            <w:tcW w:w="2340" w:type="dxa"/>
          </w:tcPr>
          <w:p>
            <w:pPr/>
            <w:r>
              <w:t xml:space="preserve">varchar(30)</w:t>
            </w:r>
          </w:p>
        </w:tc>
        <w:tc>
          <w:tcPr>
            <w:tcW w:w="2340" w:type="dxa"/>
          </w:tcPr>
          <w:p>
            <w:pPr/>
            <w:r>
              <w:t xml:space="preserve">Internal Confidential</w:t>
            </w:r>
          </w:p>
        </w:tc>
        <w:tc>
          <w:tcPr>
            <w:tcW w:w="2340" w:type="dxa"/>
          </w:tcPr>
          <w:p>
            <w:pPr/>
            <w:r>
              <w:t xml:space="preserve">System that produced the identifier (RTMI); TBD in YAML</w:t>
            </w:r>
          </w:p>
        </w:tc>
      </w:tr>
      <w:tr>
        <w:tc>
          <w:tcPr>
            <w:tcW w:w="2340" w:type="dxa"/>
          </w:tcPr>
          <w:p>
            <w:pPr/>
            <w:r>
              <w:rPr>
                <w:rStyle w:val="CodeChar"/>
              </w:rPr>
              <w:t xml:space="preserve">created_ts</w:t>
            </w:r>
            <w:r>
              <w:t xml:space="preserve"> / </w:t>
            </w:r>
            <w:r>
              <w:rPr>
                <w:rStyle w:val="CodeChar"/>
              </w:rPr>
              <w:t xml:space="preserve">updated_ts</w:t>
            </w:r>
          </w:p>
        </w:tc>
        <w:tc>
          <w:tcPr>
            <w:tcW w:w="2340" w:type="dxa"/>
          </w:tcPr>
          <w:p>
            <w:pPr/>
            <w:r>
              <w:t xml:space="preserve">datetime2(6)</w:t>
            </w:r>
          </w:p>
        </w:tc>
        <w:tc>
          <w:tcPr>
            <w:tcW w:w="2340" w:type="dxa"/>
          </w:tcPr>
          <w:p>
            <w:pPr/>
            <w:r>
              <w:t xml:space="preserve">Internal Confidential</w:t>
            </w:r>
          </w:p>
        </w:tc>
        <w:tc>
          <w:tcPr>
            <w:tcW w:w="2340" w:type="dxa"/>
          </w:tcPr>
          <w:p>
            <w:pPr/>
            <w:r>
              <w:t xml:space="preserve">ETL runtime at insert / last update</w:t>
            </w:r>
          </w:p>
        </w:tc>
      </w:tr>
      <w:tr>
        <w:tc>
          <w:tcPr>
            <w:tcW w:w="2340" w:type="dxa"/>
          </w:tcPr>
          <w:p>
            <w:pPr/>
            <w:r>
              <w:rPr>
                <w:rStyle w:val="CodeChar"/>
              </w:rPr>
              <w:t xml:space="preserve">created_by_id</w:t>
            </w:r>
            <w:r>
              <w:t xml:space="preserve"> / </w:t>
            </w:r>
            <w:r>
              <w:rPr>
                <w:rStyle w:val="CodeChar"/>
              </w:rPr>
              <w:t xml:space="preserve">updated_by_id</w:t>
            </w:r>
          </w:p>
        </w:tc>
        <w:tc>
          <w:tcPr>
            <w:tcW w:w="2340" w:type="dxa"/>
          </w:tcPr>
          <w:p>
            <w:pPr/>
            <w:r>
              <w:t xml:space="preserve">varchar(100)</w:t>
            </w:r>
          </w:p>
        </w:tc>
        <w:tc>
          <w:tcPr>
            <w:tcW w:w="2340" w:type="dxa"/>
          </w:tcPr>
          <w:p>
            <w:pPr/>
            <w:r>
              <w:t xml:space="preserve">Internal Confidential</w:t>
            </w:r>
          </w:p>
        </w:tc>
        <w:tc>
          <w:tcPr>
            <w:tcW w:w="2340" w:type="dxa"/>
          </w:tcPr>
          <w:p>
            <w:pPr/>
            <w:r>
              <w:t xml:space="preserve">ETL service principal or job</w:t>
            </w:r>
          </w:p>
        </w:tc>
      </w:tr>
    </w:tbl>
    <w:p>
      <w:pPr/>
      <w:r>
        <w:rPr>
          <w:b/>
        </w:rPr>
        <w:t xml:space="preserve">Identifier vocabulary (all DIRECT, all hashed):</w:t>
      </w:r>
      <w:r>
        <w:t xml:space="preserve"> </w:t>
      </w:r>
      <w:r>
        <w:rPr>
          <w:rStyle w:val="CodeChar"/>
        </w:rPr>
        <w:t xml:space="preserve">MDM_INDIVIDUAL_ID</w:t>
      </w:r>
      <w:r>
        <w:t xml:space="preserve">, </w:t>
      </w:r>
      <w:r>
        <w:rPr>
          <w:rStyle w:val="CodeChar"/>
        </w:rPr>
        <w:t xml:space="preserve">POLICY_NUMBER</w:t>
      </w:r>
      <w:r>
        <w:t xml:space="preserve">, </w:t>
      </w:r>
      <w:r>
        <w:rPr>
          <w:rStyle w:val="CodeChar"/>
        </w:rPr>
        <w:t xml:space="preserve">APPLICATION_NUMBER</w:t>
      </w:r>
      <w:r>
        <w:t xml:space="preserve">. Deferred: </w:t>
      </w:r>
      <w:r>
        <w:rPr>
          <w:rStyle w:val="CodeChar"/>
        </w:rPr>
        <w:t xml:space="preserve">SSN_TOKEN</w:t>
      </w:r>
      <w:r>
        <w:t xml:space="preserve">, </w:t>
      </w:r>
      <w:r>
        <w:rPr>
          <w:rStyle w:val="CodeChar"/>
        </w:rPr>
        <w:t xml:space="preserve">SOURCE_SYSTEM_AGREEMENT_KEY</w:t>
      </w:r>
      <w:r>
        <w:t xml:space="preserve">, </w:t>
      </w:r>
      <w:r>
        <w:rPr>
          <w:rStyle w:val="CodeChar"/>
        </w:rPr>
        <w:t xml:space="preserve">CREDIT_UNION_CONTRACT_NUMBER</w:t>
      </w:r>
      <w:r>
        <w:t xml:space="preserve">.</w:t>
      </w:r>
    </w:p>
    <w:p>
      <w:pPr/>
      <w:r>
        <w:rPr>
          <w:b/>
        </w:rPr>
        <w:t xml:space="preserve">Source tables</w:t>
      </w:r>
      <w:r>
        <w:t xml:space="preserve"> (all in </w:t>
      </w:r>
      <w:r>
        <w:rPr>
          <w:rStyle w:val="CodeChar"/>
        </w:rPr>
        <w:t xml:space="preserve">CDWP_DB_DEV.USER_DATAPRODUCTS</w:t>
      </w:r>
      <w:r>
        <w:t xml:space="preserve">, source code CDWP, origin RTMI)</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Source</w:t>
            </w:r>
          </w:p>
        </w:tc>
        <w:tc>
          <w:tcPr>
            <w:tcW w:w="2340" w:type="dxa"/>
            <w:shd w:val="clear" w:color="auto" w:fill="F2F2F2"/>
          </w:tcPr>
          <w:p>
            <w:pPr/>
            <w:r>
              <w:t xml:space="preserve">Identifiers</w:t>
            </w:r>
          </w:p>
        </w:tc>
        <w:tc>
          <w:tcPr>
            <w:tcW w:w="2340" w:type="dxa"/>
            <w:shd w:val="clear" w:color="auto" w:fill="F2F2F2"/>
          </w:tcPr>
          <w:p>
            <w:pPr/>
            <w:r>
              <w:t xml:space="preserve">Effective / expiration</w:t>
            </w:r>
          </w:p>
        </w:tc>
        <w:tc>
          <w:tcPr>
            <w:tcW w:w="2340" w:type="dxa"/>
            <w:shd w:val="clear" w:color="auto" w:fill="F2F2F2"/>
          </w:tcPr>
          <w:p>
            <w:pPr/>
            <w:r>
              <w:t xml:space="preserve">Primary rule</w:t>
            </w:r>
          </w:p>
        </w:tc>
      </w:tr>
      <w:tr>
        <w:tc>
          <w:tcPr>
            <w:tcW w:w="2340" w:type="dxa"/>
          </w:tcPr>
          <w:p>
            <w:pPr/>
            <w:r>
              <w:t xml:space="preserve">SRC-01 </w:t>
            </w:r>
            <w:r>
              <w:rPr>
                <w:rStyle w:val="CodeChar"/>
              </w:rPr>
              <w:t xml:space="preserve">MDM_INDIVIDUAL_DIM_WH</w:t>
            </w:r>
          </w:p>
        </w:tc>
        <w:tc>
          <w:tcPr>
            <w:tcW w:w="2340" w:type="dxa"/>
          </w:tcPr>
          <w:p>
            <w:pPr/>
            <w:r>
              <w:t xml:space="preserve">MDM_INDIVIDUAL_ID</w:t>
            </w:r>
          </w:p>
        </w:tc>
        <w:tc>
          <w:tcPr>
            <w:tcW w:w="2340" w:type="dxa"/>
          </w:tcPr>
          <w:p>
            <w:pPr/>
            <w:r>
              <w:rPr>
                <w:rStyle w:val="CodeChar"/>
              </w:rPr>
              <w:t xml:space="preserve">RECORD_BEGIN_DATE</w:t>
            </w:r>
            <w:r>
              <w:t xml:space="preserve"> / </w:t>
            </w:r>
            <w:r>
              <w:rPr>
                <w:rStyle w:val="CodeChar"/>
              </w:rPr>
              <w:t xml:space="preserve">RECORD_END_DATE</w:t>
            </w:r>
          </w:p>
        </w:tc>
        <w:tc>
          <w:tcPr>
            <w:tcW w:w="2340" w:type="dxa"/>
          </w:tcPr>
          <w:p>
            <w:pPr/>
            <w:r>
              <w:rPr>
                <w:rStyle w:val="CodeChar"/>
              </w:rPr>
              <w:t xml:space="preserve">CURRENT_MDM_INDIVIDUAL_ID</w:t>
            </w:r>
            <w:r>
              <w:t xml:space="preserve"> → 1</w:t>
            </w:r>
          </w:p>
        </w:tc>
      </w:tr>
      <w:tr>
        <w:tc>
          <w:tcPr>
            <w:tcW w:w="2340" w:type="dxa"/>
          </w:tcPr>
          <w:p>
            <w:pPr/>
            <w:r>
              <w:t xml:space="preserve">SRC-02 </w:t>
            </w:r>
            <w:r>
              <w:rPr>
                <w:rStyle w:val="CodeChar"/>
              </w:rPr>
              <w:t xml:space="preserve">APPLICATION_POLICY_INDIVIDUAL_DIM_WH</w:t>
            </w:r>
          </w:p>
        </w:tc>
        <w:tc>
          <w:tcPr>
            <w:tcW w:w="2340" w:type="dxa"/>
          </w:tcPr>
          <w:p>
            <w:pPr/>
            <w:r>
              <w:t xml:space="preserve">MDM_INDIVIDUAL_ID</w:t>
            </w:r>
          </w:p>
        </w:tc>
        <w:tc>
          <w:tcPr>
            <w:tcW w:w="2340" w:type="dxa"/>
          </w:tcPr>
          <w:p>
            <w:pPr/>
            <w:r>
              <w:rPr>
                <w:rStyle w:val="CodeChar"/>
              </w:rPr>
              <w:t xml:space="preserve">ETL_BEGIN_TS</w:t>
            </w:r>
            <w:r>
              <w:t xml:space="preserve"> / </w:t>
            </w:r>
            <w:r>
              <w:rPr>
                <w:rStyle w:val="CodeChar"/>
              </w:rPr>
              <w:t xml:space="preserve">ETL_END_TS</w:t>
            </w:r>
          </w:p>
        </w:tc>
        <w:tc>
          <w:tcPr>
            <w:tcW w:w="2340" w:type="dxa"/>
          </w:tcPr>
          <w:p>
            <w:pPr/>
            <w:r>
              <w:t xml:space="preserve">From </w:t>
            </w:r>
            <w:r>
              <w:rPr>
                <w:rStyle w:val="CodeChar"/>
              </w:rPr>
              <w:t xml:space="preserve">RECORD_ACTIVE_FLAG</w:t>
            </w:r>
          </w:p>
        </w:tc>
      </w:tr>
      <w:tr>
        <w:tc>
          <w:tcPr>
            <w:tcW w:w="2340" w:type="dxa"/>
          </w:tcPr>
          <w:p>
            <w:pPr/>
            <w:r>
              <w:t xml:space="preserve">SRC-03 </w:t>
            </w:r>
            <w:r>
              <w:rPr>
                <w:rStyle w:val="CodeChar"/>
              </w:rPr>
              <w:t xml:space="preserve">APPLICATION_POLICY_FACT_WH</w:t>
            </w:r>
          </w:p>
        </w:tc>
        <w:tc>
          <w:tcPr>
            <w:tcW w:w="2340" w:type="dxa"/>
          </w:tcPr>
          <w:p>
            <w:pPr/>
            <w:r>
              <w:t xml:space="preserve">APPLICATION_NUMBER, POLICY_NUMBER</w:t>
            </w:r>
          </w:p>
        </w:tc>
        <w:tc>
          <w:tcPr>
            <w:tcW w:w="2340" w:type="dxa"/>
          </w:tcPr>
          <w:p>
            <w:pPr/>
            <w:r>
              <w:rPr>
                <w:rStyle w:val="CodeChar"/>
              </w:rPr>
              <w:t xml:space="preserve">ETL_BEGIN_TS</w:t>
            </w:r>
            <w:r>
              <w:t xml:space="preserve"> / </w:t>
            </w:r>
            <w:r>
              <w:rPr>
                <w:rStyle w:val="CodeChar"/>
              </w:rPr>
              <w:t xml:space="preserve">ETL_END_TS</w:t>
            </w:r>
          </w:p>
        </w:tc>
        <w:tc>
          <w:tcPr>
            <w:tcW w:w="2340" w:type="dxa"/>
          </w:tcPr>
          <w:p>
            <w:pPr/>
            <w:r>
              <w:t xml:space="preserve">Not yet defined</w:t>
            </w:r>
          </w:p>
        </w:tc>
      </w:tr>
    </w:tbl>
    <w:p>
      <w:pPr/>
      <w:r>
        <w:rPr>
          <w:b/>
        </w:rPr>
        <w:t xml:space="preserve">Target:</w:t>
      </w:r>
      <w:r>
        <w:t xml:space="preserve"> workspace </w:t>
      </w:r>
      <w:r>
        <w:rPr>
          <w:rStyle w:val="CodeChar"/>
        </w:rPr>
        <w:t xml:space="preserve">ws_dp_landing_prod</w:t>
      </w:r>
      <w:r>
        <w:t xml:space="preserve"> (to confirm), Lakehouse </w:t>
      </w:r>
      <w:r>
        <w:rPr>
          <w:rStyle w:val="CodeChar"/>
        </w:rPr>
        <w:t xml:space="preserve">Silver_lh</w:t>
      </w:r>
      <w:r>
        <w:t xml:space="preserve">, Delta, service principal auth, ADF incremental merge on </w:t>
      </w:r>
      <w:r>
        <w:rPr>
          <w:rStyle w:val="CodeChar"/>
        </w:rPr>
        <w:t xml:space="preserve">key_ring_identifier_uuid</w:t>
      </w:r>
      <w:r>
        <w:t xml:space="preserve">. PK and FK are declared but not enforced, so the pipeline and this framework enforce integrity.</w:t>
      </w:r>
    </w:p>
    <w:p>
      <w:pPr/>
      <w:r>
        <w:rPr>
          <w:b/>
        </w:rPr>
        <w:t xml:space="preserve">Access and SLA:</w:t>
      </w:r>
      <w:r>
        <w:t xml:space="preserve"> rated Business Critical. Hashed low-entropy IDs can be brute-forced, so </w:t>
      </w:r>
      <w:r>
        <w:rPr>
          <w:rStyle w:val="CodeChar"/>
        </w:rPr>
        <w:t xml:space="preserve">identifier_value</w:t>
      </w:r>
      <w:r>
        <w:t xml:space="preserve"> must be excluded from all BI models. Roles are </w:t>
      </w:r>
      <w:r>
        <w:rPr>
          <w:rStyle w:val="CodeChar"/>
        </w:rPr>
        <w:t xml:space="preserve">KEY_RING_READ</w:t>
      </w:r>
      <w:r>
        <w:t xml:space="preserve"> (SELECT), </w:t>
      </w:r>
      <w:r>
        <w:rPr>
          <w:rStyle w:val="CodeChar"/>
        </w:rPr>
        <w:t xml:space="preserve">KEY_RING_ETL_WRITE</w:t>
      </w:r>
      <w:r>
        <w:t xml:space="preserve"> (INSERT/UPDATE/MERGE, service principal only) and </w:t>
      </w:r>
      <w:r>
        <w:rPr>
          <w:rStyle w:val="CodeChar"/>
        </w:rPr>
        <w:t xml:space="preserve">KEY_RING_ADMIN</w:t>
      </w:r>
      <w:r>
        <w:t xml:space="preserve"> (all). Refresh and latency are both 1 day.</w:t>
      </w:r>
    </w:p>
    <w:p>
      <w:pPr>
        <w:pStyle w:val="Heading2"/>
      </w:pPr>
      <w:r>
        <w:t xml:space="preserve">The YAML contract file</w:t>
      </w:r>
    </w:p>
    <w:p>
      <w:pPr/>
      <w:r>
        <w:t xml:space="preserve">The YAML file is the single source of truth: the notebook reads table names, column types, required flags and SQL rules from it. It lives at </w:t>
      </w:r>
      <w:r>
        <w:rPr>
          <w:rStyle w:val="CodeChar"/>
        </w:rPr>
        <w:t xml:space="preserve">abfss://&lt;workspace&gt;@onelake.dfs.fabric.microsoft.com/lh_silver.Lakehouse/Files/data_contract/dc-consumer-key-ring.yaml</w:t>
      </w:r>
      <w:r>
        <w:t xml:space="preserve">.</w:t>
      </w:r>
    </w:p>
    <w:p>
      <w:pPr/>
      <w:r>
        <w:t xml:space="preserve">The example below is </w:t>
      </w:r>
      <w:r>
        <w:rPr>
          <w:b/>
        </w:rPr>
        <w:t xml:space="preserve">illustrative</w:t>
      </w:r>
      <w:r>
        <w:t xml:space="preserve">. It shows the structure the notebook expects, rebuilt from the Word contract, not a copy of the deployed file. It uses </w:t>
      </w:r>
      <w:r>
        <w:rPr>
          <w:rStyle w:val="CodeChar"/>
        </w:rPr>
        <w:t xml:space="preserve">string</w:t>
      </w:r>
      <w:r>
        <w:t xml:space="preserve"> for </w:t>
      </w:r>
      <w:r>
        <w:rPr>
          <w:rStyle w:val="CodeChar"/>
        </w:rPr>
        <w:t xml:space="preserve">identifier_value</w:t>
      </w:r>
      <w:r>
        <w:t xml:space="preserve"> (see Known issues).</w:t>
      </w:r>
    </w:p>
    <w:p>
      <w:pPr>
        <w:pStyle w:val="Code"/>
      </w:pPr>
      <w:bookmarkStart w:id="1" w:name="bongo_lang_yaml_1"/>
      <w:bookmarkEnd w:id="1"/>
      <w:r>
        <w:t xml:space="preserve">apiVersion: v3.1.0</w:t>
        <w:br/>
        <w:t xml:space="preserve">kind: DataContract</w:t>
        <w:br/>
        <w:t xml:space="preserve">id: dc-consumer-party-key-ring-identifier-001</w:t>
        <w:br/>
        <w:t xml:space="preserve">name: Consumer Party Key Ring Identifier - Silver Layer Data Contract</w:t>
        <w:br/>
        <w:t xml:space="preserve">version: 1.0.0</w:t>
        <w:br/>
        <w:t xml:space="preserve">status: draft</w:t>
        <w:br/>
        <w:t xml:space="preserve">tenant: TruStage</w:t>
        <w:br/>
        <w:t xml:space="preserve">domain: consumer-party</w:t>
        <w:br/>
        <w:t xml:space="preserve">dataProduct: consumer-party-key-ring</w:t>
        <w:br/>
        <w:t xml:space="preserve">tags: [identity, pii, insurance]</w:t>
        <w:br/>
        <w:br/>
        <w:t xml:space="preserve">schema:</w:t>
        <w:br/>
        <w:t xml:space="preserve">  - name: key_ring_identifier        # table name  -&gt; table_name</w:t>
        <w:br/>
        <w:t xml:space="preserve">    schema: dbo                      # read by data_contract_tables() -&gt; schema_name</w:t>
        <w:br/>
        <w:t xml:space="preserve">    catalog: lh_silver               # read by data_contract_tables() -&gt; catalog_name</w:t>
        <w:br/>
        <w:t xml:space="preserve">    physicalType: table</w:t>
        <w:br/>
        <w:t xml:space="preserve">    properties:                      # one entry per column</w:t>
        <w:br/>
        <w:t xml:space="preserve">      - name: key_ring_identifier_uuid</w:t>
        <w:br/>
        <w:t xml:space="preserve">        logicalType: string          # compared with Spark simpleString()</w:t>
        <w:br/>
        <w:t xml:space="preserve">        physicalType: varchar(36)</w:t>
        <w:br/>
        <w:t xml:space="preserve">        primaryKey: true</w:t>
        <w:br/>
        <w:t xml:space="preserve">        required: true               # drives the null check</w:t>
        <w:br/>
        <w:t xml:space="preserve">        classification: internal-confidential</w:t>
        <w:br/>
        <w:t xml:space="preserve">      - name: key_ring_entity_uuid</w:t>
        <w:br/>
        <w:t xml:space="preserve">        logicalType: string</w:t>
        <w:br/>
        <w:t xml:space="preserve">        required: true</w:t>
        <w:br/>
        <w:t xml:space="preserve">      - name: identifier_type_cd</w:t>
        <w:br/>
        <w:t xml:space="preserve">        logicalType: string</w:t>
        <w:br/>
        <w:t xml:space="preserve">        required: true</w:t>
        <w:br/>
        <w:t xml:space="preserve">      - name: identifier_value</w:t>
        <w:br/>
        <w:t xml:space="preserve">        logicalType: string          # SHA-256 hex, 64 chars</w:t>
        <w:br/>
        <w:t xml:space="preserve">        physicalType: varchar(64)</w:t>
        <w:br/>
        <w:t xml:space="preserve">        required: true</w:t>
        <w:br/>
        <w:t xml:space="preserve">        classification: restricted</w:t>
        <w:br/>
        <w:t xml:space="preserve">      - name: is_primary_ind</w:t>
        <w:br/>
        <w:t xml:space="preserve">        logicalType: boolean</w:t>
        <w:br/>
        <w:t xml:space="preserve">      - name: effective_ts</w:t>
        <w:br/>
        <w:t xml:space="preserve">        logicalType: timestamp</w:t>
        <w:br/>
        <w:t xml:space="preserve">        required: true</w:t>
        <w:br/>
        <w:t xml:space="preserve">      - name: expiration_ts</w:t>
        <w:br/>
        <w:t xml:space="preserve">        logicalType: timestamp       # NULL = active</w:t>
        <w:br/>
        <w:t xml:space="preserve">      - name: source_system_cd</w:t>
        <w:br/>
        <w:t xml:space="preserve">        logicalType: string</w:t>
        <w:br/>
        <w:t xml:space="preserve">        required: true</w:t>
        <w:br/>
        <w:t xml:space="preserve">      # ... created_ts, updated_ts, created_by_id, updated_by_id</w:t>
        <w:br/>
        <w:br/>
        <w:t xml:space="preserve">    quality:                         # schema-object level: what the notebook runs</w:t>
        <w:br/>
        <w:t xml:space="preserve">      - name: DQ-03_identifier_type_vocabulary</w:t>
        <w:br/>
        <w:t xml:space="preserve">        description: identifier_type_cd must be in the controlled vocabulary</w:t>
        <w:br/>
        <w:t xml:space="preserve">        type: custom</w:t>
        <w:br/>
        <w:t xml:space="preserve">        engine: sql</w:t>
        <w:br/>
        <w:t xml:space="preserve">        implementation: |            # convention: return FAILING rows</w:t>
        <w:br/>
        <w:t xml:space="preserve">          SELECT key_ring_identifier_uuid, identifier_type_cd</w:t>
        <w:br/>
        <w:t xml:space="preserve">          FROM dbo.key_ring_identifier</w:t>
        <w:br/>
        <w:t xml:space="preserve">          WHERE identifier_type_cd NOT IN</w:t>
        <w:br/>
        <w:t xml:space="preserve">            ('MDM_INDIVIDUAL_ID','POLICY_NUMBER','APPLICATION_NUMBER')</w:t>
        <w:br/>
        <w:t xml:space="preserve">      - name: DQ-05_sha256_format</w:t>
        <w:br/>
        <w:t xml:space="preserve">        description: identifier_value must be 64-char lowercase hex</w:t>
        <w:br/>
        <w:t xml:space="preserve">        type: custom</w:t>
        <w:br/>
        <w:t xml:space="preserve">        engine: sql</w:t>
        <w:br/>
        <w:t xml:space="preserve">        implementation: |</w:t>
        <w:br/>
        <w:t xml:space="preserve">          SELECT key_ring_identifier_uuid</w:t>
        <w:br/>
        <w:t xml:space="preserve">          FROM dbo.key_ring_identifier</w:t>
        <w:br/>
        <w:t xml:space="preserve">          WHERE NOT identifier_value RLIKE '^[0-9a-f]{64}$'</w:t>
        <w:br/>
        <w:br/>
        <w:t xml:space="preserve">slaProperties:</w:t>
        <w:br/>
        <w:t xml:space="preserve">  - property: frequency</w:t>
        <w:br/>
        <w:t xml:space="preserve">    value: 1</w:t>
        <w:br/>
        <w:t xml:space="preserve">    unit: d</w:t>
        <w:br/>
        <w:t xml:space="preserve">  - property: latency</w:t>
        <w:br/>
        <w:t xml:space="preserve">    value: 1</w:t>
        <w:br/>
        <w:t xml:space="preserve">    unit: d</w:t>
      </w:r>
    </w:p>
    <w:p>
      <w:pPr/>
      <w:r>
        <w:rPr>
          <w:b/>
        </w:rPr>
        <w:t xml:space="preserve">Three conventions every author must follow:</w:t>
      </w:r>
    </w:p>
    <w:p>
      <w:pPr>
        <w:pStyle w:val="ListParagraph"/>
        <w:numPr>
          <w:ilvl w:val="0"/>
          <w:numId w:val="4"/>
        </w:numPr>
      </w:pPr>
      <w:r>
        <w:t xml:space="preserve">Each schema object needs </w:t>
      </w:r>
      <w:r>
        <w:rPr>
          <w:rStyle w:val="CodeChar"/>
        </w:rPr>
        <w:t xml:space="preserve">name</w:t>
      </w:r>
      <w:r>
        <w:t xml:space="preserve">, </w:t>
      </w:r>
      <w:r>
        <w:rPr>
          <w:rStyle w:val="CodeChar"/>
        </w:rPr>
        <w:t xml:space="preserve">schema</w:t>
      </w:r>
      <w:r>
        <w:t xml:space="preserve"> and </w:t>
      </w:r>
      <w:r>
        <w:rPr>
          <w:rStyle w:val="CodeChar"/>
        </w:rPr>
        <w:t xml:space="preserve">catalog</w:t>
      </w:r>
      <w:r>
        <w:t xml:space="preserve">, because the notebook builds </w:t>
      </w:r>
      <w:r>
        <w:rPr>
          <w:rStyle w:val="CodeChar"/>
        </w:rPr>
        <w:t xml:space="preserve">catalog.schema.name</w:t>
      </w:r>
      <w:r>
        <w:t xml:space="preserve"> from them.</w:t>
      </w:r>
    </w:p>
    <w:p>
      <w:pPr>
        <w:pStyle w:val="ListParagraph"/>
        <w:numPr>
          <w:ilvl w:val="0"/>
          <w:numId w:val="4"/>
        </w:numPr>
      </w:pPr>
      <w:r>
        <w:t xml:space="preserve">SQL rules must </w:t>
      </w:r>
      <w:r>
        <w:rPr>
          <w:b/>
        </w:rPr>
        <w:t xml:space="preserve">return the failing rows</w:t>
      </w:r>
      <w:r>
        <w:t xml:space="preserve">, not a count. Any row returned = FAIL.</w:t>
      </w:r>
    </w:p>
    <w:p>
      <w:pPr>
        <w:pStyle w:val="ListParagraph"/>
        <w:numPr>
          <w:ilvl w:val="0"/>
          <w:numId w:val="4"/>
        </w:numPr>
      </w:pPr>
      <w:r>
        <w:t xml:space="preserve">Write </w:t>
      </w:r>
      <w:r>
        <w:rPr>
          <w:rStyle w:val="CodeChar"/>
        </w:rPr>
        <w:t xml:space="preserve">FROM dbo.&lt;table&gt;</w:t>
      </w:r>
      <w:r>
        <w:t xml:space="preserve">. The notebook rewrites it to </w:t>
      </w:r>
      <w:r>
        <w:rPr>
          <w:rStyle w:val="CodeChar"/>
        </w:rPr>
        <w:t xml:space="preserve">FROM lh_silver.dbo.&lt;table&gt;</w:t>
      </w:r>
      <w:r>
        <w:t xml:space="preserve"> at run time.</w:t>
      </w:r>
    </w:p>
    <w:p>
      <w:pPr>
        <w:pStyle w:val="Heading2"/>
      </w:pPr>
      <w:r>
        <w:t xml:space="preserve">The metadata-driven PySpark framework</w:t>
      </w:r>
    </w:p>
    <w:p>
      <w:pPr/>
      <w:r>
        <w:rPr>
          <w:rStyle w:val="CodeChar"/>
        </w:rPr>
        <w:t xml:space="preserve">nb_data_contract</w:t>
      </w:r>
      <w:r>
        <w:t xml:space="preserve"> is one generic notebook that validates any table described in a contract YAML. </w:t>
      </w:r>
      <w:r>
        <w:rPr>
          <w:rStyle w:val="CodeChar"/>
        </w:rPr>
        <w:t xml:space="preserve">datacontract-cli</w:t>
      </w:r>
      <w:r>
        <w:t xml:space="preserve"> handles linting and metadata; the checks themselves are custom PySpark. It runs in the Fabric workspace alongside </w:t>
      </w:r>
      <w:r>
        <w:rPr>
          <w:rStyle w:val="CodeChar"/>
        </w:rPr>
        <w:t xml:space="preserve">lh_silver</w:t>
      </w:r>
      <w:r>
        <w:t xml:space="preserve">, </w:t>
      </w:r>
      <w:r>
        <w:rPr>
          <w:rStyle w:val="CodeChar"/>
        </w:rPr>
        <w:t xml:space="preserve">nb_dbo__key_ring_entity</w:t>
      </w:r>
      <w:r>
        <w:t xml:space="preserve">, </w:t>
      </w:r>
      <w:r>
        <w:rPr>
          <w:rStyle w:val="CodeChar"/>
        </w:rPr>
        <w:t xml:space="preserve">nb_apply_table_properties</w:t>
      </w:r>
      <w:r>
        <w:t xml:space="preserve">, </w:t>
      </w:r>
      <w:r>
        <w:rPr>
          <w:rStyle w:val="CodeChar"/>
        </w:rPr>
        <w:t xml:space="preserve">pl_silver_ingestion</w:t>
      </w:r>
      <w:r>
        <w:t xml:space="preserve"> and </w:t>
      </w:r>
      <w:r>
        <w:rPr>
          <w:rStyle w:val="CodeChar"/>
        </w:rPr>
        <w:t xml:space="preserve">pl_silver_master</w:t>
      </w:r>
      <w:r>
        <w:t xml:space="preserve">.</w:t>
      </w:r>
    </w:p>
    <w:p>
      <w:pPr/>
      <w:r>
        <w:rPr>
          <w:b/>
        </w:rPr>
        <w:t xml:space="preserve">1. Setup and parameters</w:t>
      </w:r>
    </w:p>
    <w:p>
      <w:pPr>
        <w:pStyle w:val="Code"/>
      </w:pPr>
      <w:bookmarkStart w:id="2" w:name="bongo_lang_python_2"/>
      <w:bookmarkEnd w:id="2"/>
      <w:r>
        <w:t xml:space="preserve">%pip install "datacontract-cli[databricks]"</w:t>
        <w:br/>
        <w:t xml:space="preserve">%pip install soda-core soda-spark</w:t>
        <w:br/>
        <w:t xml:space="preserve">notebookutils.session.restartPython()    # reload so new packages import</w:t>
        <w:br/>
        <w:br/>
        <w:t xml:space="preserve">pipeline_run_id = ""                     # parameter cell, set by the pipeline</w:t>
      </w:r>
    </w:p>
    <w:p>
      <w:pPr/>
      <w:r>
        <w:rPr>
          <w:b/>
        </w:rPr>
        <w:t xml:space="preserve">2. Resolve the contract path</w:t>
      </w:r>
    </w:p>
    <w:p>
      <w:pPr>
        <w:pStyle w:val="Code"/>
      </w:pPr>
      <w:bookmarkStart w:id="3" w:name="bongo_lang_python_3"/>
      <w:bookmarkEnd w:id="3"/>
      <w:r>
        <w:t xml:space="preserve">workspace_name = runtime.context["currentWorkspaceName"]</w:t>
        <w:br/>
        <w:t xml:space="preserve">data_contract_yaml_file_path = (</w:t>
        <w:br/>
        <w:t xml:space="preserve">    f"abfss://{workspace_name}@onelake.dfs.fabric.microsoft.com/"</w:t>
        <w:br/>
        <w:t xml:space="preserve">    "lh_silver.Lakehouse/Files/data_contract/"</w:t>
        <w:br/>
        <w:t xml:space="preserve">    "dc-consumer-key-ring.yaml"</w:t>
        <w:br/>
        <w:t xml:space="preserve">)</w:t>
      </w:r>
    </w:p>
    <w:p>
      <w:pPr/>
      <w:r>
        <w:t xml:space="preserve">Using the runtime workspace name means the same notebook works in dev, demo and prod workspaces.</w:t>
      </w:r>
    </w:p>
    <w:p>
      <w:pPr/>
      <w:r>
        <w:rPr>
          <w:b/>
        </w:rPr>
        <w:t xml:space="preserve">3. Lint the contract.</w:t>
      </w:r>
      <w:r>
        <w:t xml:space="preserve"> </w:t>
      </w:r>
      <w:r>
        <w:rPr>
          <w:rStyle w:val="CodeChar"/>
        </w:rPr>
        <w:t xml:space="preserve">lint_data_contract()</w:t>
      </w:r>
      <w:r>
        <w:t xml:space="preserve"> copies the YAML to local </w:t>
      </w:r>
      <w:r>
        <w:rPr>
          <w:rStyle w:val="CodeChar"/>
        </w:rPr>
        <w:t xml:space="preserve">/tmp</w:t>
      </w:r>
      <w:r>
        <w:t xml:space="preserve"> (the CLI needs a local file), runs </w:t>
      </w:r>
      <w:r>
        <w:rPr>
          <w:rStyle w:val="CodeChar"/>
        </w:rPr>
        <w:t xml:space="preserve">DataContract(...).lint()</w:t>
      </w:r>
      <w:r>
        <w:t xml:space="preserve">, prints any failing checks and returns </w:t>
      </w:r>
      <w:r>
        <w:rPr>
          <w:rStyle w:val="CodeChar"/>
        </w:rPr>
        <w:t xml:space="preserve">"Pass"</w:t>
      </w:r>
      <w:r>
        <w:t xml:space="preserve"> or </w:t>
      </w:r>
      <w:r>
        <w:rPr>
          <w:rStyle w:val="CodeChar"/>
        </w:rPr>
        <w:t xml:space="preserve">"Fail"</w:t>
      </w:r>
      <w:r>
        <w:t xml:space="preserve">. This catches malformed YAML before any data is touched.</w:t>
      </w:r>
    </w:p>
    <w:p>
      <w:pPr/>
      <w:r>
        <w:rPr>
          <w:b/>
        </w:rPr>
        <w:t xml:space="preserve">4. Discover tables.</w:t>
      </w:r>
      <w:r>
        <w:t xml:space="preserve"> </w:t>
      </w:r>
      <w:r>
        <w:rPr>
          <w:rStyle w:val="CodeChar"/>
        </w:rPr>
        <w:t xml:space="preserve">data_contract_tables()</w:t>
      </w:r>
      <w:r>
        <w:t xml:space="preserve"> parses the YAML's </w:t>
      </w:r>
      <w:r>
        <w:rPr>
          <w:rStyle w:val="CodeChar"/>
        </w:rPr>
        <w:t xml:space="preserve">schema</w:t>
      </w:r>
      <w:r>
        <w:t xml:space="preserve"> list and returns </w:t>
      </w:r>
      <w:r>
        <w:rPr>
          <w:rStyle w:val="CodeChar"/>
        </w:rPr>
        <w:t xml:space="preserve">table_name</w:t>
      </w:r>
      <w:r>
        <w:t xml:space="preserve">, </w:t>
      </w:r>
      <w:r>
        <w:rPr>
          <w:rStyle w:val="CodeChar"/>
        </w:rPr>
        <w:t xml:space="preserve">schema_name</w:t>
      </w:r>
      <w:r>
        <w:t xml:space="preserve"> and </w:t>
      </w:r>
      <w:r>
        <w:rPr>
          <w:rStyle w:val="CodeChar"/>
        </w:rPr>
        <w:t xml:space="preserve">catalog_name</w:t>
      </w:r>
      <w:r>
        <w:t xml:space="preserve"> for each entry. This is what makes the framework metadata-driven: the notebook loops over whatever tables the YAML declares.</w:t>
      </w:r>
    </w:p>
    <w:p>
      <w:pPr/>
      <w:r>
        <w:rPr>
          <w:b/>
        </w:rPr>
        <w:t xml:space="preserve">5. Test each table.</w:t>
      </w:r>
      <w:r>
        <w:t xml:space="preserve"> </w:t>
      </w:r>
      <w:r>
        <w:rPr>
          <w:rStyle w:val="CodeChar"/>
        </w:rPr>
        <w:t xml:space="preserve">test_data_contract(table)</w:t>
      </w:r>
      <w:r>
        <w:t xml:space="preserve"> reads the table with </w:t>
      </w:r>
      <w:r>
        <w:rPr>
          <w:rStyle w:val="CodeChar"/>
        </w:rPr>
        <w:t xml:space="preserve">spark.table("catalog.schema.table")</w:t>
      </w:r>
      <w:r>
        <w:t xml:space="preserve"> and runs three check families: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Check</w:t>
            </w:r>
          </w:p>
        </w:tc>
        <w:tc>
          <w:tcPr>
            <w:tcW w:w="2340" w:type="dxa"/>
            <w:shd w:val="clear" w:color="auto" w:fill="F2F2F2"/>
          </w:tcPr>
          <w:p>
            <w:pPr/>
            <w:r>
              <w:t xml:space="preserve">Driven by (YAML)</w:t>
            </w:r>
          </w:p>
        </w:tc>
        <w:tc>
          <w:tcPr>
            <w:tcW w:w="2340" w:type="dxa"/>
            <w:shd w:val="clear" w:color="auto" w:fill="F2F2F2"/>
          </w:tcPr>
          <w:p>
            <w:pPr/>
            <w:r>
              <w:t xml:space="preserve">Logic</w:t>
            </w:r>
          </w:p>
        </w:tc>
        <w:tc>
          <w:tcPr>
            <w:tcW w:w="2340" w:type="dxa"/>
            <w:shd w:val="clear" w:color="auto" w:fill="F2F2F2"/>
          </w:tcPr>
          <w:p>
            <w:pPr/>
            <w:r>
              <w:t xml:space="preserve">FAIL when</w:t>
            </w:r>
          </w:p>
        </w:tc>
      </w:tr>
      <w:tr>
        <w:tc>
          <w:tcPr>
            <w:tcW w:w="2340" w:type="dxa"/>
          </w:tcPr>
          <w:p>
            <w:pPr/>
            <w:r>
              <w:t xml:space="preserve">Column Type Validation</w:t>
            </w:r>
          </w:p>
        </w:tc>
        <w:tc>
          <w:tcPr>
            <w:tcW w:w="2340" w:type="dxa"/>
          </w:tcPr>
          <w:p>
            <w:pPr/>
            <w:r>
              <w:rPr>
                <w:rStyle w:val="CodeChar"/>
              </w:rPr>
              <w:t xml:space="preserve">properties[].logicalType</w:t>
            </w:r>
            <w:r>
              <w:t xml:space="preserve"> (else </w:t>
            </w:r>
            <w:r>
              <w:rPr>
                <w:rStyle w:val="CodeChar"/>
              </w:rPr>
              <w:t xml:space="preserve">physicalType</w:t>
            </w:r>
            <w:r>
              <w:t xml:space="preserve">)</w:t>
            </w:r>
          </w:p>
        </w:tc>
        <w:tc>
          <w:tcPr>
            <w:tcW w:w="2340" w:type="dxa"/>
          </w:tcPr>
          <w:p>
            <w:pPr/>
            <w:r>
              <w:t xml:space="preserve">Compare with </w:t>
            </w:r>
            <w:r>
              <w:rPr>
                <w:rStyle w:val="CodeChar"/>
              </w:rPr>
              <w:t xml:space="preserve">df.schema</w:t>
            </w:r>
            <w:r>
              <w:t xml:space="preserve"> </w:t>
            </w:r>
            <w:r>
              <w:rPr>
                <w:rStyle w:val="CodeChar"/>
              </w:rPr>
              <w:t xml:space="preserve">simpleString()</w:t>
            </w:r>
          </w:p>
        </w:tc>
        <w:tc>
          <w:tcPr>
            <w:tcW w:w="2340" w:type="dxa"/>
          </w:tcPr>
          <w:p>
            <w:pPr/>
            <w:r>
              <w:t xml:space="preserve">Type differs or column missing</w:t>
            </w:r>
          </w:p>
        </w:tc>
      </w:tr>
      <w:tr>
        <w:tc>
          <w:tcPr>
            <w:tcW w:w="2340" w:type="dxa"/>
          </w:tcPr>
          <w:p>
            <w:pPr/>
            <w:r>
              <w:t xml:space="preserve">Null Check Required Columns</w:t>
            </w:r>
          </w:p>
        </w:tc>
        <w:tc>
          <w:tcPr>
            <w:tcW w:w="2340" w:type="dxa"/>
          </w:tcPr>
          <w:p>
            <w:pPr/>
            <w:r>
              <w:rPr>
                <w:rStyle w:val="CodeChar"/>
              </w:rPr>
              <w:t xml:space="preserve">properties[].required: true</w:t>
            </w:r>
          </w:p>
        </w:tc>
        <w:tc>
          <w:tcPr>
            <w:tcW w:w="2340" w:type="dxa"/>
          </w:tcPr>
          <w:p>
            <w:pPr/>
            <w:r>
              <w:rPr>
                <w:rStyle w:val="CodeChar"/>
              </w:rPr>
              <w:t xml:space="preserve">df.filter("col IS NULL").limit(100)</w:t>
            </w:r>
          </w:p>
        </w:tc>
        <w:tc>
          <w:tcPr>
            <w:tcW w:w="2340" w:type="dxa"/>
          </w:tcPr>
          <w:p>
            <w:pPr/>
            <w:r>
              <w:t xml:space="preserve">Any NULL; up to 100 row keys logged</w:t>
            </w:r>
          </w:p>
        </w:tc>
      </w:tr>
      <w:tr>
        <w:tc>
          <w:tcPr>
            <w:tcW w:w="2340" w:type="dxa"/>
          </w:tcPr>
          <w:p>
            <w:pPr/>
            <w:r>
              <w:t xml:space="preserve">Custom SQL checks</w:t>
            </w:r>
          </w:p>
        </w:tc>
        <w:tc>
          <w:tcPr>
            <w:tcW w:w="2340" w:type="dxa"/>
          </w:tcPr>
          <w:p>
            <w:pPr/>
            <w:r>
              <w:rPr>
                <w:rStyle w:val="CodeChar"/>
              </w:rPr>
              <w:t xml:space="preserve">quality[]</w:t>
            </w:r>
            <w:r>
              <w:t xml:space="preserve"> with </w:t>
            </w:r>
            <w:r>
              <w:rPr>
                <w:rStyle w:val="CodeChar"/>
              </w:rPr>
              <w:t xml:space="preserve">type: custom</w:t>
            </w:r>
            <w:r>
              <w:t xml:space="preserve">, </w:t>
            </w:r>
            <w:r>
              <w:rPr>
                <w:rStyle w:val="CodeChar"/>
              </w:rPr>
              <w:t xml:space="preserve">engine: sql</w:t>
            </w:r>
          </w:p>
        </w:tc>
        <w:tc>
          <w:tcPr>
            <w:tcW w:w="2340" w:type="dxa"/>
          </w:tcPr>
          <w:p>
            <w:pPr/>
            <w:r>
              <w:t xml:space="preserve">Rewrite </w:t>
            </w:r>
            <w:r>
              <w:rPr>
                <w:rStyle w:val="CodeChar"/>
              </w:rPr>
              <w:t xml:space="preserve">FROM dbo.</w:t>
            </w:r>
            <w:r>
              <w:t xml:space="preserve"> → </w:t>
            </w:r>
            <w:r>
              <w:rPr>
                <w:rStyle w:val="CodeChar"/>
              </w:rPr>
              <w:t xml:space="preserve">FROM lh_silver.dbo.</w:t>
            </w:r>
            <w:r>
              <w:t xml:space="preserve">, run with </w:t>
            </w:r>
            <w:r>
              <w:rPr>
                <w:rStyle w:val="CodeChar"/>
              </w:rPr>
              <w:t xml:space="preserve">spark.sql</w:t>
            </w:r>
          </w:p>
        </w:tc>
        <w:tc>
          <w:tcPr>
            <w:tcW w:w="2340" w:type="dxa"/>
          </w:tcPr>
          <w:p>
            <w:pPr/>
            <w:r>
              <w:t xml:space="preserve">Query returns any row; exception = ERROR</w:t>
            </w:r>
          </w:p>
        </w:tc>
      </w:tr>
    </w:tbl>
    <w:p>
      <w:pPr/>
      <w:r>
        <w:t xml:space="preserve">Each check becomes one result row with </w:t>
      </w:r>
      <w:r>
        <w:rPr>
          <w:rStyle w:val="CodeChar"/>
        </w:rPr>
        <w:t xml:space="preserve">check_name</w:t>
      </w:r>
      <w:r>
        <w:t xml:space="preserve">, </w:t>
      </w:r>
      <w:r>
        <w:rPr>
          <w:rStyle w:val="CodeChar"/>
        </w:rPr>
        <w:t xml:space="preserve">description</w:t>
      </w:r>
      <w:r>
        <w:t xml:space="preserve">, </w:t>
      </w:r>
      <w:r>
        <w:rPr>
          <w:rStyle w:val="CodeChar"/>
        </w:rPr>
        <w:t xml:space="preserve">status</w:t>
      </w:r>
      <w:r>
        <w:t xml:space="preserve"> (PASS / FAIL / ERROR) and </w:t>
      </w:r>
      <w:r>
        <w:rPr>
          <w:rStyle w:val="CodeChar"/>
        </w:rPr>
        <w:t xml:space="preserve">error_details</w:t>
      </w:r>
      <w:r>
        <w:t xml:space="preserve">. Contract name, version and apiVersion come from </w:t>
      </w:r>
      <w:r>
        <w:rPr>
          <w:rStyle w:val="CodeChar"/>
        </w:rPr>
        <w:t xml:space="preserve">get_data_contract()</w:t>
      </w:r>
      <w:r>
        <w:t xml:space="preserve">.</w:t>
      </w:r>
    </w:p>
    <w:p>
      <w:pPr/>
      <w:r>
        <w:rPr>
          <w:b/>
        </w:rPr>
        <w:t xml:space="preserve">6. Write the audit trail</w:t>
      </w:r>
    </w:p>
    <w:p>
      <w:pPr>
        <w:pStyle w:val="Code"/>
      </w:pPr>
      <w:bookmarkStart w:id="4" w:name="bongo_lang_python_4"/>
      <w:bookmarkEnd w:id="4"/>
      <w:r>
        <w:t xml:space="preserve">spark.sql(f"CREATE SCHEMA IF NOT EXISTS {workspace_name}.lh_silver.audit")</w:t>
        <w:br/>
        <w:br/>
        <w:t xml:space="preserve">if lint_data_contract() == "Pass":</w:t>
        <w:br/>
        <w:t xml:space="preserve">    for table in data_contract_tables(data_contract_yaml_file_path):</w:t>
        <w:br/>
        <w:t xml:space="preserve">        df_datacontract_results = test_data_contract(table)</w:t>
        <w:br/>
        <w:t xml:space="preserve">        (df_datacontract_results.write</w:t>
        <w:br/>
        <w:t xml:space="preserve">            .format("delta").mode("append")</w:t>
        <w:br/>
        <w:t xml:space="preserve">            .option("delta.enableChangeDataFeed", "true")</w:t>
        <w:br/>
        <w:t xml:space="preserve">            .saveAsTable(f"{workspace_name}.lh_silver.audit.data_contract_validation"))</w:t>
      </w:r>
    </w:p>
    <w:p>
      <w:pPr/>
      <w:r>
        <w:t xml:space="preserve">Results are appended, never overwritten, so the audit table builds a history of every run, with Change Data Feed on for downstream monitoring.</w:t>
      </w:r>
    </w:p>
    <w:p>
      <w:pPr>
        <w:pStyle w:val="Heading2"/>
      </w:pPr>
      <w:r>
        <w:t xml:space="preserve">Data quality rules and expectations</w:t>
      </w:r>
    </w:p>
    <w:p>
      <w:pPr/>
      <w:r>
        <w:t xml:space="preserve">All ten contract rules are launch blockers: each must pass before the key ring table is used in production. Three are covered by built-in checks; the rest need a SQL rule in the YAML.</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ID</w:t>
            </w:r>
          </w:p>
        </w:tc>
        <w:tc>
          <w:tcPr>
            <w:tcW w:w="1872" w:type="dxa"/>
            <w:shd w:val="clear" w:color="auto" w:fill="F2F2F2"/>
          </w:tcPr>
          <w:p>
            <w:pPr/>
            <w:r>
              <w:t xml:space="preserve">Severity</w:t>
            </w:r>
          </w:p>
        </w:tc>
        <w:tc>
          <w:tcPr>
            <w:tcW w:w="1872" w:type="dxa"/>
            <w:shd w:val="clear" w:color="auto" w:fill="F2F2F2"/>
          </w:tcPr>
          <w:p>
            <w:pPr/>
            <w:r>
              <w:t xml:space="preserve">Column</w:t>
            </w:r>
          </w:p>
        </w:tc>
        <w:tc>
          <w:tcPr>
            <w:tcW w:w="1872" w:type="dxa"/>
            <w:shd w:val="clear" w:color="auto" w:fill="F2F2F2"/>
          </w:tcPr>
          <w:p>
            <w:pPr/>
            <w:r>
              <w:t xml:space="preserve">Expectation</w:t>
            </w:r>
          </w:p>
        </w:tc>
        <w:tc>
          <w:tcPr>
            <w:tcW w:w="1872" w:type="dxa"/>
            <w:shd w:val="clear" w:color="auto" w:fill="F2F2F2"/>
          </w:tcPr>
          <w:p>
            <w:pPr/>
            <w:r>
              <w:t xml:space="preserve">Implemented by</w:t>
            </w:r>
          </w:p>
        </w:tc>
      </w:tr>
      <w:tr>
        <w:tc>
          <w:tcPr>
            <w:tcW w:w="1872" w:type="dxa"/>
          </w:tcPr>
          <w:p>
            <w:pPr/>
            <w:r>
              <w:t xml:space="preserve">DQ-01</w:t>
            </w:r>
          </w:p>
        </w:tc>
        <w:tc>
          <w:tcPr>
            <w:tcW w:w="1872" w:type="dxa"/>
          </w:tcPr>
          <w:p>
            <w:pPr/>
            <w:r>
              <w:t xml:space="preserve">Critical</w:t>
            </w:r>
          </w:p>
        </w:tc>
        <w:tc>
          <w:tcPr>
            <w:tcW w:w="1872" w:type="dxa"/>
          </w:tcPr>
          <w:p>
            <w:pPr/>
            <w:r>
              <w:rPr>
                <w:rStyle w:val="CodeChar"/>
              </w:rPr>
              <w:t xml:space="preserve">key_ring_identifier_uuid</w:t>
            </w:r>
          </w:p>
        </w:tc>
        <w:tc>
          <w:tcPr>
            <w:tcW w:w="1872" w:type="dxa"/>
          </w:tcPr>
          <w:p>
            <w:pPr/>
            <w:r>
              <w:t xml:space="preserve">Populated and unique on every row</w:t>
            </w:r>
          </w:p>
        </w:tc>
        <w:tc>
          <w:tcPr>
            <w:tcW w:w="1872" w:type="dxa"/>
          </w:tcPr>
          <w:p>
            <w:pPr/>
            <w:r>
              <w:t xml:space="preserve">Null check + SQL rule for uniqueness</w:t>
            </w:r>
          </w:p>
        </w:tc>
      </w:tr>
      <w:tr>
        <w:tc>
          <w:tcPr>
            <w:tcW w:w="1872" w:type="dxa"/>
          </w:tcPr>
          <w:p>
            <w:pPr/>
            <w:r>
              <w:t xml:space="preserve">DQ-02</w:t>
            </w:r>
          </w:p>
        </w:tc>
        <w:tc>
          <w:tcPr>
            <w:tcW w:w="1872" w:type="dxa"/>
          </w:tcPr>
          <w:p>
            <w:pPr/>
            <w:r>
              <w:t xml:space="preserve">Critical</w:t>
            </w:r>
          </w:p>
        </w:tc>
        <w:tc>
          <w:tcPr>
            <w:tcW w:w="1872" w:type="dxa"/>
          </w:tcPr>
          <w:p>
            <w:pPr/>
            <w:r>
              <w:rPr>
                <w:rStyle w:val="CodeChar"/>
              </w:rPr>
              <w:t xml:space="preserve">key_ring_entity_uuid</w:t>
            </w:r>
          </w:p>
        </w:tc>
        <w:tc>
          <w:tcPr>
            <w:tcW w:w="1872" w:type="dxa"/>
          </w:tcPr>
          <w:p>
            <w:pPr/>
            <w:r>
              <w:t xml:space="preserve">Every row bound to a master entity</w:t>
            </w:r>
          </w:p>
        </w:tc>
        <w:tc>
          <w:tcPr>
            <w:tcW w:w="1872" w:type="dxa"/>
          </w:tcPr>
          <w:p>
            <w:pPr/>
            <w:r>
              <w:t xml:space="preserve">Null check (</w:t>
            </w:r>
            <w:r>
              <w:rPr>
                <w:rStyle w:val="CodeChar"/>
              </w:rPr>
              <w:t xml:space="preserve">required: true</w:t>
            </w:r>
            <w:r>
              <w:t xml:space="preserve">)</w:t>
            </w:r>
          </w:p>
        </w:tc>
      </w:tr>
      <w:tr>
        <w:tc>
          <w:tcPr>
            <w:tcW w:w="1872" w:type="dxa"/>
          </w:tcPr>
          <w:p>
            <w:pPr/>
            <w:r>
              <w:t xml:space="preserve">DQ-03</w:t>
            </w:r>
          </w:p>
        </w:tc>
        <w:tc>
          <w:tcPr>
            <w:tcW w:w="1872" w:type="dxa"/>
          </w:tcPr>
          <w:p>
            <w:pPr/>
            <w:r>
              <w:t xml:space="preserve">Critical</w:t>
            </w:r>
          </w:p>
        </w:tc>
        <w:tc>
          <w:tcPr>
            <w:tcW w:w="1872" w:type="dxa"/>
          </w:tcPr>
          <w:p>
            <w:pPr/>
            <w:r>
              <w:rPr>
                <w:rStyle w:val="CodeChar"/>
              </w:rPr>
              <w:t xml:space="preserve">identifier_type_cd</w:t>
            </w:r>
          </w:p>
        </w:tc>
        <w:tc>
          <w:tcPr>
            <w:tcW w:w="1872" w:type="dxa"/>
          </w:tcPr>
          <w:p>
            <w:pPr/>
            <w:r>
              <w:t xml:space="preserve">One of MDM_INDIVIDUAL_ID, POLICY_NUMBER, APPLICATION_NUMBER</w:t>
            </w:r>
          </w:p>
        </w:tc>
        <w:tc>
          <w:tcPr>
            <w:tcW w:w="1872" w:type="dxa"/>
          </w:tcPr>
          <w:p>
            <w:pPr/>
            <w:r>
              <w:t xml:space="preserve">SQL rule (hard-coded in pipeline today)</w:t>
            </w:r>
          </w:p>
        </w:tc>
      </w:tr>
      <w:tr>
        <w:tc>
          <w:tcPr>
            <w:tcW w:w="1872" w:type="dxa"/>
          </w:tcPr>
          <w:p>
            <w:pPr/>
            <w:r>
              <w:t xml:space="preserve">DQ-04</w:t>
            </w:r>
          </w:p>
        </w:tc>
        <w:tc>
          <w:tcPr>
            <w:tcW w:w="1872" w:type="dxa"/>
          </w:tcPr>
          <w:p>
            <w:pPr/>
            <w:r>
              <w:t xml:space="preserve">Critical</w:t>
            </w:r>
          </w:p>
        </w:tc>
        <w:tc>
          <w:tcPr>
            <w:tcW w:w="1872" w:type="dxa"/>
          </w:tcPr>
          <w:p>
            <w:pPr/>
            <w:r>
              <w:rPr>
                <w:rStyle w:val="CodeChar"/>
              </w:rPr>
              <w:t xml:space="preserve">identifier_value</w:t>
            </w:r>
          </w:p>
        </w:tc>
        <w:tc>
          <w:tcPr>
            <w:tcW w:w="1872" w:type="dxa"/>
          </w:tcPr>
          <w:p>
            <w:pPr/>
            <w:r>
              <w:t xml:space="preserve">Always populated; NULL source rows excluded before load</w:t>
            </w:r>
          </w:p>
        </w:tc>
        <w:tc>
          <w:tcPr>
            <w:tcW w:w="1872" w:type="dxa"/>
          </w:tcPr>
          <w:p>
            <w:pPr/>
            <w:r>
              <w:t xml:space="preserve">Null check</w:t>
            </w:r>
          </w:p>
        </w:tc>
      </w:tr>
      <w:tr>
        <w:tc>
          <w:tcPr>
            <w:tcW w:w="1872" w:type="dxa"/>
          </w:tcPr>
          <w:p>
            <w:pPr/>
            <w:r>
              <w:t xml:space="preserve">DQ-05</w:t>
            </w:r>
          </w:p>
        </w:tc>
        <w:tc>
          <w:tcPr>
            <w:tcW w:w="1872" w:type="dxa"/>
          </w:tcPr>
          <w:p>
            <w:pPr/>
            <w:r>
              <w:t xml:space="preserve">Critical</w:t>
            </w:r>
          </w:p>
        </w:tc>
        <w:tc>
          <w:tcPr>
            <w:tcW w:w="1872" w:type="dxa"/>
          </w:tcPr>
          <w:p>
            <w:pPr/>
            <w:r>
              <w:rPr>
                <w:rStyle w:val="CodeChar"/>
              </w:rPr>
              <w:t xml:space="preserve">identifier_value</w:t>
            </w:r>
          </w:p>
        </w:tc>
        <w:tc>
          <w:tcPr>
            <w:tcW w:w="1872" w:type="dxa"/>
          </w:tcPr>
          <w:p>
            <w:pPr/>
            <w:r>
              <w:t xml:space="preserve">64-char lowercase hex (SHA-256), so no raw PI is stored</w:t>
            </w:r>
          </w:p>
        </w:tc>
        <w:tc>
          <w:tcPr>
            <w:tcW w:w="1872" w:type="dxa"/>
          </w:tcPr>
          <w:p>
            <w:pPr/>
            <w:r>
              <w:t xml:space="preserve">SQL rule (</w:t>
            </w:r>
            <w:r>
              <w:rPr>
                <w:rStyle w:val="CodeChar"/>
              </w:rPr>
              <w:t xml:space="preserve">RLIKE '^[0-9a-f]{64}$'</w:t>
            </w:r>
            <w:r>
              <w:t xml:space="preserve">)</w:t>
            </w:r>
          </w:p>
        </w:tc>
      </w:tr>
      <w:tr>
        <w:tc>
          <w:tcPr>
            <w:tcW w:w="1872" w:type="dxa"/>
          </w:tcPr>
          <w:p>
            <w:pPr/>
            <w:r>
              <w:t xml:space="preserve">DQ-06</w:t>
            </w:r>
          </w:p>
        </w:tc>
        <w:tc>
          <w:tcPr>
            <w:tcW w:w="1872" w:type="dxa"/>
          </w:tcPr>
          <w:p>
            <w:pPr/>
            <w:r>
              <w:t xml:space="preserve">Critical</w:t>
            </w:r>
          </w:p>
        </w:tc>
        <w:tc>
          <w:tcPr>
            <w:tcW w:w="1872" w:type="dxa"/>
          </w:tcPr>
          <w:p>
            <w:pPr/>
            <w:r>
              <w:rPr>
                <w:rStyle w:val="CodeChar"/>
              </w:rPr>
              <w:t xml:space="preserve">source_system_cd</w:t>
            </w:r>
          </w:p>
        </w:tc>
        <w:tc>
          <w:tcPr>
            <w:tcW w:w="1872" w:type="dxa"/>
          </w:tcPr>
          <w:p>
            <w:pPr/>
            <w:r>
              <w:t xml:space="preserve">Always populated; in system registry (future)</w:t>
            </w:r>
          </w:p>
        </w:tc>
        <w:tc>
          <w:tcPr>
            <w:tcW w:w="1872" w:type="dxa"/>
          </w:tcPr>
          <w:p>
            <w:pPr/>
            <w:r>
              <w:t xml:space="preserve">Null check</w:t>
            </w:r>
          </w:p>
        </w:tc>
      </w:tr>
      <w:tr>
        <w:tc>
          <w:tcPr>
            <w:tcW w:w="1872" w:type="dxa"/>
          </w:tcPr>
          <w:p>
            <w:pPr/>
            <w:r>
              <w:t xml:space="preserve">DQ-07</w:t>
            </w:r>
          </w:p>
        </w:tc>
        <w:tc>
          <w:tcPr>
            <w:tcW w:w="1872" w:type="dxa"/>
          </w:tcPr>
          <w:p>
            <w:pPr/>
            <w:r>
              <w:t xml:space="preserve">Critical</w:t>
            </w:r>
          </w:p>
        </w:tc>
        <w:tc>
          <w:tcPr>
            <w:tcW w:w="1872" w:type="dxa"/>
          </w:tcPr>
          <w:p>
            <w:pPr/>
            <w:r>
              <w:rPr>
                <w:rStyle w:val="CodeChar"/>
              </w:rPr>
              <w:t xml:space="preserve">origin_system_cd</w:t>
            </w:r>
          </w:p>
        </w:tc>
        <w:tc>
          <w:tcPr>
            <w:tcW w:w="1872" w:type="dxa"/>
          </w:tcPr>
          <w:p>
            <w:pPr/>
            <w:r>
              <w:t xml:space="preserve">Always populated; in system registry (future)</w:t>
            </w:r>
          </w:p>
        </w:tc>
        <w:tc>
          <w:tcPr>
            <w:tcW w:w="1872" w:type="dxa"/>
          </w:tcPr>
          <w:p>
            <w:pPr/>
            <w:r>
              <w:t xml:space="preserve">Null check, once the column is in the YAML</w:t>
            </w:r>
          </w:p>
        </w:tc>
      </w:tr>
      <w:tr>
        <w:tc>
          <w:tcPr>
            <w:tcW w:w="1872" w:type="dxa"/>
          </w:tcPr>
          <w:p>
            <w:pPr/>
            <w:r>
              <w:t xml:space="preserve">DQ-08</w:t>
            </w:r>
          </w:p>
        </w:tc>
        <w:tc>
          <w:tcPr>
            <w:tcW w:w="1872" w:type="dxa"/>
          </w:tcPr>
          <w:p>
            <w:pPr/>
            <w:r>
              <w:t xml:space="preserve">Critical</w:t>
            </w:r>
          </w:p>
        </w:tc>
        <w:tc>
          <w:tcPr>
            <w:tcW w:w="1872" w:type="dxa"/>
          </w:tcPr>
          <w:p>
            <w:pPr/>
            <w:r>
              <w:rPr>
                <w:rStyle w:val="CodeChar"/>
              </w:rPr>
              <w:t xml:space="preserve">effective_ts</w:t>
            </w:r>
          </w:p>
        </w:tc>
        <w:tc>
          <w:tcPr>
            <w:tcW w:w="1872" w:type="dxa"/>
          </w:tcPr>
          <w:p>
            <w:pPr/>
            <w:r>
              <w:t xml:space="preserve">Always populated; ETL runtime substituted and logged if source NULL</w:t>
            </w:r>
          </w:p>
        </w:tc>
        <w:tc>
          <w:tcPr>
            <w:tcW w:w="1872" w:type="dxa"/>
          </w:tcPr>
          <w:p>
            <w:pPr/>
            <w:r>
              <w:t xml:space="preserve">Null check</w:t>
            </w:r>
          </w:p>
        </w:tc>
      </w:tr>
      <w:tr>
        <w:tc>
          <w:tcPr>
            <w:tcW w:w="1872" w:type="dxa"/>
          </w:tcPr>
          <w:p>
            <w:pPr/>
            <w:r>
              <w:t xml:space="preserve">DQ-09</w:t>
            </w:r>
          </w:p>
        </w:tc>
        <w:tc>
          <w:tcPr>
            <w:tcW w:w="1872" w:type="dxa"/>
          </w:tcPr>
          <w:p>
            <w:pPr/>
            <w:r>
              <w:t xml:space="preserve">Error</w:t>
            </w:r>
          </w:p>
        </w:tc>
        <w:tc>
          <w:tcPr>
            <w:tcW w:w="1872" w:type="dxa"/>
          </w:tcPr>
          <w:p>
            <w:pPr/>
            <w:r>
              <w:rPr>
                <w:rStyle w:val="CodeChar"/>
              </w:rPr>
              <w:t xml:space="preserve">effective_ts</w:t>
            </w:r>
            <w:r>
              <w:t xml:space="preserve">, </w:t>
            </w:r>
            <w:r>
              <w:rPr>
                <w:rStyle w:val="CodeChar"/>
              </w:rPr>
              <w:t xml:space="preserve">expiration_ts</w:t>
            </w:r>
          </w:p>
        </w:tc>
        <w:tc>
          <w:tcPr>
            <w:tcW w:w="1872" w:type="dxa"/>
          </w:tcPr>
          <w:p>
            <w:pPr/>
            <w:r>
              <w:t xml:space="preserve">Expiration strictly after effective when present</w:t>
            </w:r>
          </w:p>
        </w:tc>
        <w:tc>
          <w:tcPr>
            <w:tcW w:w="1872" w:type="dxa"/>
          </w:tcPr>
          <w:p>
            <w:pPr/>
            <w:r>
              <w:t xml:space="preserve">SQL rule</w:t>
            </w:r>
          </w:p>
        </w:tc>
      </w:tr>
      <w:tr>
        <w:tc>
          <w:tcPr>
            <w:tcW w:w="1872" w:type="dxa"/>
          </w:tcPr>
          <w:p>
            <w:pPr/>
            <w:r>
              <w:t xml:space="preserve">DQ-10</w:t>
            </w:r>
          </w:p>
        </w:tc>
        <w:tc>
          <w:tcPr>
            <w:tcW w:w="1872" w:type="dxa"/>
          </w:tcPr>
          <w:p>
            <w:pPr/>
            <w:r>
              <w:t xml:space="preserve">Critical</w:t>
            </w:r>
          </w:p>
        </w:tc>
        <w:tc>
          <w:tcPr>
            <w:tcW w:w="1872" w:type="dxa"/>
          </w:tcPr>
          <w:p>
            <w:pPr/>
            <w:r>
              <w:t xml:space="preserve">Table</w:t>
            </w:r>
          </w:p>
        </w:tc>
        <w:tc>
          <w:tcPr>
            <w:tcW w:w="1872" w:type="dxa"/>
          </w:tcPr>
          <w:p>
            <w:pPr/>
            <w:r>
              <w:t xml:space="preserve">At least one row after each load</w:t>
            </w:r>
          </w:p>
        </w:tc>
        <w:tc>
          <w:tcPr>
            <w:tcW w:w="1872" w:type="dxa"/>
          </w:tcPr>
          <w:p>
            <w:pPr/>
            <w:r>
              <w:t xml:space="preserve">SQL rule</w:t>
            </w:r>
          </w:p>
        </w:tc>
      </w:tr>
    </w:tbl>
    <w:p>
      <w:pPr/>
      <w:r>
        <w:rPr>
          <w:b/>
        </w:rPr>
        <w:t xml:space="preserve">Example SQL for the rules not covered by built-in checks</w:t>
      </w:r>
      <w:r>
        <w:t xml:space="preserve"> (each returns failing rows):</w:t>
      </w:r>
    </w:p>
    <w:p>
      <w:pPr>
        <w:pStyle w:val="Code"/>
      </w:pPr>
      <w:bookmarkStart w:id="5" w:name="bongo_lang_sql_5"/>
      <w:bookmarkEnd w:id="5"/>
      <w:r>
        <w:t xml:space="preserve">-- DQ-01 uniqueness</w:t>
        <w:br/>
        <w:t xml:space="preserve">SELECT key_ring_identifier_uuid, COUNT(*) AS n</w:t>
        <w:br/>
        <w:t xml:space="preserve">FROM dbo.key_ring_identifier</w:t>
        <w:br/>
        <w:t xml:space="preserve">GROUP BY key_ring_identifier_uuid HAVING COUNT(*) &gt; 1;</w:t>
        <w:br/>
        <w:br/>
        <w:t xml:space="preserve">-- DQ-09 temporal order</w:t>
        <w:br/>
        <w:t xml:space="preserve">SELECT key_ring_identifier_uuid, effective_ts, expiration_ts</w:t>
        <w:br/>
        <w:t xml:space="preserve">FROM dbo.key_ring_identifier</w:t>
        <w:br/>
        <w:t xml:space="preserve">WHERE expiration_ts IS NOT NULL AND expiration_ts &lt;= effective_ts;</w:t>
        <w:br/>
        <w:br/>
        <w:t xml:space="preserve">-- DQ-10 non-empty table (returns a row only when empty)</w:t>
        <w:br/>
        <w:t xml:space="preserve">SELECT 'table_empty' AS issue</w:t>
        <w:br/>
        <w:t xml:space="preserve">FROM (SELECT COUNT(*) AS n FROM dbo.key_ring_identifier) t</w:t>
        <w:br/>
        <w:t xml:space="preserve">WHERE t.n = 0;</w:t>
      </w:r>
    </w:p>
    <w:p>
      <w:pPr/>
      <w:r>
        <w:rPr>
          <w:b/>
        </w:rPr>
        <w:t xml:space="preserve">Recommended additional rules</w:t>
      </w:r>
      <w:r>
        <w:t xml:space="preserve"> (not yet in the contract):</w:t>
      </w:r>
    </w:p>
    <w:p>
      <w:pPr>
        <w:pStyle w:val="ListParagraph"/>
        <w:numPr>
          <w:ilvl w:val="0"/>
          <w:numId w:val="5"/>
        </w:numPr>
      </w:pPr>
      <w:r>
        <w:t xml:space="preserve">At most one </w:t>
      </w:r>
      <w:r>
        <w:rPr>
          <w:rStyle w:val="CodeChar"/>
        </w:rPr>
        <w:t xml:space="preserve">is_primary_ind = 1</w:t>
      </w:r>
      <w:r>
        <w:t xml:space="preserve"> per entity and identifier type at a time.</w:t>
      </w:r>
    </w:p>
    <w:p>
      <w:pPr>
        <w:pStyle w:val="ListParagraph"/>
        <w:numPr>
          <w:ilvl w:val="0"/>
          <w:numId w:val="5"/>
        </w:numPr>
      </w:pPr>
      <w:r>
        <w:t xml:space="preserve">No duplicates on the natural key (type, value, source system, entity).</w:t>
      </w:r>
    </w:p>
    <w:p>
      <w:pPr>
        <w:pStyle w:val="ListParagraph"/>
        <w:numPr>
          <w:ilvl w:val="0"/>
          <w:numId w:val="5"/>
        </w:numPr>
      </w:pPr>
      <w:r>
        <w:t xml:space="preserve">No overlapping validity windows for the same identifier.</w:t>
      </w:r>
    </w:p>
    <w:p>
      <w:pPr>
        <w:pStyle w:val="ListParagraph"/>
        <w:numPr>
          <w:ilvl w:val="0"/>
          <w:numId w:val="5"/>
        </w:numPr>
      </w:pPr>
      <w:r>
        <w:t xml:space="preserve">Every </w:t>
      </w:r>
      <w:r>
        <w:rPr>
          <w:rStyle w:val="CodeChar"/>
        </w:rPr>
        <w:t xml:space="preserve">key_ring_entity_uuid</w:t>
      </w:r>
      <w:r>
        <w:t xml:space="preserve"> exists in </w:t>
      </w:r>
      <w:r>
        <w:rPr>
          <w:rStyle w:val="CodeChar"/>
        </w:rPr>
        <w:t xml:space="preserve">key_ring_entity</w:t>
      </w:r>
      <w:r>
        <w:t xml:space="preserve"> (FK is not enforced).</w:t>
      </w:r>
    </w:p>
    <w:p>
      <w:pPr>
        <w:pStyle w:val="ListParagraph"/>
        <w:numPr>
          <w:ilvl w:val="0"/>
          <w:numId w:val="5"/>
        </w:numPr>
      </w:pPr>
      <w:r>
        <w:t xml:space="preserve">Row-count reconciliation against Bronze after NULL exclusions.</w:t>
      </w:r>
    </w:p>
    <w:p>
      <w:pPr>
        <w:pStyle w:val="ListParagraph"/>
        <w:numPr>
          <w:ilvl w:val="0"/>
          <w:numId w:val="5"/>
        </w:numPr>
      </w:pPr>
      <w:r>
        <w:t xml:space="preserve">Track how often DQ-08's runtime-timestamp fallback fires.</w:t>
      </w:r>
    </w:p>
    <w:p>
      <w:pPr/>
      <w:r>
        <w:rPr>
          <w:b/>
        </w:rPr>
        <w:t xml:space="preserve">Failure handling is still undecided.</w:t>
      </w:r>
      <w:r>
        <w:t xml:space="preserve"> Each rule needs one of: reject row, reject batch, or alert and continue. Until then, failures are logged only.</w:t>
      </w:r>
    </w:p>
    <w:p>
      <w:pPr>
        <w:pStyle w:val="Heading2"/>
      </w:pPr>
      <w:r>
        <w:t xml:space="preserve">Audit table</w:t>
      </w:r>
    </w:p>
    <w:p>
      <w:pPr/>
      <w:r>
        <w:rPr>
          <w:rStyle w:val="CodeChar"/>
        </w:rPr>
        <w:t xml:space="preserve">lh_silver.audit.data_contract_validation</w:t>
      </w:r>
      <w:r>
        <w:t xml:space="preserve"> holds one row per check per table per run, appended each time the notebook runs.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Column</w:t>
            </w:r>
          </w:p>
        </w:tc>
        <w:tc>
          <w:tcPr>
            <w:tcW w:w="4680" w:type="dxa"/>
            <w:shd w:val="clear" w:color="auto" w:fill="F2F2F2"/>
          </w:tcPr>
          <w:p>
            <w:pPr/>
            <w:r>
              <w:t xml:space="preserve">Meaning</w:t>
            </w:r>
          </w:p>
        </w:tc>
      </w:tr>
      <w:tr>
        <w:tc>
          <w:tcPr>
            <w:tcW w:w="4680" w:type="dxa"/>
          </w:tcPr>
          <w:p>
            <w:pPr/>
            <w:r>
              <w:rPr>
                <w:rStyle w:val="CodeChar"/>
              </w:rPr>
              <w:t xml:space="preserve">pipeline_run_id</w:t>
            </w:r>
          </w:p>
        </w:tc>
        <w:tc>
          <w:tcPr>
            <w:tcW w:w="4680" w:type="dxa"/>
          </w:tcPr>
          <w:p>
            <w:pPr/>
            <w:r>
              <w:t xml:space="preserve">Run ID passed in by the pipeline (empty on manual runs)</w:t>
            </w:r>
          </w:p>
        </w:tc>
      </w:tr>
      <w:tr>
        <w:tc>
          <w:tcPr>
            <w:tcW w:w="4680" w:type="dxa"/>
          </w:tcPr>
          <w:p>
            <w:pPr/>
            <w:r>
              <w:rPr>
                <w:rStyle w:val="CodeChar"/>
              </w:rPr>
              <w:t xml:space="preserve">data_contract_test-datetime</w:t>
            </w:r>
          </w:p>
        </w:tc>
        <w:tc>
          <w:tcPr>
            <w:tcW w:w="4680" w:type="dxa"/>
          </w:tcPr>
          <w:p>
            <w:pPr/>
            <w:r>
              <w:t xml:space="preserve">When the checks ran</w:t>
            </w:r>
          </w:p>
        </w:tc>
      </w:tr>
      <w:tr>
        <w:tc>
          <w:tcPr>
            <w:tcW w:w="4680" w:type="dxa"/>
          </w:tcPr>
          <w:p>
            <w:pPr/>
            <w:r>
              <w:rPr>
                <w:rStyle w:val="CodeChar"/>
              </w:rPr>
              <w:t xml:space="preserve">data_contract_name</w:t>
            </w:r>
            <w:r>
              <w:t xml:space="preserve"> / </w:t>
            </w:r>
            <w:r>
              <w:rPr>
                <w:rStyle w:val="CodeChar"/>
              </w:rPr>
              <w:t xml:space="preserve">_version</w:t>
            </w:r>
            <w:r>
              <w:t xml:space="preserve"> / </w:t>
            </w:r>
            <w:r>
              <w:rPr>
                <w:rStyle w:val="CodeChar"/>
              </w:rPr>
              <w:t xml:space="preserve">_specification</w:t>
            </w:r>
          </w:p>
        </w:tc>
        <w:tc>
          <w:tcPr>
            <w:tcW w:w="4680" w:type="dxa"/>
          </w:tcPr>
          <w:p>
            <w:pPr/>
            <w:r>
              <w:t xml:space="preserve">Contract name, version and ODCS apiVersion</w:t>
            </w:r>
          </w:p>
        </w:tc>
      </w:tr>
      <w:tr>
        <w:tc>
          <w:tcPr>
            <w:tcW w:w="4680" w:type="dxa"/>
          </w:tcPr>
          <w:p>
            <w:pPr/>
            <w:r>
              <w:rPr>
                <w:rStyle w:val="CodeChar"/>
              </w:rPr>
              <w:t xml:space="preserve">catalog_name</w:t>
            </w:r>
            <w:r>
              <w:t xml:space="preserve"> / </w:t>
            </w:r>
            <w:r>
              <w:rPr>
                <w:rStyle w:val="CodeChar"/>
              </w:rPr>
              <w:t xml:space="preserve">schema_name</w:t>
            </w:r>
            <w:r>
              <w:t xml:space="preserve"> / </w:t>
            </w:r>
            <w:r>
              <w:rPr>
                <w:rStyle w:val="CodeChar"/>
              </w:rPr>
              <w:t xml:space="preserve">table_name</w:t>
            </w:r>
          </w:p>
        </w:tc>
        <w:tc>
          <w:tcPr>
            <w:tcW w:w="4680" w:type="dxa"/>
          </w:tcPr>
          <w:p>
            <w:pPr/>
            <w:r>
              <w:t xml:space="preserve">Table that was tested</w:t>
            </w:r>
          </w:p>
        </w:tc>
      </w:tr>
      <w:tr>
        <w:tc>
          <w:tcPr>
            <w:tcW w:w="4680" w:type="dxa"/>
          </w:tcPr>
          <w:p>
            <w:pPr/>
            <w:r>
              <w:rPr>
                <w:rStyle w:val="CodeChar"/>
              </w:rPr>
              <w:t xml:space="preserve">check_name</w:t>
            </w:r>
            <w:r>
              <w:t xml:space="preserve"> / </w:t>
            </w:r>
            <w:r>
              <w:rPr>
                <w:rStyle w:val="CodeChar"/>
              </w:rPr>
              <w:t xml:space="preserve">description</w:t>
            </w:r>
          </w:p>
        </w:tc>
        <w:tc>
          <w:tcPr>
            <w:tcW w:w="4680" w:type="dxa"/>
          </w:tcPr>
          <w:p>
            <w:pPr/>
            <w:r>
              <w:t xml:space="preserve">Which check, from the framework or the YAML rule</w:t>
            </w:r>
          </w:p>
        </w:tc>
      </w:tr>
      <w:tr>
        <w:tc>
          <w:tcPr>
            <w:tcW w:w="4680" w:type="dxa"/>
          </w:tcPr>
          <w:p>
            <w:pPr/>
            <w:r>
              <w:rPr>
                <w:rStyle w:val="CodeChar"/>
              </w:rPr>
              <w:t xml:space="preserve">status</w:t>
            </w:r>
          </w:p>
        </w:tc>
        <w:tc>
          <w:tcPr>
            <w:tcW w:w="4680" w:type="dxa"/>
          </w:tcPr>
          <w:p>
            <w:pPr/>
            <w:r>
              <w:t xml:space="preserve">PASS, FAIL or ERROR</w:t>
            </w:r>
          </w:p>
        </w:tc>
      </w:tr>
      <w:tr>
        <w:tc>
          <w:tcPr>
            <w:tcW w:w="4680" w:type="dxa"/>
          </w:tcPr>
          <w:p>
            <w:pPr/>
            <w:r>
              <w:rPr>
                <w:rStyle w:val="CodeChar"/>
              </w:rPr>
              <w:t xml:space="preserve">error_details</w:t>
            </w:r>
          </w:p>
        </w:tc>
        <w:tc>
          <w:tcPr>
            <w:tcW w:w="4680" w:type="dxa"/>
          </w:tcPr>
          <w:p>
            <w:pPr/>
            <w:r>
              <w:t xml:space="preserve">Up to 100 failing rows or the exception text</w:t>
            </w:r>
          </w:p>
        </w:tc>
      </w:tr>
    </w:tbl>
    <w:p>
      <w:pPr/>
      <w:r>
        <w:rPr>
          <w:b/>
        </w:rPr>
        <w:t xml:space="preserve">Useful queries</w:t>
      </w:r>
    </w:p>
    <w:p>
      <w:pPr>
        <w:pStyle w:val="Code"/>
      </w:pPr>
      <w:bookmarkStart w:id="6" w:name="bongo_lang_sql_6"/>
      <w:bookmarkEnd w:id="6"/>
      <w:r>
        <w:t xml:space="preserve">-- Latest result of every check</w:t>
        <w:br/>
        <w:t xml:space="preserve">SELECT table_name, check_name, status, `data_contract_test-datetime`</w:t>
        <w:br/>
        <w:t xml:space="preserve">FROM audit.data_contract_validation</w:t>
        <w:br/>
        <w:t xml:space="preserve">QUALIFY ROW_NUMBER() OVER (</w:t>
        <w:br/>
        <w:t xml:space="preserve">  PARTITION BY table_name, check_name</w:t>
        <w:br/>
        <w:t xml:space="preserve">  ORDER BY `data_contract_test-datetime` DESC) = 1;</w:t>
        <w:br/>
        <w:br/>
        <w:t xml:space="preserve">-- All failures for one pipeline run</w:t>
        <w:br/>
        <w:t xml:space="preserve">SELECT table_name, check_name, status, error_details</w:t>
        <w:br/>
        <w:t xml:space="preserve">FROM audit.data_contract_validation</w:t>
        <w:br/>
        <w:t xml:space="preserve">WHERE pipeline_run_id = '&lt;run id&gt;' AND status &lt;&gt; 'PASS';</w:t>
      </w:r>
    </w:p>
    <w:p>
      <w:pPr>
        <w:pStyle w:val="Heading2"/>
      </w:pPr>
      <w:r>
        <w:t xml:space="preserve">Known issues and recommended fixes</w:t>
      </w:r>
    </w:p>
    <w:p>
      <w:pPr/>
      <w:r>
        <w:t xml:space="preserve">Five items should be fixed before the framework is used as a production gate; the rest are clean-up.</w:t>
      </w:r>
    </w:p>
    <w:p>
      <w:pPr/>
      <w:r>
        <w:rPr>
          <w:b/>
        </w:rPr>
        <w:t xml:space="preserve">Framework (</w:t>
      </w:r>
      <w:r>
        <w:rPr>
          <w:rStyle w:val="CodeChar"/>
          <w:b/>
        </w:rPr>
        <w:t xml:space="preserve">nb_data_contract</w:t>
      </w:r>
      <w:r>
        <w:rPr>
          <w:b/>
        </w:rPr>
        <w:t xml:space="preserv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Issue</w:t>
            </w:r>
          </w:p>
        </w:tc>
        <w:tc>
          <w:tcPr>
            <w:tcW w:w="2340" w:type="dxa"/>
            <w:shd w:val="clear" w:color="auto" w:fill="F2F2F2"/>
          </w:tcPr>
          <w:p>
            <w:pPr/>
            <w:r>
              <w:t xml:space="preserve">Impact</w:t>
            </w:r>
          </w:p>
        </w:tc>
        <w:tc>
          <w:tcPr>
            <w:tcW w:w="2340" w:type="dxa"/>
            <w:shd w:val="clear" w:color="auto" w:fill="F2F2F2"/>
          </w:tcPr>
          <w:p>
            <w:pPr/>
            <w:r>
              <w:t xml:space="preserve">Fix</w:t>
            </w:r>
          </w:p>
        </w:tc>
      </w:tr>
      <w:tr>
        <w:tc>
          <w:tcPr>
            <w:tcW w:w="2340" w:type="dxa"/>
          </w:tcPr>
          <w:p>
            <w:pPr/>
            <w:r>
              <w:t xml:space="preserve">1</w:t>
            </w:r>
          </w:p>
        </w:tc>
        <w:tc>
          <w:tcPr>
            <w:tcW w:w="2340" w:type="dxa"/>
          </w:tcPr>
          <w:p>
            <w:pPr/>
            <w:r>
              <w:rPr>
                <w:rStyle w:val="CodeChar"/>
              </w:rPr>
              <w:t xml:space="preserve">createDataFrame(rows)</w:t>
            </w:r>
            <w:r>
              <w:t xml:space="preserve"> infers schema; when every check passes, </w:t>
            </w:r>
            <w:r>
              <w:rPr>
                <w:rStyle w:val="CodeChar"/>
              </w:rPr>
              <w:t xml:space="preserve">error_details</w:t>
            </w:r>
            <w:r>
              <w:t xml:space="preserve"> is all NULL</w:t>
            </w:r>
          </w:p>
        </w:tc>
        <w:tc>
          <w:tcPr>
            <w:tcW w:w="2340" w:type="dxa"/>
          </w:tcPr>
          <w:p>
            <w:pPr/>
            <w:r>
              <w:t xml:space="preserve">Clean runs likely crash</w:t>
            </w:r>
          </w:p>
        </w:tc>
        <w:tc>
          <w:tcPr>
            <w:tcW w:w="2340" w:type="dxa"/>
          </w:tcPr>
          <w:p>
            <w:pPr/>
            <w:r>
              <w:t xml:space="preserve">Pass an explicit schema (</w:t>
            </w:r>
            <w:r>
              <w:rPr>
                <w:rStyle w:val="CodeChar"/>
              </w:rPr>
              <w:t xml:space="preserve">error_details</w:t>
            </w:r>
            <w:r>
              <w:t xml:space="preserve"> as </w:t>
            </w:r>
            <w:r>
              <w:rPr>
                <w:rStyle w:val="CodeChar"/>
              </w:rPr>
              <w:t xml:space="preserve">array&lt;map&lt;string,string&gt;&gt;</w:t>
            </w:r>
            <w:r>
              <w:t xml:space="preserve">)</w:t>
            </w:r>
          </w:p>
        </w:tc>
      </w:tr>
      <w:tr>
        <w:tc>
          <w:tcPr>
            <w:tcW w:w="2340" w:type="dxa"/>
          </w:tcPr>
          <w:p>
            <w:pPr/>
            <w:r>
              <w:t xml:space="preserve">2</w:t>
            </w:r>
          </w:p>
        </w:tc>
        <w:tc>
          <w:tcPr>
            <w:tcW w:w="2340" w:type="dxa"/>
          </w:tcPr>
          <w:p>
            <w:pPr/>
            <w:r>
              <w:t xml:space="preserve">Lint failure skips silently; FAIL results only logged</w:t>
            </w:r>
          </w:p>
        </w:tc>
        <w:tc>
          <w:tcPr>
            <w:tcW w:w="2340" w:type="dxa"/>
          </w:tcPr>
          <w:p>
            <w:pPr/>
            <w:r>
              <w:t xml:space="preserve">Pipeline shows success with bad data</w:t>
            </w:r>
          </w:p>
        </w:tc>
        <w:tc>
          <w:tcPr>
            <w:tcW w:w="2340" w:type="dxa"/>
          </w:tcPr>
          <w:p>
            <w:pPr/>
            <w:r>
              <w:rPr>
                <w:rStyle w:val="CodeChar"/>
              </w:rPr>
              <w:t xml:space="preserve">raise</w:t>
            </w:r>
            <w:r>
              <w:t xml:space="preserve"> or </w:t>
            </w:r>
            <w:r>
              <w:rPr>
                <w:rStyle w:val="CodeChar"/>
              </w:rPr>
              <w:t xml:space="preserve">notebookutils.notebook.exit()</w:t>
            </w:r>
            <w:r>
              <w:t xml:space="preserve"> with a status the pipeline branches on</w:t>
            </w:r>
          </w:p>
        </w:tc>
      </w:tr>
      <w:tr>
        <w:tc>
          <w:tcPr>
            <w:tcW w:w="2340" w:type="dxa"/>
          </w:tcPr>
          <w:p>
            <w:pPr/>
            <w:r>
              <w:t xml:space="preserve">3</w:t>
            </w:r>
          </w:p>
        </w:tc>
        <w:tc>
          <w:tcPr>
            <w:tcW w:w="2340" w:type="dxa"/>
          </w:tcPr>
          <w:p>
            <w:pPr/>
            <w:r>
              <w:t xml:space="preserve">Type, null and SQL loops read every schema object, not just the current table</w:t>
            </w:r>
          </w:p>
        </w:tc>
        <w:tc>
          <w:tcPr>
            <w:tcW w:w="2340" w:type="dxa"/>
          </w:tcPr>
          <w:p>
            <w:pPr/>
            <w:r>
              <w:t xml:space="preserve">False failures once a second table is added</w:t>
            </w:r>
          </w:p>
        </w:tc>
        <w:tc>
          <w:tcPr>
            <w:tcW w:w="2340" w:type="dxa"/>
          </w:tcPr>
          <w:p>
            <w:pPr/>
            <w:r>
              <w:t xml:space="preserve">Filter on </w:t>
            </w:r>
            <w:r>
              <w:rPr>
                <w:rStyle w:val="CodeChar"/>
              </w:rPr>
              <w:t xml:space="preserve">obj["name"] == table["table_name"]</w:t>
            </w:r>
          </w:p>
        </w:tc>
      </w:tr>
      <w:tr>
        <w:tc>
          <w:tcPr>
            <w:tcW w:w="2340" w:type="dxa"/>
          </w:tcPr>
          <w:p>
            <w:pPr/>
            <w:r>
              <w:t xml:space="preserve">4</w:t>
            </w:r>
          </w:p>
        </w:tc>
        <w:tc>
          <w:tcPr>
            <w:tcW w:w="2340" w:type="dxa"/>
          </w:tcPr>
          <w:p>
            <w:pPr/>
            <w:r>
              <w:t xml:space="preserve">ODCS </w:t>
            </w:r>
            <w:r>
              <w:rPr>
                <w:rStyle w:val="CodeChar"/>
              </w:rPr>
              <w:t xml:space="preserve">logicalType</w:t>
            </w:r>
            <w:r>
              <w:t xml:space="preserve"> (integer, number) vs Spark (</w:t>
            </w:r>
            <w:r>
              <w:rPr>
                <w:rStyle w:val="CodeChar"/>
              </w:rPr>
              <w:t xml:space="preserve">int</w:t>
            </w:r>
            <w:r>
              <w:t xml:space="preserve">, </w:t>
            </w:r>
            <w:r>
              <w:rPr>
                <w:rStyle w:val="CodeChar"/>
              </w:rPr>
              <w:t xml:space="preserve">bigint</w:t>
            </w:r>
            <w:r>
              <w:t xml:space="preserve">, </w:t>
            </w:r>
            <w:r>
              <w:rPr>
                <w:rStyle w:val="CodeChar"/>
              </w:rPr>
              <w:t xml:space="preserve">decimal</w:t>
            </w:r>
            <w:r>
              <w:t xml:space="preserve">)</w:t>
            </w:r>
          </w:p>
        </w:tc>
        <w:tc>
          <w:tcPr>
            <w:tcW w:w="2340" w:type="dxa"/>
          </w:tcPr>
          <w:p>
            <w:pPr/>
            <w:r>
              <w:t xml:space="preserve">Spurious type failures</w:t>
            </w:r>
          </w:p>
        </w:tc>
        <w:tc>
          <w:tcPr>
            <w:tcW w:w="2340" w:type="dxa"/>
          </w:tcPr>
          <w:p>
            <w:pPr/>
            <w:r>
              <w:t xml:space="preserve">Add a type map, or compare </w:t>
            </w:r>
            <w:r>
              <w:rPr>
                <w:rStyle w:val="CodeChar"/>
              </w:rPr>
              <w:t xml:space="preserve">physicalType</w:t>
            </w:r>
          </w:p>
        </w:tc>
      </w:tr>
      <w:tr>
        <w:tc>
          <w:tcPr>
            <w:tcW w:w="2340" w:type="dxa"/>
          </w:tcPr>
          <w:p>
            <w:pPr/>
            <w:r>
              <w:t xml:space="preserve">5</w:t>
            </w:r>
          </w:p>
        </w:tc>
        <w:tc>
          <w:tcPr>
            <w:tcW w:w="2340" w:type="dxa"/>
          </w:tcPr>
          <w:p>
            <w:pPr/>
            <w:r>
              <w:t xml:space="preserve">SQL rules assume "rows = failure"; </w:t>
            </w:r>
            <w:r>
              <w:rPr>
                <w:rStyle w:val="CodeChar"/>
              </w:rPr>
              <w:t xml:space="preserve">mustBe</w:t>
            </w:r>
            <w:r>
              <w:t xml:space="preserve"> thresholds and property-level rules ignored</w:t>
            </w:r>
          </w:p>
        </w:tc>
        <w:tc>
          <w:tcPr>
            <w:tcW w:w="2340" w:type="dxa"/>
          </w:tcPr>
          <w:p>
            <w:pPr/>
            <w:r>
              <w:rPr>
                <w:rStyle w:val="CodeChar"/>
              </w:rPr>
              <w:t xml:space="preserve">COUNT(*)</w:t>
            </w:r>
            <w:r>
              <w:t xml:space="preserve"> rules always FAIL; some rules never run</w:t>
            </w:r>
          </w:p>
        </w:tc>
        <w:tc>
          <w:tcPr>
            <w:tcW w:w="2340" w:type="dxa"/>
          </w:tcPr>
          <w:p>
            <w:pPr/>
            <w:r>
              <w:t xml:space="preserve">Support </w:t>
            </w:r>
            <w:r>
              <w:rPr>
                <w:rStyle w:val="CodeChar"/>
              </w:rPr>
              <w:t xml:space="preserve">mustBe</w:t>
            </w:r>
            <w:r>
              <w:t xml:space="preserve">, or enforce the convention in review</w:t>
            </w:r>
          </w:p>
        </w:tc>
      </w:tr>
      <w:tr>
        <w:tc>
          <w:tcPr>
            <w:tcW w:w="2340" w:type="dxa"/>
          </w:tcPr>
          <w:p>
            <w:pPr/>
            <w:r>
              <w:t xml:space="preserve">6</w:t>
            </w:r>
          </w:p>
        </w:tc>
        <w:tc>
          <w:tcPr>
            <w:tcW w:w="2340" w:type="dxa"/>
          </w:tcPr>
          <w:p>
            <w:pPr/>
            <w:r>
              <w:rPr>
                <w:rStyle w:val="CodeChar"/>
              </w:rPr>
              <w:t xml:space="preserve">fs.head()</w:t>
            </w:r>
            <w:r>
              <w:t xml:space="preserve"> reads only the first 64 KB</w:t>
            </w:r>
          </w:p>
        </w:tc>
        <w:tc>
          <w:tcPr>
            <w:tcW w:w="2340" w:type="dxa"/>
          </w:tcPr>
          <w:p>
            <w:pPr/>
            <w:r>
              <w:t xml:space="preserve">Large contracts silently truncated</w:t>
            </w:r>
          </w:p>
        </w:tc>
        <w:tc>
          <w:tcPr>
            <w:tcW w:w="2340" w:type="dxa"/>
          </w:tcPr>
          <w:p>
            <w:pPr/>
            <w:r>
              <w:t xml:space="preserve">Read the local </w:t>
            </w:r>
            <w:r>
              <w:rPr>
                <w:rStyle w:val="CodeChar"/>
              </w:rPr>
              <w:t xml:space="preserve">/tmp</w:t>
            </w:r>
            <w:r>
              <w:t xml:space="preserve"> copy instead</w:t>
            </w:r>
          </w:p>
        </w:tc>
      </w:tr>
      <w:tr>
        <w:tc>
          <w:tcPr>
            <w:tcW w:w="2340" w:type="dxa"/>
          </w:tcPr>
          <w:p>
            <w:pPr/>
            <w:r>
              <w:t xml:space="preserve">7</w:t>
            </w:r>
          </w:p>
        </w:tc>
        <w:tc>
          <w:tcPr>
            <w:tcW w:w="2340" w:type="dxa"/>
          </w:tcPr>
          <w:p>
            <w:pPr/>
            <w:r>
              <w:t xml:space="preserve">Lint checks compare to </w:t>
            </w:r>
            <w:r>
              <w:rPr>
                <w:rStyle w:val="CodeChar"/>
              </w:rPr>
              <w:t xml:space="preserve">"pass"</w:t>
            </w:r>
            <w:r>
              <w:t xml:space="preserve">; CLI value is likely </w:t>
            </w:r>
            <w:r>
              <w:rPr>
                <w:rStyle w:val="CodeChar"/>
              </w:rPr>
              <w:t xml:space="preserve">"passed"</w:t>
            </w:r>
          </w:p>
        </w:tc>
        <w:tc>
          <w:tcPr>
            <w:tcW w:w="2340" w:type="dxa"/>
          </w:tcPr>
          <w:p>
            <w:pPr/>
            <w:r>
              <w:t xml:space="preserve">Noisy lint output</w:t>
            </w:r>
          </w:p>
        </w:tc>
        <w:tc>
          <w:tcPr>
            <w:tcW w:w="2340" w:type="dxa"/>
          </w:tcPr>
          <w:p>
            <w:pPr/>
            <w:r>
              <w:t xml:space="preserve">Compare against the enum</w:t>
            </w:r>
          </w:p>
        </w:tc>
      </w:tr>
      <w:tr>
        <w:tc>
          <w:tcPr>
            <w:tcW w:w="2340" w:type="dxa"/>
          </w:tcPr>
          <w:p>
            <w:pPr/>
            <w:r>
              <w:t xml:space="preserve">8</w:t>
            </w:r>
          </w:p>
        </w:tc>
        <w:tc>
          <w:tcPr>
            <w:tcW w:w="2340" w:type="dxa"/>
          </w:tcPr>
          <w:p>
            <w:pPr/>
            <w:r>
              <w:rPr>
                <w:rStyle w:val="CodeChar"/>
              </w:rPr>
              <w:t xml:space="preserve">row_key</w:t>
            </w:r>
            <w:r>
              <w:t xml:space="preserve"> hard-coded to </w:t>
            </w:r>
            <w:r>
              <w:rPr>
                <w:rStyle w:val="CodeChar"/>
              </w:rPr>
              <w:t xml:space="preserve">key_ring_identifier_uuid</w:t>
            </w:r>
            <w:r>
              <w:t xml:space="preserve">; results capped at 100 with no count</w:t>
            </w:r>
          </w:p>
        </w:tc>
        <w:tc>
          <w:tcPr>
            <w:tcW w:w="2340" w:type="dxa"/>
          </w:tcPr>
          <w:p>
            <w:pPr/>
            <w:r>
              <w:t xml:space="preserve">Not generic; failure size unknown</w:t>
            </w:r>
          </w:p>
        </w:tc>
        <w:tc>
          <w:tcPr>
            <w:tcW w:w="2340" w:type="dxa"/>
          </w:tcPr>
          <w:p>
            <w:pPr/>
            <w:r>
              <w:t xml:space="preserve">Read PK from </w:t>
            </w:r>
            <w:r>
              <w:rPr>
                <w:rStyle w:val="CodeChar"/>
              </w:rPr>
              <w:t xml:space="preserve">primaryKey: true</w:t>
            </w:r>
            <w:r>
              <w:t xml:space="preserve">; log total count</w:t>
            </w:r>
          </w:p>
        </w:tc>
      </w:tr>
      <w:tr>
        <w:tc>
          <w:tcPr>
            <w:tcW w:w="2340" w:type="dxa"/>
          </w:tcPr>
          <w:p>
            <w:pPr/>
            <w:r>
              <w:t xml:space="preserve">9</w:t>
            </w:r>
          </w:p>
        </w:tc>
        <w:tc>
          <w:tcPr>
            <w:tcW w:w="2340" w:type="dxa"/>
          </w:tcPr>
          <w:p>
            <w:pPr/>
            <w:r>
              <w:rPr>
                <w:rStyle w:val="CodeChar"/>
              </w:rPr>
              <w:t xml:space="preserve">FROM dbo.</w:t>
            </w:r>
            <w:r>
              <w:t xml:space="preserve"> string replace misses </w:t>
            </w:r>
            <w:r>
              <w:rPr>
                <w:rStyle w:val="CodeChar"/>
              </w:rPr>
              <w:t xml:space="preserve">JOIN dbo.</w:t>
            </w:r>
            <w:r>
              <w:t xml:space="preserve"> and lowercase</w:t>
            </w:r>
          </w:p>
        </w:tc>
        <w:tc>
          <w:tcPr>
            <w:tcW w:w="2340" w:type="dxa"/>
          </w:tcPr>
          <w:p>
            <w:pPr/>
            <w:r>
              <w:t xml:space="preserve">Some rules hit wrong table</w:t>
            </w:r>
          </w:p>
        </w:tc>
        <w:tc>
          <w:tcPr>
            <w:tcW w:w="2340" w:type="dxa"/>
          </w:tcPr>
          <w:p>
            <w:pPr/>
            <w:r>
              <w:t xml:space="preserve">Set the default catalog/schema instead</w:t>
            </w:r>
          </w:p>
        </w:tc>
      </w:tr>
      <w:tr>
        <w:tc>
          <w:tcPr>
            <w:tcW w:w="2340" w:type="dxa"/>
          </w:tcPr>
          <w:p>
            <w:pPr/>
            <w:r>
              <w:t xml:space="preserve">10</w:t>
            </w:r>
          </w:p>
        </w:tc>
        <w:tc>
          <w:tcPr>
            <w:tcW w:w="2340" w:type="dxa"/>
          </w:tcPr>
          <w:p>
            <w:pPr/>
            <w:r>
              <w:rPr>
                <w:rStyle w:val="CodeChar"/>
              </w:rPr>
              <w:t xml:space="preserve">pip install</w:t>
            </w:r>
            <w:r>
              <w:t xml:space="preserve"> every run; </w:t>
            </w:r>
            <w:r>
              <w:rPr>
                <w:rStyle w:val="CodeChar"/>
              </w:rPr>
              <w:t xml:space="preserve">soda-*</w:t>
            </w:r>
            <w:r>
              <w:t xml:space="preserve"> unused; </w:t>
            </w:r>
            <w:r>
              <w:rPr>
                <w:rStyle w:val="CodeChar"/>
              </w:rPr>
              <w:t xml:space="preserve">mssparkutils</w:t>
            </w:r>
            <w:r>
              <w:t xml:space="preserve"> and </w:t>
            </w:r>
            <w:r>
              <w:rPr>
                <w:rStyle w:val="CodeChar"/>
              </w:rPr>
              <w:t xml:space="preserve">notebookutils</w:t>
            </w:r>
            <w:r>
              <w:t xml:space="preserve"> mixed</w:t>
            </w:r>
          </w:p>
        </w:tc>
        <w:tc>
          <w:tcPr>
            <w:tcW w:w="2340" w:type="dxa"/>
          </w:tcPr>
          <w:p>
            <w:pPr/>
            <w:r>
              <w:t xml:space="preserve">Slow start, drift</w:t>
            </w:r>
          </w:p>
        </w:tc>
        <w:tc>
          <w:tcPr>
            <w:tcW w:w="2340" w:type="dxa"/>
          </w:tcPr>
          <w:p>
            <w:pPr/>
            <w:r>
              <w:t xml:space="preserve">Fabric Environment; use </w:t>
            </w:r>
            <w:r>
              <w:rPr>
                <w:rStyle w:val="CodeChar"/>
              </w:rPr>
              <w:t xml:space="preserve">notebookutils</w:t>
            </w:r>
          </w:p>
        </w:tc>
      </w:tr>
    </w:tbl>
    <w:p>
      <w:pPr/>
      <w:r>
        <w:rPr>
          <w:b/>
        </w:rPr>
        <w:t xml:space="preserve">Contract document</w:t>
      </w:r>
    </w:p>
    <w:p>
      <w:pPr>
        <w:pStyle w:val="ListParagraph"/>
        <w:numPr>
          <w:ilvl w:val="0"/>
          <w:numId w:val="6"/>
        </w:numPr>
      </w:pPr>
      <w:r>
        <w:rPr>
          <w:rStyle w:val="CodeChar"/>
        </w:rPr>
        <w:t xml:space="preserve">identifier_value</w:t>
      </w:r>
      <w:r>
        <w:t xml:space="preserve"> is typed </w:t>
      </w:r>
      <w:r>
        <w:rPr>
          <w:rStyle w:val="CodeChar"/>
        </w:rPr>
        <w:t xml:space="preserve">int</w:t>
      </w:r>
      <w:r>
        <w:t xml:space="preserve"> but must hold a 64-character hex string → </w:t>
      </w:r>
      <w:r>
        <w:rPr>
          <w:rStyle w:val="CodeChar"/>
        </w:rPr>
        <w:t xml:space="preserve">varchar(64)</w:t>
      </w:r>
      <w:r>
        <w:t xml:space="preserve">.</w:t>
      </w:r>
    </w:p>
    <w:p>
      <w:pPr>
        <w:pStyle w:val="ListParagraph"/>
        <w:numPr>
          <w:ilvl w:val="0"/>
          <w:numId w:val="6"/>
        </w:numPr>
      </w:pPr>
      <w:r>
        <w:t xml:space="preserve">The merge key is a UUID v4 generated at insert, which can never match existing rows → merge on a deterministic business key or a UUID v5.</w:t>
      </w:r>
    </w:p>
    <w:p>
      <w:pPr>
        <w:pStyle w:val="ListParagraph"/>
        <w:numPr>
          <w:ilvl w:val="0"/>
          <w:numId w:val="6"/>
        </w:numPr>
      </w:pPr>
      <w:r>
        <w:t xml:space="preserve">Plain SHA-256 of low-entropy IDs is reversible by brute force → use a keyed hash (HMAC, key in Key Vault).</w:t>
      </w:r>
    </w:p>
    <w:p>
      <w:pPr>
        <w:pStyle w:val="ListParagraph"/>
        <w:numPr>
          <w:ilvl w:val="0"/>
          <w:numId w:val="6"/>
        </w:numPr>
      </w:pPr>
      <w:r>
        <w:t xml:space="preserve">Where hashing happens is not stated → hash inside Snowflake before extraction so raw PI never leaves.</w:t>
      </w:r>
    </w:p>
    <w:p>
      <w:pPr>
        <w:pStyle w:val="ListParagraph"/>
        <w:numPr>
          <w:ilvl w:val="0"/>
          <w:numId w:val="6"/>
        </w:numPr>
      </w:pPr>
      <w:r>
        <w:t xml:space="preserve">Source is a DEV database but the target is a prod workspace; compute engine says Databricks though the stack is ADF + Fabric.</w:t>
      </w:r>
    </w:p>
    <w:p>
      <w:pPr>
        <w:pStyle w:val="ListParagraph"/>
        <w:numPr>
          <w:ilvl w:val="0"/>
          <w:numId w:val="6"/>
        </w:numPr>
      </w:pPr>
      <w:r>
        <w:rPr>
          <w:rStyle w:val="CodeChar"/>
        </w:rPr>
        <w:t xml:space="preserve">KEY_RING_READ</w:t>
      </w:r>
      <w:r>
        <w:t xml:space="preserve"> grants SELECT on </w:t>
      </w:r>
      <w:r>
        <w:rPr>
          <w:rStyle w:val="CodeChar"/>
        </w:rPr>
        <w:t xml:space="preserve">identifier_value</w:t>
      </w:r>
      <w:r>
        <w:t xml:space="preserve"> despite the BI exclusion → column-level security or a view.</w:t>
      </w:r>
    </w:p>
    <w:p>
      <w:pPr>
        <w:pStyle w:val="Heading2"/>
      </w:pPr>
      <w:r>
        <w:t xml:space="preserve">How to onboard a new table</w:t>
      </w:r>
    </w:p>
    <w:p>
      <w:pPr/>
      <w:r>
        <w:t xml:space="preserve">Adding a table to the framework is a YAML change, not a code change.</w:t>
      </w:r>
    </w:p>
    <w:p>
      <w:pPr>
        <w:pStyle w:val="ListParagraph"/>
        <w:numPr>
          <w:ilvl w:val="0"/>
          <w:numId w:val="7"/>
        </w:numPr>
      </w:pPr>
      <w:r>
        <w:rPr>
          <w:b/>
        </w:rPr>
        <w:t xml:space="preserve">Draft the contract</w:t>
      </w:r>
      <w:r>
        <w:t xml:space="preserve"> in the Word template (ODCS ordering) with the data product owner and steward: purpose, schema, classification, DQ rules with severity, roles, SLA.</w:t>
      </w:r>
    </w:p>
    <w:p>
      <w:pPr>
        <w:pStyle w:val="ListParagraph"/>
        <w:numPr>
          <w:ilvl w:val="0"/>
          <w:numId w:val="7"/>
        </w:numPr>
      </w:pPr>
      <w:r>
        <w:rPr>
          <w:b/>
        </w:rPr>
        <w:t xml:space="preserve">Write the YAML</w:t>
      </w:r>
      <w:r>
        <w:t xml:space="preserve"> from the template: </w:t>
      </w:r>
      <w:r>
        <w:rPr>
          <w:rStyle w:val="CodeChar"/>
        </w:rPr>
        <w:t xml:space="preserve">name</w:t>
      </w:r>
      <w:r>
        <w:t xml:space="preserve">, </w:t>
      </w:r>
      <w:r>
        <w:rPr>
          <w:rStyle w:val="CodeChar"/>
        </w:rPr>
        <w:t xml:space="preserve">schema</w:t>
      </w:r>
      <w:r>
        <w:t xml:space="preserve"> and </w:t>
      </w:r>
      <w:r>
        <w:rPr>
          <w:rStyle w:val="CodeChar"/>
        </w:rPr>
        <w:t xml:space="preserve">catalog</w:t>
      </w:r>
      <w:r>
        <w:t xml:space="preserve"> on each schema object; </w:t>
      </w:r>
      <w:r>
        <w:rPr>
          <w:rStyle w:val="CodeChar"/>
        </w:rPr>
        <w:t xml:space="preserve">logicalType</w:t>
      </w:r>
      <w:r>
        <w:t xml:space="preserve">, </w:t>
      </w:r>
      <w:r>
        <w:rPr>
          <w:rStyle w:val="CodeChar"/>
        </w:rPr>
        <w:t xml:space="preserve">physicalType</w:t>
      </w:r>
      <w:r>
        <w:t xml:space="preserve"> and </w:t>
      </w:r>
      <w:r>
        <w:rPr>
          <w:rStyle w:val="CodeChar"/>
        </w:rPr>
        <w:t xml:space="preserve">required</w:t>
      </w:r>
      <w:r>
        <w:t xml:space="preserve"> on each column; SQL rules that return failing rows.</w:t>
      </w:r>
    </w:p>
    <w:p>
      <w:pPr>
        <w:pStyle w:val="ListParagraph"/>
        <w:numPr>
          <w:ilvl w:val="0"/>
          <w:numId w:val="7"/>
        </w:numPr>
      </w:pPr>
      <w:r>
        <w:rPr>
          <w:b/>
        </w:rPr>
        <w:t xml:space="preserve">Lint locally or in a dev notebook</w:t>
      </w:r>
      <w:r>
        <w:t xml:space="preserve"> with </w:t>
      </w:r>
      <w:r>
        <w:rPr>
          <w:rStyle w:val="CodeChar"/>
        </w:rPr>
        <w:t xml:space="preserve">DataContract(data_contract_file=..., spark=spark).lint()</w:t>
      </w:r>
      <w:r>
        <w:t xml:space="preserve"> until it passes.</w:t>
      </w:r>
    </w:p>
    <w:p>
      <w:pPr>
        <w:pStyle w:val="ListParagraph"/>
        <w:numPr>
          <w:ilvl w:val="0"/>
          <w:numId w:val="7"/>
        </w:numPr>
      </w:pPr>
      <w:r>
        <w:rPr>
          <w:b/>
        </w:rPr>
        <w:t xml:space="preserve">Upload</w:t>
      </w:r>
      <w:r>
        <w:t xml:space="preserve"> the YAML to </w:t>
      </w:r>
      <w:r>
        <w:rPr>
          <w:rStyle w:val="CodeChar"/>
        </w:rPr>
        <w:t xml:space="preserve">lh_silver/Files/data_contract/</w:t>
      </w:r>
      <w:r>
        <w:t xml:space="preserve"> in the dev workspace.</w:t>
      </w:r>
    </w:p>
    <w:p>
      <w:pPr>
        <w:pStyle w:val="ListParagraph"/>
        <w:numPr>
          <w:ilvl w:val="0"/>
          <w:numId w:val="7"/>
        </w:numPr>
      </w:pPr>
      <w:r>
        <w:rPr>
          <w:b/>
        </w:rPr>
        <w:t xml:space="preserve">Point the notebook at it.</w:t>
      </w:r>
      <w:r>
        <w:t xml:space="preserve"> Today the path is hard-coded; long term it should be a parameter (</w:t>
      </w:r>
      <w:r>
        <w:rPr>
          <w:rStyle w:val="CodeChar"/>
        </w:rPr>
        <w:t xml:space="preserve">contract_file</w:t>
      </w:r>
      <w:r>
        <w:t xml:space="preserve">) passed by the pipeline.</w:t>
      </w:r>
    </w:p>
    <w:p>
      <w:pPr>
        <w:pStyle w:val="ListParagraph"/>
        <w:numPr>
          <w:ilvl w:val="0"/>
          <w:numId w:val="7"/>
        </w:numPr>
      </w:pPr>
      <w:r>
        <w:rPr>
          <w:b/>
        </w:rPr>
        <w:t xml:space="preserve">Wire it into the pipeline</w:t>
      </w:r>
      <w:r>
        <w:t xml:space="preserve"> after the Silver load activity in </w:t>
      </w:r>
      <w:r>
        <w:rPr>
          <w:rStyle w:val="CodeChar"/>
        </w:rPr>
        <w:t xml:space="preserve">pl_silver_ingestion</w:t>
      </w:r>
      <w:r>
        <w:t xml:space="preserve">, passing </w:t>
      </w:r>
      <w:r>
        <w:rPr>
          <w:rStyle w:val="CodeChar"/>
        </w:rPr>
        <w:t xml:space="preserve">pipeline_run_id</w:t>
      </w:r>
      <w:r>
        <w:t xml:space="preserve">.</w:t>
      </w:r>
    </w:p>
    <w:p>
      <w:pPr>
        <w:pStyle w:val="ListParagraph"/>
        <w:numPr>
          <w:ilvl w:val="0"/>
          <w:numId w:val="7"/>
        </w:numPr>
      </w:pPr>
      <w:r>
        <w:rPr>
          <w:b/>
        </w:rPr>
        <w:t xml:space="preserve">Run and review</w:t>
      </w:r>
      <w:r>
        <w:t xml:space="preserve"> </w:t>
      </w:r>
      <w:r>
        <w:rPr>
          <w:rStyle w:val="CodeChar"/>
        </w:rPr>
        <w:t xml:space="preserve">audit.data_contract_validation</w:t>
      </w:r>
      <w:r>
        <w:t xml:space="preserve">. Confirm every rule runs and that a deliberately broken row makes the expected rule FAIL.</w:t>
      </w:r>
    </w:p>
    <w:p>
      <w:pPr>
        <w:pStyle w:val="ListParagraph"/>
        <w:numPr>
          <w:ilvl w:val="0"/>
          <w:numId w:val="7"/>
        </w:numPr>
      </w:pPr>
      <w:r>
        <w:rPr>
          <w:b/>
        </w:rPr>
        <w:t xml:space="preserve">Get sign-off</w:t>
      </w:r>
      <w:r>
        <w:t xml:space="preserve"> from the Data Product Owner, Data Steward, Lead Data Engineer and Privacy/Security Officer, then bump the version and changelog.</w:t>
      </w:r>
    </w:p>
    <w:p>
      <w:pPr>
        <w:pStyle w:val="ListParagraph"/>
        <w:numPr>
          <w:ilvl w:val="0"/>
          <w:numId w:val="7"/>
        </w:numPr>
      </w:pPr>
      <w:r>
        <w:rPr>
          <w:b/>
        </w:rPr>
        <w:t xml:space="preserve">Promote</w:t>
      </w:r>
      <w:r>
        <w:t xml:space="preserve"> the YAML to higher workspaces with the pipeline.</w:t>
      </w:r>
    </w:p>
    <w:p>
      <w:pPr/>
      <w:r>
        <w:rPr>
          <w:b/>
        </w:rPr>
        <w:t xml:space="preserve">Versioning:</w:t>
      </w:r>
      <w:r>
        <w:t xml:space="preserve"> use semantic versions. A breaking change (column removed, type changed) is a major bump and needs consumer sign-off; a new rule or column is minor; wording fixes are patch.</w:t>
      </w:r>
    </w:p>
    <w:p>
      <w:pPr>
        <w:pStyle w:val="Heading2"/>
      </w:pPr>
      <w:r>
        <w:t xml:space="preserve">Open questions, glossary and references</w:t>
      </w:r>
    </w:p>
    <w:p>
      <w:pPr/>
      <w:r>
        <w:rPr>
          <w:b/>
        </w:rPr>
        <w:t xml:space="preserve">Open questions</w:t>
      </w:r>
    </w:p>
    <w:p>
      <w:pPr>
        <w:pStyle w:val="ListParagraph"/>
        <w:numPr>
          <w:ilvl w:val="0"/>
          <w:numId w:val="8"/>
        </w:numPr>
      </w:pPr>
      <w:r>
        <w:t xml:space="preserve">☐ What happens on each DQ failure: reject row, reject batch, or alert and continue?</w:t>
      </w:r>
    </w:p>
    <w:p>
      <w:pPr>
        <w:pStyle w:val="ListParagraph"/>
        <w:numPr>
          <w:ilvl w:val="0"/>
          <w:numId w:val="8"/>
        </w:numPr>
      </w:pPr>
      <w:r>
        <w:t xml:space="preserve">☐ Is </w:t>
      </w:r>
      <w:r>
        <w:rPr>
          <w:rStyle w:val="CodeChar"/>
        </w:rPr>
        <w:t xml:space="preserve">origin_system_cd</w:t>
      </w:r>
      <w:r>
        <w:t xml:space="preserve"> in scope for v1.0.0, given DQ-07 is Critical?</w:t>
      </w:r>
    </w:p>
    <w:p>
      <w:pPr>
        <w:pStyle w:val="ListParagraph"/>
        <w:numPr>
          <w:ilvl w:val="0"/>
          <w:numId w:val="8"/>
        </w:numPr>
      </w:pPr>
      <w:r>
        <w:t xml:space="preserve">☐ Target workspace: confirm </w:t>
      </w:r>
      <w:r>
        <w:rPr>
          <w:rStyle w:val="CodeChar"/>
        </w:rPr>
        <w:t xml:space="preserve">ws_dp_landing_prod</w:t>
      </w:r>
      <w:r>
        <w:t xml:space="preserve">.</w:t>
      </w:r>
    </w:p>
    <w:p>
      <w:pPr>
        <w:pStyle w:val="ListParagraph"/>
        <w:numPr>
          <w:ilvl w:val="0"/>
          <w:numId w:val="8"/>
        </w:numPr>
      </w:pPr>
      <w:r>
        <w:t xml:space="preserve">☐ Where does hashing happen, and is a keyed hash (HMAC) approved?</w:t>
      </w:r>
    </w:p>
    <w:p>
      <w:pPr>
        <w:pStyle w:val="ListParagraph"/>
        <w:numPr>
          <w:ilvl w:val="0"/>
          <w:numId w:val="8"/>
        </w:numPr>
      </w:pPr>
      <w:r>
        <w:t xml:space="preserve">☐ Which Snowflake → Fabric integration approach is final?</w:t>
      </w:r>
    </w:p>
    <w:p>
      <w:pPr>
        <w:pStyle w:val="ListParagraph"/>
        <w:numPr>
          <w:ilvl w:val="0"/>
          <w:numId w:val="8"/>
        </w:numPr>
      </w:pPr>
      <w:r>
        <w:t xml:space="preserve">☐ Should the contract path be a pipeline parameter so one notebook serves all contracts?</w:t>
      </w:r>
    </w:p>
    <w:p>
      <w:pPr/>
      <w:r>
        <w:rPr>
          <w:b/>
        </w:rPr>
        <w:t xml:space="preserve">Glossary</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Term</w:t>
            </w:r>
          </w:p>
        </w:tc>
        <w:tc>
          <w:tcPr>
            <w:tcW w:w="4680" w:type="dxa"/>
            <w:shd w:val="clear" w:color="auto" w:fill="F2F2F2"/>
          </w:tcPr>
          <w:p>
            <w:pPr/>
            <w:r>
              <w:t xml:space="preserve">Meaning</w:t>
            </w:r>
          </w:p>
        </w:tc>
      </w:tr>
      <w:tr>
        <w:tc>
          <w:tcPr>
            <w:tcW w:w="4680" w:type="dxa"/>
          </w:tcPr>
          <w:p>
            <w:pPr/>
            <w:r>
              <w:t xml:space="preserve">ODCS</w:t>
            </w:r>
          </w:p>
        </w:tc>
        <w:tc>
          <w:tcPr>
            <w:tcW w:w="4680" w:type="dxa"/>
          </w:tcPr>
          <w:p>
            <w:pPr/>
            <w:r>
              <w:t xml:space="preserve">Open Data Contract Standard, the YAML format used here (v3.1.0)</w:t>
            </w:r>
          </w:p>
        </w:tc>
      </w:tr>
      <w:tr>
        <w:tc>
          <w:tcPr>
            <w:tcW w:w="4680" w:type="dxa"/>
          </w:tcPr>
          <w:p>
            <w:pPr/>
            <w:r>
              <w:rPr>
                <w:rStyle w:val="CodeChar"/>
              </w:rPr>
              <w:t xml:space="preserve">datacontract-cli</w:t>
            </w:r>
          </w:p>
        </w:tc>
        <w:tc>
          <w:tcPr>
            <w:tcW w:w="4680" w:type="dxa"/>
          </w:tcPr>
          <w:p>
            <w:pPr/>
            <w:r>
              <w:t xml:space="preserve">Python library that lints and reads ODCS contracts</w:t>
            </w:r>
          </w:p>
        </w:tc>
      </w:tr>
      <w:tr>
        <w:tc>
          <w:tcPr>
            <w:tcW w:w="4680" w:type="dxa"/>
          </w:tcPr>
          <w:p>
            <w:pPr/>
            <w:r>
              <w:t xml:space="preserve">Bronze / Silver</w:t>
            </w:r>
          </w:p>
        </w:tc>
        <w:tc>
          <w:tcPr>
            <w:tcW w:w="4680" w:type="dxa"/>
          </w:tcPr>
          <w:p>
            <w:pPr/>
            <w:r>
              <w:t xml:space="preserve">Raw source layer (Snowflake CDWP) / cleaned, conformed layer (Fabric </w:t>
            </w:r>
            <w:r>
              <w:rPr>
                <w:rStyle w:val="CodeChar"/>
              </w:rPr>
              <w:t xml:space="preserve">lh_silver</w:t>
            </w:r>
            <w:r>
              <w:t xml:space="preserve">)</w:t>
            </w:r>
          </w:p>
        </w:tc>
      </w:tr>
      <w:tr>
        <w:tc>
          <w:tcPr>
            <w:tcW w:w="4680" w:type="dxa"/>
          </w:tcPr>
          <w:p>
            <w:pPr/>
            <w:r>
              <w:t xml:space="preserve">Key ring</w:t>
            </w:r>
          </w:p>
        </w:tc>
        <w:tc>
          <w:tcPr>
            <w:tcW w:w="4680" w:type="dxa"/>
          </w:tcPr>
          <w:p>
            <w:pPr/>
            <w:r>
              <w:t xml:space="preserve">Set of identifiers linked to one master entity</w:t>
            </w:r>
          </w:p>
        </w:tc>
      </w:tr>
      <w:tr>
        <w:tc>
          <w:tcPr>
            <w:tcW w:w="4680" w:type="dxa"/>
          </w:tcPr>
          <w:p>
            <w:pPr/>
            <w:r>
              <w:t xml:space="preserve">CDWP</w:t>
            </w:r>
          </w:p>
        </w:tc>
        <w:tc>
          <w:tcPr>
            <w:tcW w:w="4680" w:type="dxa"/>
          </w:tcPr>
          <w:p>
            <w:pPr/>
            <w:r>
              <w:t xml:space="preserve">Snowflake source data warehouse for the Bronze tables</w:t>
            </w:r>
          </w:p>
        </w:tc>
      </w:tr>
      <w:tr>
        <w:tc>
          <w:tcPr>
            <w:tcW w:w="4680" w:type="dxa"/>
          </w:tcPr>
          <w:p>
            <w:pPr/>
            <w:r>
              <w:t xml:space="preserve">RTMI</w:t>
            </w:r>
          </w:p>
        </w:tc>
        <w:tc>
          <w:tcPr>
            <w:tcW w:w="4680" w:type="dxa"/>
          </w:tcPr>
          <w:p>
            <w:pPr/>
            <w:r>
              <w:t xml:space="preserve">System that originally produced the identifiers</w:t>
            </w:r>
          </w:p>
        </w:tc>
      </w:tr>
      <w:tr>
        <w:tc>
          <w:tcPr>
            <w:tcW w:w="4680" w:type="dxa"/>
          </w:tcPr>
          <w:p>
            <w:pPr/>
            <w:r>
              <w:t xml:space="preserve">Launch blocker</w:t>
            </w:r>
          </w:p>
        </w:tc>
        <w:tc>
          <w:tcPr>
            <w:tcW w:w="4680" w:type="dxa"/>
          </w:tcPr>
          <w:p>
            <w:pPr/>
            <w:r>
              <w:t xml:space="preserve">A rule that must pass before data is used in production</w:t>
            </w:r>
          </w:p>
        </w:tc>
      </w:tr>
    </w:tbl>
    <w:p>
      <w:pPr/>
      <w:r>
        <w:rPr>
          <w:b/>
        </w:rPr>
        <w:t xml:space="preserve">References</w:t>
      </w:r>
    </w:p>
    <w:p>
      <w:pPr>
        <w:pStyle w:val="ListParagraph"/>
        <w:numPr>
          <w:ilvl w:val="0"/>
          <w:numId w:val="9"/>
        </w:numPr>
      </w:pPr>
      <w:r>
        <w:t xml:space="preserve">ODCS Data Contract: Consumer Key Ring Identifier, DRAFT v1.0.0 (Word)</w:t>
      </w:r>
    </w:p>
    <w:p>
      <w:pPr>
        <w:pStyle w:val="ListParagraph"/>
        <w:numPr>
          <w:ilvl w:val="0"/>
          <w:numId w:val="9"/>
        </w:numPr>
      </w:pPr>
      <w:r>
        <w:t xml:space="preserve">Pros and Cons of Data Sharing approaches between Snowflake and Fabric (Word)</w:t>
      </w:r>
    </w:p>
    <w:p>
      <w:pPr>
        <w:pStyle w:val="ListParagraph"/>
        <w:numPr>
          <w:ilvl w:val="0"/>
          <w:numId w:val="9"/>
        </w:numPr>
      </w:pPr>
      <w:r>
        <w:t xml:space="preserve">Architecture Risk Assessment: Passive Storage vs. Active Cloud Connector (Word)</w:t>
      </w:r>
    </w:p>
    <w:p>
      <w:pPr>
        <w:pStyle w:val="ListParagraph"/>
        <w:numPr>
          <w:ilvl w:val="0"/>
          <w:numId w:val="9"/>
        </w:numPr>
      </w:pPr>
      <w:r>
        <w:rPr>
          <w:rStyle w:val="CodeChar"/>
        </w:rPr>
        <w:t xml:space="preserve">nb_data_contract</w:t>
      </w:r>
      <w:r>
        <w:t xml:space="preserve"> notebook, Fabric workspace</w:t>
      </w:r>
    </w:p>
    <w:p>
      <w:pPr>
        <w:pStyle w:val="ListParagraph"/>
        <w:numPr>
          <w:ilvl w:val="0"/>
          <w:numId w:val="9"/>
        </w:numPr>
      </w:pPr>
      <w:hyperlink r:id="rId4" w:history="1">
        <w:r>
          <w:rPr>
            <w:rStyle w:val="Hyperlink"/>
          </w:rPr>
          <w:t xml:space="preserve">Open Data Contract Standard</w:t>
        </w:r>
      </w:hyperlink>
    </w:p>
    <w:p>
      <w:pPr>
        <w:pStyle w:val="ListParagraph"/>
        <w:numPr>
          <w:ilvl w:val="0"/>
          <w:numId w:val="9"/>
        </w:numPr>
      </w:pPr>
      <w:hyperlink r:id="rId5" w:history="1">
        <w:r>
          <w:rPr>
            <w:rStyle w:val="Hyperlink"/>
          </w:rPr>
          <w:t xml:space="preserve">datacontract-cli</w:t>
        </w:r>
      </w:hyperlink>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0"/>
  </w:num>
  <w:num w:numId="6">
    <w:abstractNumId w:val="0"/>
  </w:num>
  <w:num w:numId="7">
    <w:abstractNumId w:val="1"/>
    <w:lvlOverride w:ilvl="0">
      <w:startOverride w:val="1"/>
    </w:lvlOverride>
  </w:num>
  <w:num w:numId="8">
    <w:abstractNumId w:val="0"/>
  </w:num>
  <w:num w:numId="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hyperlink" Target="https://bitol-io.github.io/open-data-contract-standard/" TargetMode="External"/><Relationship Id="rId5" Type="http://schemas.openxmlformats.org/officeDocument/2006/relationships/hyperlink" Target="https://github.com/datacontract/datacontract-cli"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Data Contracts Framework — Consumer Key Ring (Snowflake → Fabric)</dc:title>
  <dc:description>Claude Docs node/a6360cb5-cc31@13 docx-w6</dc:description>
  <cp:revision>13</cp:revision>
</cp:coreProperties>
</file>